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03F75" w14:textId="74871C44" w:rsidR="00427E81" w:rsidRPr="00A067EA" w:rsidRDefault="0062005B" w:rsidP="00A067EA">
      <w:pPr>
        <w:jc w:val="center"/>
        <w:rPr>
          <w:rFonts w:ascii="Calibri" w:hAnsi="Calibri" w:cs="Calibri"/>
          <w:b/>
          <w:bCs/>
          <w:sz w:val="32"/>
          <w:szCs w:val="32"/>
        </w:rPr>
      </w:pPr>
      <w:r w:rsidRPr="00A067EA">
        <w:rPr>
          <w:rFonts w:ascii="Calibri" w:hAnsi="Calibri" w:cs="Calibri"/>
          <w:b/>
          <w:bCs/>
          <w:sz w:val="32"/>
          <w:szCs w:val="32"/>
        </w:rPr>
        <w:t xml:space="preserve">BREAKING THE CYCLE OF RACIAL WEALTH INEQUITIES </w:t>
      </w:r>
      <w:r w:rsidR="00A067EA">
        <w:rPr>
          <w:rFonts w:ascii="Calibri" w:hAnsi="Calibri" w:cs="Calibri"/>
          <w:b/>
          <w:bCs/>
          <w:sz w:val="32"/>
          <w:szCs w:val="32"/>
        </w:rPr>
        <w:br/>
      </w:r>
      <w:r w:rsidRPr="00A067EA">
        <w:rPr>
          <w:rFonts w:ascii="Calibri" w:hAnsi="Calibri" w:cs="Calibri"/>
          <w:b/>
          <w:bCs/>
          <w:sz w:val="32"/>
          <w:szCs w:val="32"/>
        </w:rPr>
        <w:t>AND HIGHER EDUCATION OUTCOMES</w:t>
      </w:r>
    </w:p>
    <w:p w14:paraId="6E927A9D" w14:textId="34B656A0" w:rsidR="00D367C3" w:rsidRPr="007B36BC" w:rsidRDefault="00D367C3" w:rsidP="00A067EA">
      <w:pPr>
        <w:jc w:val="center"/>
        <w:rPr>
          <w:rFonts w:ascii="Calibri" w:hAnsi="Calibri" w:cs="Calibri"/>
          <w:sz w:val="28"/>
          <w:szCs w:val="28"/>
        </w:rPr>
      </w:pPr>
      <w:r w:rsidRPr="007B36BC">
        <w:rPr>
          <w:rFonts w:ascii="Calibri" w:hAnsi="Calibri" w:cs="Calibri"/>
          <w:sz w:val="28"/>
          <w:szCs w:val="28"/>
        </w:rPr>
        <w:t xml:space="preserve">How </w:t>
      </w:r>
      <w:r w:rsidR="00296D0E">
        <w:rPr>
          <w:rFonts w:ascii="Calibri" w:hAnsi="Calibri" w:cs="Calibri"/>
          <w:sz w:val="28"/>
          <w:szCs w:val="28"/>
        </w:rPr>
        <w:t xml:space="preserve">Data-Driven Insights Can Inform Policy Solutions That Address </w:t>
      </w:r>
      <w:r w:rsidR="00296D0E">
        <w:rPr>
          <w:rFonts w:ascii="Calibri" w:hAnsi="Calibri" w:cs="Calibri"/>
          <w:sz w:val="28"/>
          <w:szCs w:val="28"/>
        </w:rPr>
        <w:br/>
        <w:t>The Racial Wealth Gap</w:t>
      </w:r>
    </w:p>
    <w:p w14:paraId="3AF1836B" w14:textId="77777777" w:rsidR="00D367C3" w:rsidRDefault="00D367C3" w:rsidP="004B1105">
      <w:pPr>
        <w:ind w:left="720" w:hanging="360"/>
      </w:pPr>
    </w:p>
    <w:p w14:paraId="0C663597" w14:textId="77777777" w:rsidR="003D073B" w:rsidRDefault="003D073B" w:rsidP="004B1105">
      <w:pPr>
        <w:spacing w:line="257" w:lineRule="auto"/>
      </w:pPr>
    </w:p>
    <w:p w14:paraId="0C26988E" w14:textId="7B7917C0" w:rsidR="00F42EDE" w:rsidRDefault="39A21AFB" w:rsidP="004B1105">
      <w:pPr>
        <w:spacing w:line="257" w:lineRule="auto"/>
      </w:pPr>
      <w:r w:rsidRPr="0A18F7E2">
        <w:rPr>
          <w:rFonts w:ascii="Segoe UI" w:eastAsia="Segoe UI" w:hAnsi="Segoe UI" w:cs="Segoe UI"/>
          <w:sz w:val="18"/>
          <w:szCs w:val="18"/>
        </w:rPr>
        <w:t xml:space="preserve"> </w:t>
      </w:r>
    </w:p>
    <w:p w14:paraId="61DEB402" w14:textId="7FC8CDDD" w:rsidR="00F42EDE" w:rsidRDefault="39A21AFB" w:rsidP="004B1105">
      <w:pPr>
        <w:spacing w:line="257" w:lineRule="auto"/>
      </w:pPr>
      <w:r w:rsidRPr="0A18F7E2">
        <w:rPr>
          <w:rFonts w:ascii="Segoe UI" w:eastAsia="Segoe UI" w:hAnsi="Segoe UI" w:cs="Segoe UI"/>
          <w:sz w:val="18"/>
          <w:szCs w:val="18"/>
        </w:rPr>
        <w:t>A report by</w:t>
      </w:r>
      <w:r w:rsidR="007D405D">
        <w:rPr>
          <w:rFonts w:ascii="Segoe UI" w:eastAsia="Segoe UI" w:hAnsi="Segoe UI" w:cs="Segoe UI"/>
          <w:sz w:val="18"/>
          <w:szCs w:val="18"/>
        </w:rPr>
        <w:t xml:space="preserve"> the</w:t>
      </w:r>
      <w:r w:rsidRPr="0A18F7E2">
        <w:rPr>
          <w:rFonts w:ascii="Segoe UI" w:eastAsia="Segoe UI" w:hAnsi="Segoe UI" w:cs="Segoe UI"/>
          <w:sz w:val="18"/>
          <w:szCs w:val="18"/>
        </w:rPr>
        <w:t xml:space="preserve"> Institute for Higher Education Policy</w:t>
      </w:r>
    </w:p>
    <w:p w14:paraId="186ECF5C" w14:textId="4B79FF67" w:rsidR="00F42EDE" w:rsidRDefault="39A21AFB" w:rsidP="004B1105">
      <w:pPr>
        <w:spacing w:line="257" w:lineRule="auto"/>
        <w:rPr>
          <w:rFonts w:ascii="Segoe UI" w:eastAsia="Segoe UI" w:hAnsi="Segoe UI" w:cs="Segoe UI"/>
          <w:sz w:val="18"/>
          <w:szCs w:val="18"/>
        </w:rPr>
      </w:pPr>
      <w:r w:rsidRPr="0A18F7E2">
        <w:rPr>
          <w:rFonts w:ascii="Segoe UI" w:eastAsia="Segoe UI" w:hAnsi="Segoe UI" w:cs="Segoe UI"/>
          <w:sz w:val="18"/>
          <w:szCs w:val="18"/>
        </w:rPr>
        <w:t xml:space="preserve">By </w:t>
      </w:r>
      <w:r w:rsidR="00823DE2">
        <w:rPr>
          <w:rFonts w:ascii="Segoe UI" w:eastAsia="Segoe UI" w:hAnsi="Segoe UI" w:cs="Segoe UI"/>
          <w:sz w:val="18"/>
          <w:szCs w:val="18"/>
        </w:rPr>
        <w:t>Charles Sanchez, Eleanor Eckerson Peters, Diane Cheng</w:t>
      </w:r>
      <w:r w:rsidR="03CC61D5" w:rsidRPr="0265AE52">
        <w:rPr>
          <w:rFonts w:ascii="Segoe UI" w:eastAsia="Segoe UI" w:hAnsi="Segoe UI" w:cs="Segoe UI"/>
          <w:sz w:val="18"/>
          <w:szCs w:val="18"/>
        </w:rPr>
        <w:t>,</w:t>
      </w:r>
      <w:r w:rsidR="00FF55F9">
        <w:rPr>
          <w:rFonts w:ascii="Segoe UI" w:eastAsia="Segoe UI" w:hAnsi="Segoe UI" w:cs="Segoe UI"/>
          <w:sz w:val="18"/>
          <w:szCs w:val="18"/>
        </w:rPr>
        <w:t xml:space="preserve"> and</w:t>
      </w:r>
      <w:r w:rsidR="03CC61D5" w:rsidRPr="0265AE52">
        <w:rPr>
          <w:rFonts w:ascii="Segoe UI" w:eastAsia="Segoe UI" w:hAnsi="Segoe UI" w:cs="Segoe UI"/>
          <w:sz w:val="18"/>
          <w:szCs w:val="18"/>
        </w:rPr>
        <w:t xml:space="preserve"> Sean Tierney</w:t>
      </w:r>
    </w:p>
    <w:p w14:paraId="756DAAF9" w14:textId="77777777" w:rsidR="00C318AE" w:rsidRDefault="00C318AE" w:rsidP="004B1105">
      <w:pPr>
        <w:spacing w:line="257" w:lineRule="auto"/>
        <w:rPr>
          <w:rFonts w:ascii="Segoe UI" w:eastAsia="Segoe UI" w:hAnsi="Segoe UI" w:cs="Segoe UI"/>
          <w:sz w:val="18"/>
          <w:szCs w:val="18"/>
        </w:rPr>
      </w:pPr>
    </w:p>
    <w:p w14:paraId="5833F88F" w14:textId="743020F7" w:rsidR="00F42EDE" w:rsidRDefault="005052B8" w:rsidP="004B1105">
      <w:pPr>
        <w:spacing w:line="257" w:lineRule="auto"/>
        <w:rPr>
          <w:rFonts w:ascii="Segoe UI" w:eastAsia="Segoe UI" w:hAnsi="Segoe UI" w:cs="Segoe UI"/>
          <w:sz w:val="18"/>
          <w:szCs w:val="18"/>
        </w:rPr>
      </w:pPr>
      <w:r w:rsidRPr="00FC7BCC">
        <w:rPr>
          <w:rFonts w:ascii="Segoe UI" w:eastAsia="Segoe UI" w:hAnsi="Segoe UI" w:cs="Segoe UI"/>
          <w:sz w:val="18"/>
          <w:szCs w:val="18"/>
        </w:rPr>
        <w:t>May</w:t>
      </w:r>
      <w:r w:rsidR="39A21AFB" w:rsidRPr="00FC7BCC">
        <w:rPr>
          <w:rFonts w:ascii="Segoe UI" w:eastAsia="Segoe UI" w:hAnsi="Segoe UI" w:cs="Segoe UI"/>
          <w:sz w:val="18"/>
          <w:szCs w:val="18"/>
        </w:rPr>
        <w:t xml:space="preserve"> 2024</w:t>
      </w:r>
    </w:p>
    <w:p w14:paraId="4C50FC9A" w14:textId="77777777" w:rsidR="00D367C3" w:rsidRDefault="00D367C3" w:rsidP="004B1105">
      <w:pPr>
        <w:spacing w:line="257" w:lineRule="auto"/>
        <w:rPr>
          <w:rFonts w:ascii="Segoe UI" w:eastAsia="Segoe UI" w:hAnsi="Segoe UI" w:cs="Segoe UI"/>
          <w:sz w:val="18"/>
          <w:szCs w:val="18"/>
        </w:rPr>
      </w:pPr>
    </w:p>
    <w:p w14:paraId="12047AFE" w14:textId="77777777" w:rsidR="00D367C3" w:rsidRDefault="00D367C3" w:rsidP="004B1105">
      <w:pPr>
        <w:spacing w:line="257" w:lineRule="auto"/>
      </w:pPr>
    </w:p>
    <w:p w14:paraId="34437188" w14:textId="77777777" w:rsidR="00F42EDE" w:rsidRDefault="00F42EDE" w:rsidP="004B1105">
      <w:pPr>
        <w:spacing w:line="257" w:lineRule="auto"/>
      </w:pPr>
    </w:p>
    <w:p w14:paraId="03592EB1" w14:textId="39BB1952" w:rsidR="00601C36" w:rsidRDefault="00601C36" w:rsidP="004B1105">
      <w:pPr>
        <w:spacing w:line="257" w:lineRule="auto"/>
        <w:sectPr w:rsidR="00601C36" w:rsidSect="001A7A59">
          <w:headerReference w:type="even" r:id="rId11"/>
          <w:headerReference w:type="default" r:id="rId12"/>
          <w:footerReference w:type="default" r:id="rId13"/>
          <w:footnotePr>
            <w:numFmt w:val="lowerRoman"/>
          </w:footnotePr>
          <w:endnotePr>
            <w:numFmt w:val="decimal"/>
          </w:endnotePr>
          <w:pgSz w:w="12240" w:h="15840"/>
          <w:pgMar w:top="1440" w:right="1440" w:bottom="1440" w:left="1440" w:header="720" w:footer="720" w:gutter="0"/>
          <w:pgNumType w:start="0"/>
          <w:cols w:space="720"/>
          <w:titlePg/>
          <w:docGrid w:linePitch="360"/>
        </w:sectPr>
      </w:pPr>
    </w:p>
    <w:p w14:paraId="5898FD56" w14:textId="77777777" w:rsidR="00C22D55" w:rsidRDefault="00C22D55" w:rsidP="004B1105"/>
    <w:sdt>
      <w:sdtPr>
        <w:rPr>
          <w:rFonts w:asciiTheme="minorHAnsi" w:eastAsia="Times New Roman" w:hAnsiTheme="minorHAnsi" w:cs="Times New Roman"/>
          <w:b w:val="0"/>
          <w:bCs w:val="0"/>
          <w:color w:val="auto"/>
          <w:sz w:val="22"/>
          <w:szCs w:val="22"/>
        </w:rPr>
        <w:id w:val="811910390"/>
        <w:docPartObj>
          <w:docPartGallery w:val="Table of Contents"/>
          <w:docPartUnique/>
        </w:docPartObj>
      </w:sdtPr>
      <w:sdtContent>
        <w:p w14:paraId="375EDF09" w14:textId="213C0FAF" w:rsidR="00237DF0" w:rsidRDefault="00237DF0" w:rsidP="004B1105">
          <w:pPr>
            <w:pStyle w:val="TOCHeading"/>
          </w:pPr>
          <w:r>
            <w:t>Contents</w:t>
          </w:r>
        </w:p>
        <w:p w14:paraId="0089E46F" w14:textId="5ECC27C2" w:rsidR="0006793B" w:rsidRDefault="006876E1">
          <w:pPr>
            <w:pStyle w:val="TOC1"/>
            <w:rPr>
              <w:rFonts w:eastAsiaTheme="minorEastAsia" w:cstheme="minorBidi"/>
              <w:bCs w:val="0"/>
              <w:caps w:val="0"/>
              <w:noProof/>
              <w:kern w:val="2"/>
              <w:sz w:val="24"/>
              <w:szCs w:val="24"/>
              <w14:ligatures w14:val="standardContextual"/>
            </w:rPr>
          </w:pPr>
          <w:r>
            <w:fldChar w:fldCharType="begin"/>
          </w:r>
          <w:r>
            <w:instrText xml:space="preserve"> TOC \o "1-3" \h \z \u </w:instrText>
          </w:r>
          <w:r>
            <w:fldChar w:fldCharType="separate"/>
          </w:r>
          <w:hyperlink w:anchor="_Toc167901736" w:history="1">
            <w:r w:rsidR="0006793B" w:rsidRPr="00677912">
              <w:rPr>
                <w:rStyle w:val="Hyperlink"/>
                <w:noProof/>
              </w:rPr>
              <w:t>Executive Summary</w:t>
            </w:r>
            <w:r w:rsidR="0006793B">
              <w:rPr>
                <w:noProof/>
                <w:webHidden/>
              </w:rPr>
              <w:tab/>
            </w:r>
            <w:r w:rsidR="0006793B">
              <w:rPr>
                <w:noProof/>
                <w:webHidden/>
              </w:rPr>
              <w:fldChar w:fldCharType="begin"/>
            </w:r>
            <w:r w:rsidR="0006793B">
              <w:rPr>
                <w:noProof/>
                <w:webHidden/>
              </w:rPr>
              <w:instrText xml:space="preserve"> PAGEREF _Toc167901736 \h </w:instrText>
            </w:r>
            <w:r w:rsidR="0006793B">
              <w:rPr>
                <w:noProof/>
                <w:webHidden/>
              </w:rPr>
            </w:r>
            <w:r w:rsidR="0006793B">
              <w:rPr>
                <w:noProof/>
                <w:webHidden/>
              </w:rPr>
              <w:fldChar w:fldCharType="separate"/>
            </w:r>
            <w:r w:rsidR="0006793B">
              <w:rPr>
                <w:noProof/>
                <w:webHidden/>
              </w:rPr>
              <w:t>2</w:t>
            </w:r>
            <w:r w:rsidR="0006793B">
              <w:rPr>
                <w:noProof/>
                <w:webHidden/>
              </w:rPr>
              <w:fldChar w:fldCharType="end"/>
            </w:r>
          </w:hyperlink>
        </w:p>
        <w:p w14:paraId="450D14D2" w14:textId="6FAC64E4" w:rsidR="0006793B" w:rsidRDefault="00000000">
          <w:pPr>
            <w:pStyle w:val="TOC1"/>
            <w:rPr>
              <w:rFonts w:eastAsiaTheme="minorEastAsia" w:cstheme="minorBidi"/>
              <w:bCs w:val="0"/>
              <w:caps w:val="0"/>
              <w:noProof/>
              <w:kern w:val="2"/>
              <w:sz w:val="24"/>
              <w:szCs w:val="24"/>
              <w14:ligatures w14:val="standardContextual"/>
            </w:rPr>
          </w:pPr>
          <w:hyperlink w:anchor="_Toc167901737" w:history="1">
            <w:r w:rsidR="0006793B" w:rsidRPr="00677912">
              <w:rPr>
                <w:rStyle w:val="Hyperlink"/>
                <w:noProof/>
              </w:rPr>
              <w:t>Contributors</w:t>
            </w:r>
            <w:r w:rsidR="0006793B">
              <w:rPr>
                <w:noProof/>
                <w:webHidden/>
              </w:rPr>
              <w:tab/>
            </w:r>
            <w:r w:rsidR="0006793B">
              <w:rPr>
                <w:noProof/>
                <w:webHidden/>
              </w:rPr>
              <w:fldChar w:fldCharType="begin"/>
            </w:r>
            <w:r w:rsidR="0006793B">
              <w:rPr>
                <w:noProof/>
                <w:webHidden/>
              </w:rPr>
              <w:instrText xml:space="preserve"> PAGEREF _Toc167901737 \h </w:instrText>
            </w:r>
            <w:r w:rsidR="0006793B">
              <w:rPr>
                <w:noProof/>
                <w:webHidden/>
              </w:rPr>
            </w:r>
            <w:r w:rsidR="0006793B">
              <w:rPr>
                <w:noProof/>
                <w:webHidden/>
              </w:rPr>
              <w:fldChar w:fldCharType="separate"/>
            </w:r>
            <w:r w:rsidR="0006793B">
              <w:rPr>
                <w:noProof/>
                <w:webHidden/>
              </w:rPr>
              <w:t>4</w:t>
            </w:r>
            <w:r w:rsidR="0006793B">
              <w:rPr>
                <w:noProof/>
                <w:webHidden/>
              </w:rPr>
              <w:fldChar w:fldCharType="end"/>
            </w:r>
          </w:hyperlink>
        </w:p>
        <w:p w14:paraId="21E4935C" w14:textId="3048ECE3" w:rsidR="0006793B" w:rsidRDefault="00000000">
          <w:pPr>
            <w:pStyle w:val="TOC1"/>
            <w:rPr>
              <w:rFonts w:eastAsiaTheme="minorEastAsia" w:cstheme="minorBidi"/>
              <w:bCs w:val="0"/>
              <w:caps w:val="0"/>
              <w:noProof/>
              <w:kern w:val="2"/>
              <w:sz w:val="24"/>
              <w:szCs w:val="24"/>
              <w14:ligatures w14:val="standardContextual"/>
            </w:rPr>
          </w:pPr>
          <w:hyperlink w:anchor="_Toc167901738" w:history="1">
            <w:r w:rsidR="0006793B" w:rsidRPr="00677912">
              <w:rPr>
                <w:rStyle w:val="Hyperlink"/>
                <w:noProof/>
              </w:rPr>
              <w:t>Acknowledgements</w:t>
            </w:r>
            <w:r w:rsidR="0006793B">
              <w:rPr>
                <w:noProof/>
                <w:webHidden/>
              </w:rPr>
              <w:tab/>
            </w:r>
            <w:r w:rsidR="0006793B">
              <w:rPr>
                <w:noProof/>
                <w:webHidden/>
              </w:rPr>
              <w:fldChar w:fldCharType="begin"/>
            </w:r>
            <w:r w:rsidR="0006793B">
              <w:rPr>
                <w:noProof/>
                <w:webHidden/>
              </w:rPr>
              <w:instrText xml:space="preserve"> PAGEREF _Toc167901738 \h </w:instrText>
            </w:r>
            <w:r w:rsidR="0006793B">
              <w:rPr>
                <w:noProof/>
                <w:webHidden/>
              </w:rPr>
            </w:r>
            <w:r w:rsidR="0006793B">
              <w:rPr>
                <w:noProof/>
                <w:webHidden/>
              </w:rPr>
              <w:fldChar w:fldCharType="separate"/>
            </w:r>
            <w:r w:rsidR="0006793B">
              <w:rPr>
                <w:noProof/>
                <w:webHidden/>
              </w:rPr>
              <w:t>4</w:t>
            </w:r>
            <w:r w:rsidR="0006793B">
              <w:rPr>
                <w:noProof/>
                <w:webHidden/>
              </w:rPr>
              <w:fldChar w:fldCharType="end"/>
            </w:r>
          </w:hyperlink>
        </w:p>
        <w:p w14:paraId="58F5F1E8" w14:textId="0A30D375" w:rsidR="0006793B" w:rsidRDefault="00000000">
          <w:pPr>
            <w:pStyle w:val="TOC1"/>
            <w:rPr>
              <w:rFonts w:eastAsiaTheme="minorEastAsia" w:cstheme="minorBidi"/>
              <w:bCs w:val="0"/>
              <w:caps w:val="0"/>
              <w:noProof/>
              <w:kern w:val="2"/>
              <w:sz w:val="24"/>
              <w:szCs w:val="24"/>
              <w14:ligatures w14:val="standardContextual"/>
            </w:rPr>
          </w:pPr>
          <w:hyperlink w:anchor="_Toc167901739" w:history="1">
            <w:r w:rsidR="0006793B" w:rsidRPr="00677912">
              <w:rPr>
                <w:rStyle w:val="Hyperlink"/>
                <w:noProof/>
              </w:rPr>
              <w:t>Note on Identity Language</w:t>
            </w:r>
            <w:r w:rsidR="0006793B">
              <w:rPr>
                <w:noProof/>
                <w:webHidden/>
              </w:rPr>
              <w:tab/>
            </w:r>
            <w:r w:rsidR="0006793B">
              <w:rPr>
                <w:noProof/>
                <w:webHidden/>
              </w:rPr>
              <w:fldChar w:fldCharType="begin"/>
            </w:r>
            <w:r w:rsidR="0006793B">
              <w:rPr>
                <w:noProof/>
                <w:webHidden/>
              </w:rPr>
              <w:instrText xml:space="preserve"> PAGEREF _Toc167901739 \h </w:instrText>
            </w:r>
            <w:r w:rsidR="0006793B">
              <w:rPr>
                <w:noProof/>
                <w:webHidden/>
              </w:rPr>
            </w:r>
            <w:r w:rsidR="0006793B">
              <w:rPr>
                <w:noProof/>
                <w:webHidden/>
              </w:rPr>
              <w:fldChar w:fldCharType="separate"/>
            </w:r>
            <w:r w:rsidR="0006793B">
              <w:rPr>
                <w:noProof/>
                <w:webHidden/>
              </w:rPr>
              <w:t>5</w:t>
            </w:r>
            <w:r w:rsidR="0006793B">
              <w:rPr>
                <w:noProof/>
                <w:webHidden/>
              </w:rPr>
              <w:fldChar w:fldCharType="end"/>
            </w:r>
          </w:hyperlink>
        </w:p>
        <w:p w14:paraId="6E4E480A" w14:textId="6C2834A1" w:rsidR="0006793B" w:rsidRDefault="00000000">
          <w:pPr>
            <w:pStyle w:val="TOC1"/>
            <w:rPr>
              <w:rFonts w:eastAsiaTheme="minorEastAsia" w:cstheme="minorBidi"/>
              <w:bCs w:val="0"/>
              <w:caps w:val="0"/>
              <w:noProof/>
              <w:kern w:val="2"/>
              <w:sz w:val="24"/>
              <w:szCs w:val="24"/>
              <w14:ligatures w14:val="standardContextual"/>
            </w:rPr>
          </w:pPr>
          <w:hyperlink w:anchor="_Toc167901740" w:history="1">
            <w:r w:rsidR="0006793B" w:rsidRPr="00677912">
              <w:rPr>
                <w:rStyle w:val="Hyperlink"/>
                <w:noProof/>
              </w:rPr>
              <w:t>Introduction</w:t>
            </w:r>
            <w:r w:rsidR="0006793B">
              <w:rPr>
                <w:noProof/>
                <w:webHidden/>
              </w:rPr>
              <w:tab/>
            </w:r>
            <w:r w:rsidR="0006793B">
              <w:rPr>
                <w:noProof/>
                <w:webHidden/>
              </w:rPr>
              <w:fldChar w:fldCharType="begin"/>
            </w:r>
            <w:r w:rsidR="0006793B">
              <w:rPr>
                <w:noProof/>
                <w:webHidden/>
              </w:rPr>
              <w:instrText xml:space="preserve"> PAGEREF _Toc167901740 \h </w:instrText>
            </w:r>
            <w:r w:rsidR="0006793B">
              <w:rPr>
                <w:noProof/>
                <w:webHidden/>
              </w:rPr>
            </w:r>
            <w:r w:rsidR="0006793B">
              <w:rPr>
                <w:noProof/>
                <w:webHidden/>
              </w:rPr>
              <w:fldChar w:fldCharType="separate"/>
            </w:r>
            <w:r w:rsidR="0006793B">
              <w:rPr>
                <w:noProof/>
                <w:webHidden/>
              </w:rPr>
              <w:t>6</w:t>
            </w:r>
            <w:r w:rsidR="0006793B">
              <w:rPr>
                <w:noProof/>
                <w:webHidden/>
              </w:rPr>
              <w:fldChar w:fldCharType="end"/>
            </w:r>
          </w:hyperlink>
        </w:p>
        <w:p w14:paraId="4C2EA403" w14:textId="34ACFC04" w:rsidR="0006793B" w:rsidRDefault="00000000">
          <w:pPr>
            <w:pStyle w:val="TOC3"/>
            <w:rPr>
              <w:rFonts w:eastAsiaTheme="minorEastAsia" w:cstheme="minorBidi"/>
              <w:i w:val="0"/>
              <w:iCs w:val="0"/>
              <w:noProof/>
              <w:kern w:val="2"/>
              <w:sz w:val="24"/>
              <w:szCs w:val="24"/>
              <w14:ligatures w14:val="standardContextual"/>
            </w:rPr>
          </w:pPr>
          <w:hyperlink w:anchor="_Toc167901741" w:history="1">
            <w:r w:rsidR="0006793B" w:rsidRPr="00677912">
              <w:rPr>
                <w:rStyle w:val="Hyperlink"/>
                <w:noProof/>
              </w:rPr>
              <w:t>What is the Difference Between Income and Wealth?</w:t>
            </w:r>
            <w:r w:rsidR="0006793B">
              <w:rPr>
                <w:noProof/>
                <w:webHidden/>
              </w:rPr>
              <w:tab/>
            </w:r>
            <w:r w:rsidR="0006793B">
              <w:rPr>
                <w:noProof/>
                <w:webHidden/>
              </w:rPr>
              <w:fldChar w:fldCharType="begin"/>
            </w:r>
            <w:r w:rsidR="0006793B">
              <w:rPr>
                <w:noProof/>
                <w:webHidden/>
              </w:rPr>
              <w:instrText xml:space="preserve"> PAGEREF _Toc167901741 \h </w:instrText>
            </w:r>
            <w:r w:rsidR="0006793B">
              <w:rPr>
                <w:noProof/>
                <w:webHidden/>
              </w:rPr>
            </w:r>
            <w:r w:rsidR="0006793B">
              <w:rPr>
                <w:noProof/>
                <w:webHidden/>
              </w:rPr>
              <w:fldChar w:fldCharType="separate"/>
            </w:r>
            <w:r w:rsidR="0006793B">
              <w:rPr>
                <w:noProof/>
                <w:webHidden/>
              </w:rPr>
              <w:t>7</w:t>
            </w:r>
            <w:r w:rsidR="0006793B">
              <w:rPr>
                <w:noProof/>
                <w:webHidden/>
              </w:rPr>
              <w:fldChar w:fldCharType="end"/>
            </w:r>
          </w:hyperlink>
        </w:p>
        <w:p w14:paraId="3456F503" w14:textId="32A9A14A" w:rsidR="0006793B" w:rsidRDefault="00000000">
          <w:pPr>
            <w:pStyle w:val="TOC3"/>
            <w:rPr>
              <w:rFonts w:eastAsiaTheme="minorEastAsia" w:cstheme="minorBidi"/>
              <w:i w:val="0"/>
              <w:iCs w:val="0"/>
              <w:noProof/>
              <w:kern w:val="2"/>
              <w:sz w:val="24"/>
              <w:szCs w:val="24"/>
              <w14:ligatures w14:val="standardContextual"/>
            </w:rPr>
          </w:pPr>
          <w:hyperlink w:anchor="_Toc167901742" w:history="1">
            <w:r w:rsidR="0006793B" w:rsidRPr="00677912">
              <w:rPr>
                <w:rStyle w:val="Hyperlink"/>
                <w:noProof/>
              </w:rPr>
              <w:t>What is the Racial Wealth Gap?</w:t>
            </w:r>
            <w:r w:rsidR="0006793B">
              <w:rPr>
                <w:noProof/>
                <w:webHidden/>
              </w:rPr>
              <w:tab/>
            </w:r>
            <w:r w:rsidR="0006793B">
              <w:rPr>
                <w:noProof/>
                <w:webHidden/>
              </w:rPr>
              <w:fldChar w:fldCharType="begin"/>
            </w:r>
            <w:r w:rsidR="0006793B">
              <w:rPr>
                <w:noProof/>
                <w:webHidden/>
              </w:rPr>
              <w:instrText xml:space="preserve"> PAGEREF _Toc167901742 \h </w:instrText>
            </w:r>
            <w:r w:rsidR="0006793B">
              <w:rPr>
                <w:noProof/>
                <w:webHidden/>
              </w:rPr>
            </w:r>
            <w:r w:rsidR="0006793B">
              <w:rPr>
                <w:noProof/>
                <w:webHidden/>
              </w:rPr>
              <w:fldChar w:fldCharType="separate"/>
            </w:r>
            <w:r w:rsidR="0006793B">
              <w:rPr>
                <w:noProof/>
                <w:webHidden/>
              </w:rPr>
              <w:t>7</w:t>
            </w:r>
            <w:r w:rsidR="0006793B">
              <w:rPr>
                <w:noProof/>
                <w:webHidden/>
              </w:rPr>
              <w:fldChar w:fldCharType="end"/>
            </w:r>
          </w:hyperlink>
        </w:p>
        <w:p w14:paraId="0702397A" w14:textId="29D2BD06" w:rsidR="0006793B" w:rsidRDefault="00000000">
          <w:pPr>
            <w:pStyle w:val="TOC1"/>
            <w:rPr>
              <w:rFonts w:eastAsiaTheme="minorEastAsia" w:cstheme="minorBidi"/>
              <w:bCs w:val="0"/>
              <w:caps w:val="0"/>
              <w:noProof/>
              <w:kern w:val="2"/>
              <w:sz w:val="24"/>
              <w:szCs w:val="24"/>
              <w14:ligatures w14:val="standardContextual"/>
            </w:rPr>
          </w:pPr>
          <w:hyperlink w:anchor="_Toc167901743" w:history="1">
            <w:r w:rsidR="0006793B" w:rsidRPr="00677912">
              <w:rPr>
                <w:rStyle w:val="Hyperlink"/>
                <w:noProof/>
              </w:rPr>
              <w:t>The Cyclical Relationship Between Higher Education And The Racial Wealth Gap</w:t>
            </w:r>
            <w:r w:rsidR="0006793B">
              <w:rPr>
                <w:noProof/>
                <w:webHidden/>
              </w:rPr>
              <w:tab/>
            </w:r>
            <w:r w:rsidR="0006793B">
              <w:rPr>
                <w:noProof/>
                <w:webHidden/>
              </w:rPr>
              <w:fldChar w:fldCharType="begin"/>
            </w:r>
            <w:r w:rsidR="0006793B">
              <w:rPr>
                <w:noProof/>
                <w:webHidden/>
              </w:rPr>
              <w:instrText xml:space="preserve"> PAGEREF _Toc167901743 \h </w:instrText>
            </w:r>
            <w:r w:rsidR="0006793B">
              <w:rPr>
                <w:noProof/>
                <w:webHidden/>
              </w:rPr>
            </w:r>
            <w:r w:rsidR="0006793B">
              <w:rPr>
                <w:noProof/>
                <w:webHidden/>
              </w:rPr>
              <w:fldChar w:fldCharType="separate"/>
            </w:r>
            <w:r w:rsidR="0006793B">
              <w:rPr>
                <w:noProof/>
                <w:webHidden/>
              </w:rPr>
              <w:t>9</w:t>
            </w:r>
            <w:r w:rsidR="0006793B">
              <w:rPr>
                <w:noProof/>
                <w:webHidden/>
              </w:rPr>
              <w:fldChar w:fldCharType="end"/>
            </w:r>
          </w:hyperlink>
        </w:p>
        <w:p w14:paraId="7B63B86F" w14:textId="264C6996" w:rsidR="0006793B" w:rsidRDefault="00000000">
          <w:pPr>
            <w:pStyle w:val="TOC2"/>
            <w:tabs>
              <w:tab w:val="right" w:leader="dot" w:pos="9350"/>
            </w:tabs>
            <w:rPr>
              <w:rFonts w:eastAsiaTheme="minorEastAsia" w:cstheme="minorBidi"/>
              <w:smallCaps w:val="0"/>
              <w:noProof/>
              <w:kern w:val="2"/>
              <w:sz w:val="24"/>
              <w:szCs w:val="24"/>
              <w14:ligatures w14:val="standardContextual"/>
            </w:rPr>
          </w:pPr>
          <w:hyperlink w:anchor="_Toc167901744" w:history="1">
            <w:r w:rsidR="0006793B" w:rsidRPr="00677912">
              <w:rPr>
                <w:rStyle w:val="Hyperlink"/>
                <w:noProof/>
              </w:rPr>
              <w:t>How Wealth Affects Higher Education Experiences and Outcomes</w:t>
            </w:r>
            <w:r w:rsidR="0006793B">
              <w:rPr>
                <w:noProof/>
                <w:webHidden/>
              </w:rPr>
              <w:tab/>
            </w:r>
            <w:r w:rsidR="0006793B">
              <w:rPr>
                <w:noProof/>
                <w:webHidden/>
              </w:rPr>
              <w:fldChar w:fldCharType="begin"/>
            </w:r>
            <w:r w:rsidR="0006793B">
              <w:rPr>
                <w:noProof/>
                <w:webHidden/>
              </w:rPr>
              <w:instrText xml:space="preserve"> PAGEREF _Toc167901744 \h </w:instrText>
            </w:r>
            <w:r w:rsidR="0006793B">
              <w:rPr>
                <w:noProof/>
                <w:webHidden/>
              </w:rPr>
            </w:r>
            <w:r w:rsidR="0006793B">
              <w:rPr>
                <w:noProof/>
                <w:webHidden/>
              </w:rPr>
              <w:fldChar w:fldCharType="separate"/>
            </w:r>
            <w:r w:rsidR="0006793B">
              <w:rPr>
                <w:noProof/>
                <w:webHidden/>
              </w:rPr>
              <w:t>9</w:t>
            </w:r>
            <w:r w:rsidR="0006793B">
              <w:rPr>
                <w:noProof/>
                <w:webHidden/>
              </w:rPr>
              <w:fldChar w:fldCharType="end"/>
            </w:r>
          </w:hyperlink>
        </w:p>
        <w:p w14:paraId="3BA78697" w14:textId="4DA55E88" w:rsidR="0006793B" w:rsidRDefault="00000000">
          <w:pPr>
            <w:pStyle w:val="TOC2"/>
            <w:tabs>
              <w:tab w:val="right" w:leader="dot" w:pos="9350"/>
            </w:tabs>
            <w:rPr>
              <w:rFonts w:eastAsiaTheme="minorEastAsia" w:cstheme="minorBidi"/>
              <w:smallCaps w:val="0"/>
              <w:noProof/>
              <w:kern w:val="2"/>
              <w:sz w:val="24"/>
              <w:szCs w:val="24"/>
              <w14:ligatures w14:val="standardContextual"/>
            </w:rPr>
          </w:pPr>
          <w:hyperlink w:anchor="_Toc167901745" w:history="1">
            <w:r w:rsidR="0006793B" w:rsidRPr="00677912">
              <w:rPr>
                <w:rStyle w:val="Hyperlink"/>
                <w:noProof/>
              </w:rPr>
              <w:t>How Wealth is Affected by Higher Education Experiences and Outcomes</w:t>
            </w:r>
            <w:r w:rsidR="0006793B">
              <w:rPr>
                <w:noProof/>
                <w:webHidden/>
              </w:rPr>
              <w:tab/>
            </w:r>
            <w:r w:rsidR="0006793B">
              <w:rPr>
                <w:noProof/>
                <w:webHidden/>
              </w:rPr>
              <w:fldChar w:fldCharType="begin"/>
            </w:r>
            <w:r w:rsidR="0006793B">
              <w:rPr>
                <w:noProof/>
                <w:webHidden/>
              </w:rPr>
              <w:instrText xml:space="preserve"> PAGEREF _Toc167901745 \h </w:instrText>
            </w:r>
            <w:r w:rsidR="0006793B">
              <w:rPr>
                <w:noProof/>
                <w:webHidden/>
              </w:rPr>
            </w:r>
            <w:r w:rsidR="0006793B">
              <w:rPr>
                <w:noProof/>
                <w:webHidden/>
              </w:rPr>
              <w:fldChar w:fldCharType="separate"/>
            </w:r>
            <w:r w:rsidR="0006793B">
              <w:rPr>
                <w:noProof/>
                <w:webHidden/>
              </w:rPr>
              <w:t>10</w:t>
            </w:r>
            <w:r w:rsidR="0006793B">
              <w:rPr>
                <w:noProof/>
                <w:webHidden/>
              </w:rPr>
              <w:fldChar w:fldCharType="end"/>
            </w:r>
          </w:hyperlink>
        </w:p>
        <w:p w14:paraId="24E329E5" w14:textId="57A7AE46" w:rsidR="0006793B" w:rsidRDefault="00000000">
          <w:pPr>
            <w:pStyle w:val="TOC2"/>
            <w:tabs>
              <w:tab w:val="right" w:leader="dot" w:pos="9350"/>
            </w:tabs>
            <w:rPr>
              <w:rFonts w:eastAsiaTheme="minorEastAsia" w:cstheme="minorBidi"/>
              <w:smallCaps w:val="0"/>
              <w:noProof/>
              <w:kern w:val="2"/>
              <w:sz w:val="24"/>
              <w:szCs w:val="24"/>
              <w14:ligatures w14:val="standardContextual"/>
            </w:rPr>
          </w:pPr>
          <w:hyperlink w:anchor="_Toc167901746" w:history="1">
            <w:r w:rsidR="0006793B" w:rsidRPr="00677912">
              <w:rPr>
                <w:rStyle w:val="Hyperlink"/>
                <w:noProof/>
              </w:rPr>
              <w:t>Research Questions on Higher Education and Wealth</w:t>
            </w:r>
            <w:r w:rsidR="0006793B">
              <w:rPr>
                <w:noProof/>
                <w:webHidden/>
              </w:rPr>
              <w:tab/>
            </w:r>
            <w:r w:rsidR="0006793B">
              <w:rPr>
                <w:noProof/>
                <w:webHidden/>
              </w:rPr>
              <w:fldChar w:fldCharType="begin"/>
            </w:r>
            <w:r w:rsidR="0006793B">
              <w:rPr>
                <w:noProof/>
                <w:webHidden/>
              </w:rPr>
              <w:instrText xml:space="preserve"> PAGEREF _Toc167901746 \h </w:instrText>
            </w:r>
            <w:r w:rsidR="0006793B">
              <w:rPr>
                <w:noProof/>
                <w:webHidden/>
              </w:rPr>
            </w:r>
            <w:r w:rsidR="0006793B">
              <w:rPr>
                <w:noProof/>
                <w:webHidden/>
              </w:rPr>
              <w:fldChar w:fldCharType="separate"/>
            </w:r>
            <w:r w:rsidR="0006793B">
              <w:rPr>
                <w:noProof/>
                <w:webHidden/>
              </w:rPr>
              <w:t>11</w:t>
            </w:r>
            <w:r w:rsidR="0006793B">
              <w:rPr>
                <w:noProof/>
                <w:webHidden/>
              </w:rPr>
              <w:fldChar w:fldCharType="end"/>
            </w:r>
          </w:hyperlink>
        </w:p>
        <w:p w14:paraId="39CB0444" w14:textId="22DE9B04" w:rsidR="0006793B" w:rsidRDefault="00000000">
          <w:pPr>
            <w:pStyle w:val="TOC1"/>
            <w:rPr>
              <w:rFonts w:eastAsiaTheme="minorEastAsia" w:cstheme="minorBidi"/>
              <w:bCs w:val="0"/>
              <w:caps w:val="0"/>
              <w:noProof/>
              <w:kern w:val="2"/>
              <w:sz w:val="24"/>
              <w:szCs w:val="24"/>
              <w14:ligatures w14:val="standardContextual"/>
            </w:rPr>
          </w:pPr>
          <w:hyperlink w:anchor="_Toc167901747" w:history="1">
            <w:r w:rsidR="0006793B" w:rsidRPr="00677912">
              <w:rPr>
                <w:rStyle w:val="Hyperlink"/>
                <w:noProof/>
              </w:rPr>
              <w:t>What Data Are Available On Wealth And Higher Education?</w:t>
            </w:r>
            <w:r w:rsidR="0006793B">
              <w:rPr>
                <w:noProof/>
                <w:webHidden/>
              </w:rPr>
              <w:tab/>
            </w:r>
            <w:r w:rsidR="0006793B">
              <w:rPr>
                <w:noProof/>
                <w:webHidden/>
              </w:rPr>
              <w:fldChar w:fldCharType="begin"/>
            </w:r>
            <w:r w:rsidR="0006793B">
              <w:rPr>
                <w:noProof/>
                <w:webHidden/>
              </w:rPr>
              <w:instrText xml:space="preserve"> PAGEREF _Toc167901747 \h </w:instrText>
            </w:r>
            <w:r w:rsidR="0006793B">
              <w:rPr>
                <w:noProof/>
                <w:webHidden/>
              </w:rPr>
            </w:r>
            <w:r w:rsidR="0006793B">
              <w:rPr>
                <w:noProof/>
                <w:webHidden/>
              </w:rPr>
              <w:fldChar w:fldCharType="separate"/>
            </w:r>
            <w:r w:rsidR="0006793B">
              <w:rPr>
                <w:noProof/>
                <w:webHidden/>
              </w:rPr>
              <w:t>13</w:t>
            </w:r>
            <w:r w:rsidR="0006793B">
              <w:rPr>
                <w:noProof/>
                <w:webHidden/>
              </w:rPr>
              <w:fldChar w:fldCharType="end"/>
            </w:r>
          </w:hyperlink>
        </w:p>
        <w:p w14:paraId="3C6F88E2" w14:textId="7BBEFD78" w:rsidR="0006793B" w:rsidRDefault="00000000">
          <w:pPr>
            <w:pStyle w:val="TOC1"/>
            <w:rPr>
              <w:rFonts w:eastAsiaTheme="minorEastAsia" w:cstheme="minorBidi"/>
              <w:bCs w:val="0"/>
              <w:caps w:val="0"/>
              <w:noProof/>
              <w:kern w:val="2"/>
              <w:sz w:val="24"/>
              <w:szCs w:val="24"/>
              <w14:ligatures w14:val="standardContextual"/>
            </w:rPr>
          </w:pPr>
          <w:hyperlink w:anchor="_Toc167901748" w:history="1">
            <w:r w:rsidR="0006793B" w:rsidRPr="00677912">
              <w:rPr>
                <w:rStyle w:val="Hyperlink"/>
                <w:noProof/>
              </w:rPr>
              <w:t>How Large Is The Racial Wealth Gap?</w:t>
            </w:r>
            <w:r w:rsidR="0006793B">
              <w:rPr>
                <w:noProof/>
                <w:webHidden/>
              </w:rPr>
              <w:tab/>
            </w:r>
            <w:r w:rsidR="0006793B">
              <w:rPr>
                <w:noProof/>
                <w:webHidden/>
              </w:rPr>
              <w:fldChar w:fldCharType="begin"/>
            </w:r>
            <w:r w:rsidR="0006793B">
              <w:rPr>
                <w:noProof/>
                <w:webHidden/>
              </w:rPr>
              <w:instrText xml:space="preserve"> PAGEREF _Toc167901748 \h </w:instrText>
            </w:r>
            <w:r w:rsidR="0006793B">
              <w:rPr>
                <w:noProof/>
                <w:webHidden/>
              </w:rPr>
            </w:r>
            <w:r w:rsidR="0006793B">
              <w:rPr>
                <w:noProof/>
                <w:webHidden/>
              </w:rPr>
              <w:fldChar w:fldCharType="separate"/>
            </w:r>
            <w:r w:rsidR="0006793B">
              <w:rPr>
                <w:noProof/>
                <w:webHidden/>
              </w:rPr>
              <w:t>19</w:t>
            </w:r>
            <w:r w:rsidR="0006793B">
              <w:rPr>
                <w:noProof/>
                <w:webHidden/>
              </w:rPr>
              <w:fldChar w:fldCharType="end"/>
            </w:r>
          </w:hyperlink>
        </w:p>
        <w:p w14:paraId="1DE31A53" w14:textId="13DAD796" w:rsidR="0006793B" w:rsidRDefault="00000000">
          <w:pPr>
            <w:pStyle w:val="TOC1"/>
            <w:rPr>
              <w:rFonts w:eastAsiaTheme="minorEastAsia" w:cstheme="minorBidi"/>
              <w:bCs w:val="0"/>
              <w:caps w:val="0"/>
              <w:noProof/>
              <w:kern w:val="2"/>
              <w:sz w:val="24"/>
              <w:szCs w:val="24"/>
              <w14:ligatures w14:val="standardContextual"/>
            </w:rPr>
          </w:pPr>
          <w:hyperlink w:anchor="_Toc167901749" w:history="1">
            <w:r w:rsidR="0006793B" w:rsidRPr="00677912">
              <w:rPr>
                <w:rStyle w:val="Hyperlink"/>
                <w:noProof/>
              </w:rPr>
              <w:t>How Is Wealth Associated With College Savings, Enrollment, Completion, And Borrowing?</w:t>
            </w:r>
            <w:r w:rsidR="0006793B">
              <w:rPr>
                <w:noProof/>
                <w:webHidden/>
              </w:rPr>
              <w:tab/>
            </w:r>
            <w:r w:rsidR="0006793B">
              <w:rPr>
                <w:noProof/>
                <w:webHidden/>
              </w:rPr>
              <w:fldChar w:fldCharType="begin"/>
            </w:r>
            <w:r w:rsidR="0006793B">
              <w:rPr>
                <w:noProof/>
                <w:webHidden/>
              </w:rPr>
              <w:instrText xml:space="preserve"> PAGEREF _Toc167901749 \h </w:instrText>
            </w:r>
            <w:r w:rsidR="0006793B">
              <w:rPr>
                <w:noProof/>
                <w:webHidden/>
              </w:rPr>
            </w:r>
            <w:r w:rsidR="0006793B">
              <w:rPr>
                <w:noProof/>
                <w:webHidden/>
              </w:rPr>
              <w:fldChar w:fldCharType="separate"/>
            </w:r>
            <w:r w:rsidR="0006793B">
              <w:rPr>
                <w:noProof/>
                <w:webHidden/>
              </w:rPr>
              <w:t>22</w:t>
            </w:r>
            <w:r w:rsidR="0006793B">
              <w:rPr>
                <w:noProof/>
                <w:webHidden/>
              </w:rPr>
              <w:fldChar w:fldCharType="end"/>
            </w:r>
          </w:hyperlink>
        </w:p>
        <w:p w14:paraId="2C759BEC" w14:textId="0E915F49" w:rsidR="0006793B" w:rsidRDefault="00000000">
          <w:pPr>
            <w:pStyle w:val="TOC3"/>
            <w:rPr>
              <w:rFonts w:eastAsiaTheme="minorEastAsia" w:cstheme="minorBidi"/>
              <w:i w:val="0"/>
              <w:iCs w:val="0"/>
              <w:noProof/>
              <w:kern w:val="2"/>
              <w:sz w:val="24"/>
              <w:szCs w:val="24"/>
              <w14:ligatures w14:val="standardContextual"/>
            </w:rPr>
          </w:pPr>
          <w:hyperlink w:anchor="_Toc167901750" w:history="1">
            <w:r w:rsidR="0006793B" w:rsidRPr="00677912">
              <w:rPr>
                <w:rStyle w:val="Hyperlink"/>
                <w:noProof/>
              </w:rPr>
              <w:t>How Wealth Transfers Are Associated with Saving for Children’s Higher Education</w:t>
            </w:r>
            <w:r w:rsidR="0006793B">
              <w:rPr>
                <w:noProof/>
                <w:webHidden/>
              </w:rPr>
              <w:tab/>
            </w:r>
            <w:r w:rsidR="0006793B">
              <w:rPr>
                <w:noProof/>
                <w:webHidden/>
              </w:rPr>
              <w:fldChar w:fldCharType="begin"/>
            </w:r>
            <w:r w:rsidR="0006793B">
              <w:rPr>
                <w:noProof/>
                <w:webHidden/>
              </w:rPr>
              <w:instrText xml:space="preserve"> PAGEREF _Toc167901750 \h </w:instrText>
            </w:r>
            <w:r w:rsidR="0006793B">
              <w:rPr>
                <w:noProof/>
                <w:webHidden/>
              </w:rPr>
            </w:r>
            <w:r w:rsidR="0006793B">
              <w:rPr>
                <w:noProof/>
                <w:webHidden/>
              </w:rPr>
              <w:fldChar w:fldCharType="separate"/>
            </w:r>
            <w:r w:rsidR="0006793B">
              <w:rPr>
                <w:noProof/>
                <w:webHidden/>
              </w:rPr>
              <w:t>22</w:t>
            </w:r>
            <w:r w:rsidR="0006793B">
              <w:rPr>
                <w:noProof/>
                <w:webHidden/>
              </w:rPr>
              <w:fldChar w:fldCharType="end"/>
            </w:r>
          </w:hyperlink>
        </w:p>
        <w:p w14:paraId="36EB884C" w14:textId="79AA7F8F" w:rsidR="0006793B" w:rsidRDefault="00000000">
          <w:pPr>
            <w:pStyle w:val="TOC3"/>
            <w:rPr>
              <w:rFonts w:eastAsiaTheme="minorEastAsia" w:cstheme="minorBidi"/>
              <w:i w:val="0"/>
              <w:iCs w:val="0"/>
              <w:noProof/>
              <w:kern w:val="2"/>
              <w:sz w:val="24"/>
              <w:szCs w:val="24"/>
              <w14:ligatures w14:val="standardContextual"/>
            </w:rPr>
          </w:pPr>
          <w:hyperlink w:anchor="_Toc167901751" w:history="1">
            <w:r w:rsidR="0006793B" w:rsidRPr="00677912">
              <w:rPr>
                <w:rStyle w:val="Hyperlink"/>
                <w:noProof/>
              </w:rPr>
              <w:t>How Wealth Is Associated with College Enrollment</w:t>
            </w:r>
            <w:r w:rsidR="0006793B">
              <w:rPr>
                <w:noProof/>
                <w:webHidden/>
              </w:rPr>
              <w:tab/>
            </w:r>
            <w:r w:rsidR="0006793B">
              <w:rPr>
                <w:noProof/>
                <w:webHidden/>
              </w:rPr>
              <w:fldChar w:fldCharType="begin"/>
            </w:r>
            <w:r w:rsidR="0006793B">
              <w:rPr>
                <w:noProof/>
                <w:webHidden/>
              </w:rPr>
              <w:instrText xml:space="preserve"> PAGEREF _Toc167901751 \h </w:instrText>
            </w:r>
            <w:r w:rsidR="0006793B">
              <w:rPr>
                <w:noProof/>
                <w:webHidden/>
              </w:rPr>
            </w:r>
            <w:r w:rsidR="0006793B">
              <w:rPr>
                <w:noProof/>
                <w:webHidden/>
              </w:rPr>
              <w:fldChar w:fldCharType="separate"/>
            </w:r>
            <w:r w:rsidR="0006793B">
              <w:rPr>
                <w:noProof/>
                <w:webHidden/>
              </w:rPr>
              <w:t>24</w:t>
            </w:r>
            <w:r w:rsidR="0006793B">
              <w:rPr>
                <w:noProof/>
                <w:webHidden/>
              </w:rPr>
              <w:fldChar w:fldCharType="end"/>
            </w:r>
          </w:hyperlink>
        </w:p>
        <w:p w14:paraId="04D8A41B" w14:textId="0E8F713C" w:rsidR="0006793B" w:rsidRDefault="00000000">
          <w:pPr>
            <w:pStyle w:val="TOC3"/>
            <w:rPr>
              <w:rFonts w:eastAsiaTheme="minorEastAsia" w:cstheme="minorBidi"/>
              <w:i w:val="0"/>
              <w:iCs w:val="0"/>
              <w:noProof/>
              <w:kern w:val="2"/>
              <w:sz w:val="24"/>
              <w:szCs w:val="24"/>
              <w14:ligatures w14:val="standardContextual"/>
            </w:rPr>
          </w:pPr>
          <w:hyperlink w:anchor="_Toc167901752" w:history="1">
            <w:r w:rsidR="0006793B" w:rsidRPr="00677912">
              <w:rPr>
                <w:rStyle w:val="Hyperlink"/>
                <w:noProof/>
              </w:rPr>
              <w:t>How Wealth Is Associated with College Completion</w:t>
            </w:r>
            <w:r w:rsidR="0006793B">
              <w:rPr>
                <w:noProof/>
                <w:webHidden/>
              </w:rPr>
              <w:tab/>
            </w:r>
            <w:r w:rsidR="0006793B">
              <w:rPr>
                <w:noProof/>
                <w:webHidden/>
              </w:rPr>
              <w:fldChar w:fldCharType="begin"/>
            </w:r>
            <w:r w:rsidR="0006793B">
              <w:rPr>
                <w:noProof/>
                <w:webHidden/>
              </w:rPr>
              <w:instrText xml:space="preserve"> PAGEREF _Toc167901752 \h </w:instrText>
            </w:r>
            <w:r w:rsidR="0006793B">
              <w:rPr>
                <w:noProof/>
                <w:webHidden/>
              </w:rPr>
            </w:r>
            <w:r w:rsidR="0006793B">
              <w:rPr>
                <w:noProof/>
                <w:webHidden/>
              </w:rPr>
              <w:fldChar w:fldCharType="separate"/>
            </w:r>
            <w:r w:rsidR="0006793B">
              <w:rPr>
                <w:noProof/>
                <w:webHidden/>
              </w:rPr>
              <w:t>25</w:t>
            </w:r>
            <w:r w:rsidR="0006793B">
              <w:rPr>
                <w:noProof/>
                <w:webHidden/>
              </w:rPr>
              <w:fldChar w:fldCharType="end"/>
            </w:r>
          </w:hyperlink>
        </w:p>
        <w:p w14:paraId="061C40C8" w14:textId="760D2B75" w:rsidR="0006793B" w:rsidRDefault="00000000">
          <w:pPr>
            <w:pStyle w:val="TOC3"/>
            <w:rPr>
              <w:rFonts w:eastAsiaTheme="minorEastAsia" w:cstheme="minorBidi"/>
              <w:i w:val="0"/>
              <w:iCs w:val="0"/>
              <w:noProof/>
              <w:kern w:val="2"/>
              <w:sz w:val="24"/>
              <w:szCs w:val="24"/>
              <w14:ligatures w14:val="standardContextual"/>
            </w:rPr>
          </w:pPr>
          <w:hyperlink w:anchor="_Toc167901753" w:history="1">
            <w:r w:rsidR="0006793B" w:rsidRPr="00677912">
              <w:rPr>
                <w:rStyle w:val="Hyperlink"/>
                <w:noProof/>
              </w:rPr>
              <w:t>How Wealth Is Associated with Student Loan Borrowing</w:t>
            </w:r>
            <w:r w:rsidR="0006793B">
              <w:rPr>
                <w:noProof/>
                <w:webHidden/>
              </w:rPr>
              <w:tab/>
            </w:r>
            <w:r w:rsidR="0006793B">
              <w:rPr>
                <w:noProof/>
                <w:webHidden/>
              </w:rPr>
              <w:fldChar w:fldCharType="begin"/>
            </w:r>
            <w:r w:rsidR="0006793B">
              <w:rPr>
                <w:noProof/>
                <w:webHidden/>
              </w:rPr>
              <w:instrText xml:space="preserve"> PAGEREF _Toc167901753 \h </w:instrText>
            </w:r>
            <w:r w:rsidR="0006793B">
              <w:rPr>
                <w:noProof/>
                <w:webHidden/>
              </w:rPr>
            </w:r>
            <w:r w:rsidR="0006793B">
              <w:rPr>
                <w:noProof/>
                <w:webHidden/>
              </w:rPr>
              <w:fldChar w:fldCharType="separate"/>
            </w:r>
            <w:r w:rsidR="0006793B">
              <w:rPr>
                <w:noProof/>
                <w:webHidden/>
              </w:rPr>
              <w:t>26</w:t>
            </w:r>
            <w:r w:rsidR="0006793B">
              <w:rPr>
                <w:noProof/>
                <w:webHidden/>
              </w:rPr>
              <w:fldChar w:fldCharType="end"/>
            </w:r>
          </w:hyperlink>
        </w:p>
        <w:p w14:paraId="04EDE924" w14:textId="1F00F825" w:rsidR="0006793B" w:rsidRDefault="00000000">
          <w:pPr>
            <w:pStyle w:val="TOC1"/>
            <w:rPr>
              <w:rFonts w:eastAsiaTheme="minorEastAsia" w:cstheme="minorBidi"/>
              <w:bCs w:val="0"/>
              <w:caps w:val="0"/>
              <w:noProof/>
              <w:kern w:val="2"/>
              <w:sz w:val="24"/>
              <w:szCs w:val="24"/>
              <w14:ligatures w14:val="standardContextual"/>
            </w:rPr>
          </w:pPr>
          <w:hyperlink w:anchor="_Toc167901754" w:history="1">
            <w:r w:rsidR="0006793B" w:rsidRPr="00677912">
              <w:rPr>
                <w:rStyle w:val="Hyperlink"/>
                <w:noProof/>
              </w:rPr>
              <w:t>Recommendations And Needed Data Improvements</w:t>
            </w:r>
            <w:r w:rsidR="0006793B">
              <w:rPr>
                <w:noProof/>
                <w:webHidden/>
              </w:rPr>
              <w:tab/>
            </w:r>
            <w:r w:rsidR="0006793B">
              <w:rPr>
                <w:noProof/>
                <w:webHidden/>
              </w:rPr>
              <w:fldChar w:fldCharType="begin"/>
            </w:r>
            <w:r w:rsidR="0006793B">
              <w:rPr>
                <w:noProof/>
                <w:webHidden/>
              </w:rPr>
              <w:instrText xml:space="preserve"> PAGEREF _Toc167901754 \h </w:instrText>
            </w:r>
            <w:r w:rsidR="0006793B">
              <w:rPr>
                <w:noProof/>
                <w:webHidden/>
              </w:rPr>
            </w:r>
            <w:r w:rsidR="0006793B">
              <w:rPr>
                <w:noProof/>
                <w:webHidden/>
              </w:rPr>
              <w:fldChar w:fldCharType="separate"/>
            </w:r>
            <w:r w:rsidR="0006793B">
              <w:rPr>
                <w:noProof/>
                <w:webHidden/>
              </w:rPr>
              <w:t>29</w:t>
            </w:r>
            <w:r w:rsidR="0006793B">
              <w:rPr>
                <w:noProof/>
                <w:webHidden/>
              </w:rPr>
              <w:fldChar w:fldCharType="end"/>
            </w:r>
          </w:hyperlink>
        </w:p>
        <w:p w14:paraId="3615AB33" w14:textId="01D12076" w:rsidR="0006793B" w:rsidRDefault="00000000">
          <w:pPr>
            <w:pStyle w:val="TOC3"/>
            <w:rPr>
              <w:rFonts w:eastAsiaTheme="minorEastAsia" w:cstheme="minorBidi"/>
              <w:i w:val="0"/>
              <w:iCs w:val="0"/>
              <w:noProof/>
              <w:kern w:val="2"/>
              <w:sz w:val="24"/>
              <w:szCs w:val="24"/>
              <w14:ligatures w14:val="standardContextual"/>
            </w:rPr>
          </w:pPr>
          <w:hyperlink w:anchor="_Toc167901755" w:history="1">
            <w:r w:rsidR="0006793B" w:rsidRPr="00677912">
              <w:rPr>
                <w:rStyle w:val="Hyperlink"/>
                <w:noProof/>
              </w:rPr>
              <w:t>Recommendations for Policymakers, Researchers, and Other Stakeholders</w:t>
            </w:r>
            <w:r w:rsidR="0006793B">
              <w:rPr>
                <w:noProof/>
                <w:webHidden/>
              </w:rPr>
              <w:tab/>
            </w:r>
            <w:r w:rsidR="0006793B">
              <w:rPr>
                <w:noProof/>
                <w:webHidden/>
              </w:rPr>
              <w:fldChar w:fldCharType="begin"/>
            </w:r>
            <w:r w:rsidR="0006793B">
              <w:rPr>
                <w:noProof/>
                <w:webHidden/>
              </w:rPr>
              <w:instrText xml:space="preserve"> PAGEREF _Toc167901755 \h </w:instrText>
            </w:r>
            <w:r w:rsidR="0006793B">
              <w:rPr>
                <w:noProof/>
                <w:webHidden/>
              </w:rPr>
            </w:r>
            <w:r w:rsidR="0006793B">
              <w:rPr>
                <w:noProof/>
                <w:webHidden/>
              </w:rPr>
              <w:fldChar w:fldCharType="separate"/>
            </w:r>
            <w:r w:rsidR="0006793B">
              <w:rPr>
                <w:noProof/>
                <w:webHidden/>
              </w:rPr>
              <w:t>29</w:t>
            </w:r>
            <w:r w:rsidR="0006793B">
              <w:rPr>
                <w:noProof/>
                <w:webHidden/>
              </w:rPr>
              <w:fldChar w:fldCharType="end"/>
            </w:r>
          </w:hyperlink>
        </w:p>
        <w:p w14:paraId="785581F1" w14:textId="0ABAF0A9" w:rsidR="0006793B" w:rsidRDefault="00000000">
          <w:pPr>
            <w:pStyle w:val="TOC3"/>
            <w:rPr>
              <w:rFonts w:eastAsiaTheme="minorEastAsia" w:cstheme="minorBidi"/>
              <w:i w:val="0"/>
              <w:iCs w:val="0"/>
              <w:noProof/>
              <w:kern w:val="2"/>
              <w:sz w:val="24"/>
              <w:szCs w:val="24"/>
              <w14:ligatures w14:val="standardContextual"/>
            </w:rPr>
          </w:pPr>
          <w:hyperlink w:anchor="_Toc167901756" w:history="1">
            <w:r w:rsidR="0006793B" w:rsidRPr="00677912">
              <w:rPr>
                <w:rStyle w:val="Hyperlink"/>
                <w:noProof/>
              </w:rPr>
              <w:t>Recommendations to Improve and Expand Available Data</w:t>
            </w:r>
            <w:r w:rsidR="0006793B">
              <w:rPr>
                <w:noProof/>
                <w:webHidden/>
              </w:rPr>
              <w:tab/>
            </w:r>
            <w:r w:rsidR="0006793B">
              <w:rPr>
                <w:noProof/>
                <w:webHidden/>
              </w:rPr>
              <w:fldChar w:fldCharType="begin"/>
            </w:r>
            <w:r w:rsidR="0006793B">
              <w:rPr>
                <w:noProof/>
                <w:webHidden/>
              </w:rPr>
              <w:instrText xml:space="preserve"> PAGEREF _Toc167901756 \h </w:instrText>
            </w:r>
            <w:r w:rsidR="0006793B">
              <w:rPr>
                <w:noProof/>
                <w:webHidden/>
              </w:rPr>
            </w:r>
            <w:r w:rsidR="0006793B">
              <w:rPr>
                <w:noProof/>
                <w:webHidden/>
              </w:rPr>
              <w:fldChar w:fldCharType="separate"/>
            </w:r>
            <w:r w:rsidR="0006793B">
              <w:rPr>
                <w:noProof/>
                <w:webHidden/>
              </w:rPr>
              <w:t>30</w:t>
            </w:r>
            <w:r w:rsidR="0006793B">
              <w:rPr>
                <w:noProof/>
                <w:webHidden/>
              </w:rPr>
              <w:fldChar w:fldCharType="end"/>
            </w:r>
          </w:hyperlink>
        </w:p>
        <w:p w14:paraId="0366E028" w14:textId="6FB05796" w:rsidR="0006793B" w:rsidRDefault="00000000">
          <w:pPr>
            <w:pStyle w:val="TOC1"/>
            <w:rPr>
              <w:rFonts w:eastAsiaTheme="minorEastAsia" w:cstheme="minorBidi"/>
              <w:bCs w:val="0"/>
              <w:caps w:val="0"/>
              <w:noProof/>
              <w:kern w:val="2"/>
              <w:sz w:val="24"/>
              <w:szCs w:val="24"/>
              <w14:ligatures w14:val="standardContextual"/>
            </w:rPr>
          </w:pPr>
          <w:hyperlink w:anchor="_Toc167901757" w:history="1">
            <w:r w:rsidR="0006793B" w:rsidRPr="00677912">
              <w:rPr>
                <w:rStyle w:val="Hyperlink"/>
                <w:noProof/>
              </w:rPr>
              <w:t>Conclusion</w:t>
            </w:r>
            <w:r w:rsidR="0006793B">
              <w:rPr>
                <w:noProof/>
                <w:webHidden/>
              </w:rPr>
              <w:tab/>
            </w:r>
            <w:r w:rsidR="0006793B">
              <w:rPr>
                <w:noProof/>
                <w:webHidden/>
              </w:rPr>
              <w:fldChar w:fldCharType="begin"/>
            </w:r>
            <w:r w:rsidR="0006793B">
              <w:rPr>
                <w:noProof/>
                <w:webHidden/>
              </w:rPr>
              <w:instrText xml:space="preserve"> PAGEREF _Toc167901757 \h </w:instrText>
            </w:r>
            <w:r w:rsidR="0006793B">
              <w:rPr>
                <w:noProof/>
                <w:webHidden/>
              </w:rPr>
            </w:r>
            <w:r w:rsidR="0006793B">
              <w:rPr>
                <w:noProof/>
                <w:webHidden/>
              </w:rPr>
              <w:fldChar w:fldCharType="separate"/>
            </w:r>
            <w:r w:rsidR="0006793B">
              <w:rPr>
                <w:noProof/>
                <w:webHidden/>
              </w:rPr>
              <w:t>32</w:t>
            </w:r>
            <w:r w:rsidR="0006793B">
              <w:rPr>
                <w:noProof/>
                <w:webHidden/>
              </w:rPr>
              <w:fldChar w:fldCharType="end"/>
            </w:r>
          </w:hyperlink>
        </w:p>
        <w:p w14:paraId="1CB21DB3" w14:textId="0CD93FB4" w:rsidR="0006793B" w:rsidRDefault="00000000">
          <w:pPr>
            <w:pStyle w:val="TOC1"/>
            <w:rPr>
              <w:rFonts w:eastAsiaTheme="minorEastAsia" w:cstheme="minorBidi"/>
              <w:bCs w:val="0"/>
              <w:caps w:val="0"/>
              <w:noProof/>
              <w:kern w:val="2"/>
              <w:sz w:val="24"/>
              <w:szCs w:val="24"/>
              <w14:ligatures w14:val="standardContextual"/>
            </w:rPr>
          </w:pPr>
          <w:hyperlink w:anchor="_Toc167901758" w:history="1">
            <w:r w:rsidR="0006793B" w:rsidRPr="00677912">
              <w:rPr>
                <w:rStyle w:val="Hyperlink"/>
                <w:noProof/>
              </w:rPr>
              <w:t>Technical Appendix</w:t>
            </w:r>
            <w:r w:rsidR="0006793B">
              <w:rPr>
                <w:noProof/>
                <w:webHidden/>
              </w:rPr>
              <w:tab/>
            </w:r>
            <w:r w:rsidR="0006793B">
              <w:rPr>
                <w:noProof/>
                <w:webHidden/>
              </w:rPr>
              <w:fldChar w:fldCharType="begin"/>
            </w:r>
            <w:r w:rsidR="0006793B">
              <w:rPr>
                <w:noProof/>
                <w:webHidden/>
              </w:rPr>
              <w:instrText xml:space="preserve"> PAGEREF _Toc167901758 \h </w:instrText>
            </w:r>
            <w:r w:rsidR="0006793B">
              <w:rPr>
                <w:noProof/>
                <w:webHidden/>
              </w:rPr>
            </w:r>
            <w:r w:rsidR="0006793B">
              <w:rPr>
                <w:noProof/>
                <w:webHidden/>
              </w:rPr>
              <w:fldChar w:fldCharType="separate"/>
            </w:r>
            <w:r w:rsidR="0006793B">
              <w:rPr>
                <w:noProof/>
                <w:webHidden/>
              </w:rPr>
              <w:t>34</w:t>
            </w:r>
            <w:r w:rsidR="0006793B">
              <w:rPr>
                <w:noProof/>
                <w:webHidden/>
              </w:rPr>
              <w:fldChar w:fldCharType="end"/>
            </w:r>
          </w:hyperlink>
        </w:p>
        <w:p w14:paraId="782A1438" w14:textId="41CBFFD6" w:rsidR="0006793B" w:rsidRDefault="00000000">
          <w:pPr>
            <w:pStyle w:val="TOC2"/>
            <w:tabs>
              <w:tab w:val="right" w:leader="dot" w:pos="9350"/>
            </w:tabs>
            <w:rPr>
              <w:rFonts w:eastAsiaTheme="minorEastAsia" w:cstheme="minorBidi"/>
              <w:smallCaps w:val="0"/>
              <w:noProof/>
              <w:kern w:val="2"/>
              <w:sz w:val="24"/>
              <w:szCs w:val="24"/>
              <w14:ligatures w14:val="standardContextual"/>
            </w:rPr>
          </w:pPr>
          <w:hyperlink w:anchor="_Toc167901759" w:history="1">
            <w:r w:rsidR="0006793B" w:rsidRPr="00677912">
              <w:rPr>
                <w:rStyle w:val="Hyperlink"/>
                <w:noProof/>
              </w:rPr>
              <w:t>Data Sources and Methodology</w:t>
            </w:r>
            <w:r w:rsidR="0006793B">
              <w:rPr>
                <w:noProof/>
                <w:webHidden/>
              </w:rPr>
              <w:tab/>
            </w:r>
            <w:r w:rsidR="0006793B">
              <w:rPr>
                <w:noProof/>
                <w:webHidden/>
              </w:rPr>
              <w:fldChar w:fldCharType="begin"/>
            </w:r>
            <w:r w:rsidR="0006793B">
              <w:rPr>
                <w:noProof/>
                <w:webHidden/>
              </w:rPr>
              <w:instrText xml:space="preserve"> PAGEREF _Toc167901759 \h </w:instrText>
            </w:r>
            <w:r w:rsidR="0006793B">
              <w:rPr>
                <w:noProof/>
                <w:webHidden/>
              </w:rPr>
            </w:r>
            <w:r w:rsidR="0006793B">
              <w:rPr>
                <w:noProof/>
                <w:webHidden/>
              </w:rPr>
              <w:fldChar w:fldCharType="separate"/>
            </w:r>
            <w:r w:rsidR="0006793B">
              <w:rPr>
                <w:noProof/>
                <w:webHidden/>
              </w:rPr>
              <w:t>34</w:t>
            </w:r>
            <w:r w:rsidR="0006793B">
              <w:rPr>
                <w:noProof/>
                <w:webHidden/>
              </w:rPr>
              <w:fldChar w:fldCharType="end"/>
            </w:r>
          </w:hyperlink>
        </w:p>
        <w:p w14:paraId="0156B164" w14:textId="5291B790" w:rsidR="0006793B" w:rsidRDefault="00000000">
          <w:pPr>
            <w:pStyle w:val="TOC2"/>
            <w:tabs>
              <w:tab w:val="right" w:leader="dot" w:pos="9350"/>
            </w:tabs>
            <w:rPr>
              <w:rFonts w:eastAsiaTheme="minorEastAsia" w:cstheme="minorBidi"/>
              <w:smallCaps w:val="0"/>
              <w:noProof/>
              <w:kern w:val="2"/>
              <w:sz w:val="24"/>
              <w:szCs w:val="24"/>
              <w14:ligatures w14:val="standardContextual"/>
            </w:rPr>
          </w:pPr>
          <w:hyperlink w:anchor="_Toc167901760" w:history="1">
            <w:r w:rsidR="0006793B" w:rsidRPr="00677912">
              <w:rPr>
                <w:rStyle w:val="Hyperlink"/>
                <w:noProof/>
              </w:rPr>
              <w:t>Table Appendices</w:t>
            </w:r>
            <w:r w:rsidR="0006793B">
              <w:rPr>
                <w:noProof/>
                <w:webHidden/>
              </w:rPr>
              <w:tab/>
            </w:r>
            <w:r w:rsidR="0006793B">
              <w:rPr>
                <w:noProof/>
                <w:webHidden/>
              </w:rPr>
              <w:fldChar w:fldCharType="begin"/>
            </w:r>
            <w:r w:rsidR="0006793B">
              <w:rPr>
                <w:noProof/>
                <w:webHidden/>
              </w:rPr>
              <w:instrText xml:space="preserve"> PAGEREF _Toc167901760 \h </w:instrText>
            </w:r>
            <w:r w:rsidR="0006793B">
              <w:rPr>
                <w:noProof/>
                <w:webHidden/>
              </w:rPr>
            </w:r>
            <w:r w:rsidR="0006793B">
              <w:rPr>
                <w:noProof/>
                <w:webHidden/>
              </w:rPr>
              <w:fldChar w:fldCharType="separate"/>
            </w:r>
            <w:r w:rsidR="0006793B">
              <w:rPr>
                <w:noProof/>
                <w:webHidden/>
              </w:rPr>
              <w:t>37</w:t>
            </w:r>
            <w:r w:rsidR="0006793B">
              <w:rPr>
                <w:noProof/>
                <w:webHidden/>
              </w:rPr>
              <w:fldChar w:fldCharType="end"/>
            </w:r>
          </w:hyperlink>
        </w:p>
        <w:p w14:paraId="75E00558" w14:textId="752823F7" w:rsidR="0006793B" w:rsidRDefault="00000000">
          <w:pPr>
            <w:pStyle w:val="TOC1"/>
            <w:rPr>
              <w:rFonts w:eastAsiaTheme="minorEastAsia" w:cstheme="minorBidi"/>
              <w:bCs w:val="0"/>
              <w:caps w:val="0"/>
              <w:noProof/>
              <w:kern w:val="2"/>
              <w:sz w:val="24"/>
              <w:szCs w:val="24"/>
              <w14:ligatures w14:val="standardContextual"/>
            </w:rPr>
          </w:pPr>
          <w:hyperlink w:anchor="_Toc167901761" w:history="1">
            <w:r w:rsidR="0006793B" w:rsidRPr="00677912">
              <w:rPr>
                <w:rStyle w:val="Hyperlink"/>
                <w:noProof/>
              </w:rPr>
              <w:t>Notes</w:t>
            </w:r>
            <w:r w:rsidR="0006793B">
              <w:rPr>
                <w:noProof/>
                <w:webHidden/>
              </w:rPr>
              <w:tab/>
            </w:r>
            <w:r w:rsidR="0006793B">
              <w:rPr>
                <w:noProof/>
                <w:webHidden/>
              </w:rPr>
              <w:fldChar w:fldCharType="begin"/>
            </w:r>
            <w:r w:rsidR="0006793B">
              <w:rPr>
                <w:noProof/>
                <w:webHidden/>
              </w:rPr>
              <w:instrText xml:space="preserve"> PAGEREF _Toc167901761 \h </w:instrText>
            </w:r>
            <w:r w:rsidR="0006793B">
              <w:rPr>
                <w:noProof/>
                <w:webHidden/>
              </w:rPr>
            </w:r>
            <w:r w:rsidR="0006793B">
              <w:rPr>
                <w:noProof/>
                <w:webHidden/>
              </w:rPr>
              <w:fldChar w:fldCharType="separate"/>
            </w:r>
            <w:r w:rsidR="0006793B">
              <w:rPr>
                <w:noProof/>
                <w:webHidden/>
              </w:rPr>
              <w:t>40</w:t>
            </w:r>
            <w:r w:rsidR="0006793B">
              <w:rPr>
                <w:noProof/>
                <w:webHidden/>
              </w:rPr>
              <w:fldChar w:fldCharType="end"/>
            </w:r>
          </w:hyperlink>
        </w:p>
        <w:p w14:paraId="4D9F1B95" w14:textId="2E39EDC4" w:rsidR="006876E1" w:rsidRDefault="006876E1" w:rsidP="004B1105">
          <w:r>
            <w:rPr>
              <w:b/>
              <w:bCs/>
              <w:noProof/>
            </w:rPr>
            <w:fldChar w:fldCharType="end"/>
          </w:r>
        </w:p>
      </w:sdtContent>
    </w:sdt>
    <w:p w14:paraId="380A94B4" w14:textId="7DE6C48A" w:rsidR="00BD2A7B" w:rsidRDefault="00BD2A7B" w:rsidP="004B1105">
      <w:r>
        <w:br w:type="page"/>
      </w:r>
    </w:p>
    <w:p w14:paraId="1641D34B" w14:textId="6A9B34C2" w:rsidR="000F2457" w:rsidRDefault="006C18E1" w:rsidP="004B1105">
      <w:pPr>
        <w:pStyle w:val="Heading1"/>
      </w:pPr>
      <w:bookmarkStart w:id="0" w:name="_Toc167901736"/>
      <w:r w:rsidRPr="00C73CAB">
        <w:lastRenderedPageBreak/>
        <w:t>Executive Summary</w:t>
      </w:r>
      <w:bookmarkEnd w:id="0"/>
    </w:p>
    <w:p w14:paraId="05C01E50" w14:textId="77777777" w:rsidR="00C94C3A" w:rsidRPr="00C94C3A" w:rsidRDefault="00C94C3A" w:rsidP="00C94C3A"/>
    <w:p w14:paraId="4F7EE629" w14:textId="77777777" w:rsidR="00C94C3A" w:rsidRDefault="00C94C3A" w:rsidP="00C94C3A">
      <w:pPr>
        <w:rPr>
          <w:rFonts w:ascii="Calibri" w:eastAsia="Calibri" w:hAnsi="Calibri" w:cs="Calibri"/>
          <w:b/>
          <w:bCs/>
        </w:rPr>
      </w:pPr>
      <w:r w:rsidRPr="7B746827">
        <w:rPr>
          <w:rFonts w:ascii="Calibri" w:eastAsia="Calibri" w:hAnsi="Calibri" w:cs="Calibri"/>
          <w:b/>
          <w:bCs/>
        </w:rPr>
        <w:t xml:space="preserve">Breaking the Cycle of Racial Wealth Inequities and Higher Education Outcomes: </w:t>
      </w:r>
      <w:r w:rsidRPr="7B746827">
        <w:rPr>
          <w:rFonts w:ascii="Calibri" w:eastAsia="Calibri" w:hAnsi="Calibri" w:cs="Calibri"/>
          <w:b/>
          <w:bCs/>
          <w:i/>
          <w:iCs/>
        </w:rPr>
        <w:t xml:space="preserve">How </w:t>
      </w:r>
      <w:r>
        <w:rPr>
          <w:rFonts w:ascii="Calibri" w:eastAsia="Calibri" w:hAnsi="Calibri" w:cs="Calibri"/>
          <w:b/>
          <w:bCs/>
          <w:i/>
          <w:iCs/>
        </w:rPr>
        <w:t>Data-Driven Insights Can Inform Policy Solutions That Address the Racial Wealth Gap</w:t>
      </w:r>
    </w:p>
    <w:p w14:paraId="135B242F" w14:textId="77777777" w:rsidR="00A10B12" w:rsidRDefault="00A10B12" w:rsidP="00C94C3A">
      <w:pPr>
        <w:rPr>
          <w:rFonts w:ascii="Calibri" w:eastAsia="Calibri" w:hAnsi="Calibri" w:cs="Calibri"/>
          <w:szCs w:val="22"/>
        </w:rPr>
      </w:pPr>
    </w:p>
    <w:p w14:paraId="77CAC337" w14:textId="77777777" w:rsidR="00C94C3A" w:rsidRDefault="00C94C3A" w:rsidP="00C94C3A">
      <w:pPr>
        <w:rPr>
          <w:rFonts w:ascii="Calibri" w:eastAsia="Calibri" w:hAnsi="Calibri" w:cs="Calibri"/>
          <w:szCs w:val="22"/>
        </w:rPr>
      </w:pPr>
      <w:r w:rsidRPr="7B746827">
        <w:rPr>
          <w:rFonts w:ascii="Calibri" w:eastAsia="Calibri" w:hAnsi="Calibri" w:cs="Calibri"/>
          <w:szCs w:val="22"/>
        </w:rPr>
        <w:t>By: Charles Sanchez, Eleanor Eckerson Peters, Diane Cheng, and Sean Tierney</w:t>
      </w:r>
    </w:p>
    <w:p w14:paraId="32818DC2" w14:textId="77777777" w:rsidR="00A10B12" w:rsidRDefault="00A10B12" w:rsidP="00C94C3A">
      <w:pPr>
        <w:rPr>
          <w:rFonts w:ascii="Calibri" w:eastAsia="Calibri" w:hAnsi="Calibri" w:cs="Calibri"/>
          <w:szCs w:val="22"/>
        </w:rPr>
      </w:pPr>
    </w:p>
    <w:p w14:paraId="38AFFFAE" w14:textId="77777777" w:rsidR="00C94C3A" w:rsidRDefault="00C94C3A" w:rsidP="00C94C3A">
      <w:pPr>
        <w:rPr>
          <w:rFonts w:ascii="Calibri" w:eastAsia="Calibri" w:hAnsi="Calibri" w:cs="Calibri"/>
          <w:szCs w:val="22"/>
        </w:rPr>
      </w:pPr>
      <w:r w:rsidRPr="66DB7521">
        <w:rPr>
          <w:rFonts w:ascii="Calibri" w:eastAsia="Calibri" w:hAnsi="Calibri" w:cs="Calibri"/>
          <w:szCs w:val="22"/>
        </w:rPr>
        <w:t>Wealth</w:t>
      </w:r>
      <w:r w:rsidRPr="66DB7521" w:rsidDel="00E4407D">
        <w:rPr>
          <w:rFonts w:ascii="Calibri" w:eastAsia="Calibri" w:hAnsi="Calibri" w:cs="Calibri"/>
          <w:szCs w:val="22"/>
        </w:rPr>
        <w:t xml:space="preserve"> </w:t>
      </w:r>
      <w:r w:rsidRPr="66DB7521">
        <w:rPr>
          <w:rFonts w:ascii="Calibri" w:eastAsia="Calibri" w:hAnsi="Calibri" w:cs="Calibri"/>
          <w:szCs w:val="22"/>
        </w:rPr>
        <w:t>provide</w:t>
      </w:r>
      <w:r>
        <w:rPr>
          <w:rFonts w:ascii="Calibri" w:eastAsia="Calibri" w:hAnsi="Calibri" w:cs="Calibri"/>
          <w:szCs w:val="22"/>
        </w:rPr>
        <w:t>s</w:t>
      </w:r>
      <w:r w:rsidRPr="66DB7521">
        <w:rPr>
          <w:rFonts w:ascii="Calibri" w:eastAsia="Calibri" w:hAnsi="Calibri" w:cs="Calibri"/>
          <w:szCs w:val="22"/>
        </w:rPr>
        <w:t xml:space="preserve"> a more holistic measure of resources</w:t>
      </w:r>
      <w:r>
        <w:rPr>
          <w:rFonts w:ascii="Calibri" w:eastAsia="Calibri" w:hAnsi="Calibri" w:cs="Calibri"/>
          <w:szCs w:val="22"/>
        </w:rPr>
        <w:t xml:space="preserve"> than income</w:t>
      </w:r>
      <w:r w:rsidRPr="66DB7521">
        <w:rPr>
          <w:rFonts w:ascii="Calibri" w:eastAsia="Calibri" w:hAnsi="Calibri" w:cs="Calibri"/>
          <w:szCs w:val="22"/>
        </w:rPr>
        <w:t xml:space="preserve"> and plays a critical role in college </w:t>
      </w:r>
      <w:r w:rsidRPr="3EC7D413" w:rsidDel="55866858">
        <w:rPr>
          <w:rFonts w:ascii="Calibri" w:eastAsia="Calibri" w:hAnsi="Calibri" w:cs="Calibri"/>
          <w:szCs w:val="22"/>
        </w:rPr>
        <w:t>access</w:t>
      </w:r>
      <w:r w:rsidRPr="3EC7D413" w:rsidDel="7E2D002A">
        <w:rPr>
          <w:rFonts w:ascii="Calibri" w:eastAsia="Calibri" w:hAnsi="Calibri" w:cs="Calibri"/>
          <w:szCs w:val="22"/>
        </w:rPr>
        <w:t xml:space="preserve"> and</w:t>
      </w:r>
      <w:r w:rsidRPr="3EC7D413" w:rsidDel="55866858">
        <w:rPr>
          <w:rFonts w:ascii="Calibri" w:eastAsia="Calibri" w:hAnsi="Calibri" w:cs="Calibri"/>
          <w:szCs w:val="22"/>
        </w:rPr>
        <w:t xml:space="preserve"> </w:t>
      </w:r>
      <w:r w:rsidRPr="66DB7521">
        <w:rPr>
          <w:rFonts w:ascii="Calibri" w:eastAsia="Calibri" w:hAnsi="Calibri" w:cs="Calibri"/>
          <w:szCs w:val="22"/>
        </w:rPr>
        <w:t>success</w:t>
      </w:r>
      <w:r w:rsidRPr="3EC7D413">
        <w:rPr>
          <w:rFonts w:ascii="Calibri" w:eastAsia="Calibri" w:hAnsi="Calibri" w:cs="Calibri"/>
          <w:szCs w:val="22"/>
        </w:rPr>
        <w:t>.</w:t>
      </w:r>
      <w:r w:rsidRPr="66DB7521">
        <w:rPr>
          <w:rFonts w:ascii="Calibri" w:eastAsia="Calibri" w:hAnsi="Calibri" w:cs="Calibri"/>
          <w:szCs w:val="22"/>
        </w:rPr>
        <w:t xml:space="preserve"> While income disparities by race are significant, wealth disparities are even greater. For example, </w:t>
      </w:r>
      <w:r w:rsidRPr="66DB7521">
        <w:rPr>
          <w:rFonts w:ascii="Calibri" w:eastAsia="Calibri" w:hAnsi="Calibri" w:cs="Calibri"/>
          <w:b/>
          <w:bCs/>
          <w:szCs w:val="22"/>
        </w:rPr>
        <w:t xml:space="preserve">while the median income for </w:t>
      </w:r>
      <w:r w:rsidRPr="00F60171">
        <w:rPr>
          <w:rFonts w:ascii="Calibri" w:eastAsia="Calibri" w:hAnsi="Calibri" w:cs="Calibri"/>
          <w:b/>
          <w:bCs/>
          <w:szCs w:val="22"/>
        </w:rPr>
        <w:t>White</w:t>
      </w:r>
      <w:r w:rsidRPr="66DB7521">
        <w:rPr>
          <w:rFonts w:ascii="Calibri" w:eastAsia="Calibri" w:hAnsi="Calibri" w:cs="Calibri"/>
          <w:b/>
          <w:bCs/>
          <w:szCs w:val="22"/>
        </w:rPr>
        <w:t xml:space="preserve"> households is nearly twice as large as that of Black households, </w:t>
      </w:r>
      <w:r w:rsidRPr="3EC7D413">
        <w:rPr>
          <w:rFonts w:ascii="Calibri" w:eastAsia="Calibri" w:hAnsi="Calibri" w:cs="Calibri"/>
          <w:b/>
          <w:bCs/>
          <w:szCs w:val="22"/>
        </w:rPr>
        <w:t>the</w:t>
      </w:r>
      <w:r w:rsidRPr="66DB7521">
        <w:rPr>
          <w:rFonts w:ascii="Calibri" w:eastAsia="Calibri" w:hAnsi="Calibri" w:cs="Calibri"/>
          <w:b/>
          <w:bCs/>
          <w:szCs w:val="22"/>
        </w:rPr>
        <w:t xml:space="preserve"> median wealth for </w:t>
      </w:r>
      <w:r w:rsidRPr="00F60171">
        <w:rPr>
          <w:rFonts w:ascii="Calibri" w:eastAsia="Calibri" w:hAnsi="Calibri" w:cs="Calibri"/>
          <w:b/>
          <w:bCs/>
          <w:szCs w:val="22"/>
        </w:rPr>
        <w:t>White</w:t>
      </w:r>
      <w:r w:rsidRPr="66DB7521">
        <w:rPr>
          <w:rFonts w:ascii="Calibri" w:eastAsia="Calibri" w:hAnsi="Calibri" w:cs="Calibri"/>
          <w:b/>
          <w:bCs/>
          <w:szCs w:val="22"/>
        </w:rPr>
        <w:t xml:space="preserve"> households is 13 times larger,</w:t>
      </w:r>
      <w:r w:rsidRPr="66DB7521">
        <w:rPr>
          <w:rFonts w:ascii="Calibri" w:eastAsia="Calibri" w:hAnsi="Calibri" w:cs="Calibri"/>
          <w:szCs w:val="22"/>
        </w:rPr>
        <w:t xml:space="preserve"> a gap rooted in historical discrimination and systemic barriers. </w:t>
      </w:r>
      <w:r>
        <w:rPr>
          <w:rFonts w:ascii="Calibri" w:eastAsia="Calibri" w:hAnsi="Calibri" w:cs="Calibri"/>
          <w:szCs w:val="22"/>
        </w:rPr>
        <w:t>D</w:t>
      </w:r>
      <w:r w:rsidRPr="7B746827">
        <w:rPr>
          <w:rFonts w:ascii="Calibri" w:eastAsia="Calibri" w:hAnsi="Calibri" w:cs="Calibri"/>
          <w:szCs w:val="22"/>
        </w:rPr>
        <w:t xml:space="preserve">ata on wealth and higher education </w:t>
      </w:r>
      <w:r>
        <w:rPr>
          <w:rFonts w:ascii="Calibri" w:eastAsia="Calibri" w:hAnsi="Calibri" w:cs="Calibri"/>
          <w:szCs w:val="22"/>
        </w:rPr>
        <w:t>are</w:t>
      </w:r>
      <w:r w:rsidRPr="7B746827">
        <w:rPr>
          <w:rFonts w:ascii="Calibri" w:eastAsia="Calibri" w:hAnsi="Calibri" w:cs="Calibri"/>
          <w:szCs w:val="22"/>
        </w:rPr>
        <w:t xml:space="preserve"> limited</w:t>
      </w:r>
      <w:r>
        <w:rPr>
          <w:rFonts w:ascii="Calibri" w:eastAsia="Calibri" w:hAnsi="Calibri" w:cs="Calibri"/>
          <w:szCs w:val="22"/>
        </w:rPr>
        <w:t xml:space="preserve">, masking inequities and opportunities to </w:t>
      </w:r>
      <w:r w:rsidRPr="3EC7D413">
        <w:rPr>
          <w:rFonts w:ascii="Calibri" w:eastAsia="Calibri" w:hAnsi="Calibri" w:cs="Calibri"/>
          <w:szCs w:val="22"/>
        </w:rPr>
        <w:t>promote</w:t>
      </w:r>
      <w:r>
        <w:rPr>
          <w:rFonts w:ascii="Calibri" w:eastAsia="Calibri" w:hAnsi="Calibri" w:cs="Calibri"/>
          <w:szCs w:val="22"/>
        </w:rPr>
        <w:t xml:space="preserve"> better student outcomes</w:t>
      </w:r>
      <w:r w:rsidRPr="7B746827">
        <w:rPr>
          <w:rFonts w:ascii="Calibri" w:eastAsia="Calibri" w:hAnsi="Calibri" w:cs="Calibri"/>
          <w:szCs w:val="22"/>
        </w:rPr>
        <w:t xml:space="preserve">. </w:t>
      </w:r>
    </w:p>
    <w:p w14:paraId="2E38939F" w14:textId="77777777" w:rsidR="00A10B12" w:rsidRDefault="00A10B12" w:rsidP="00C94C3A">
      <w:pPr>
        <w:rPr>
          <w:rFonts w:ascii="Calibri" w:eastAsia="Calibri" w:hAnsi="Calibri" w:cs="Calibri"/>
          <w:szCs w:val="22"/>
        </w:rPr>
      </w:pPr>
    </w:p>
    <w:p w14:paraId="52F082DD" w14:textId="77777777" w:rsidR="00C94C3A" w:rsidRDefault="00C94C3A" w:rsidP="00C94C3A">
      <w:pPr>
        <w:rPr>
          <w:rFonts w:ascii="Calibri" w:eastAsia="Calibri" w:hAnsi="Calibri" w:cs="Calibri"/>
          <w:szCs w:val="22"/>
        </w:rPr>
      </w:pPr>
      <w:r w:rsidRPr="6E539E40">
        <w:rPr>
          <w:rFonts w:ascii="Calibri" w:eastAsia="Calibri" w:hAnsi="Calibri" w:cs="Calibri"/>
          <w:i/>
          <w:iCs/>
          <w:szCs w:val="22"/>
        </w:rPr>
        <w:t>Breaking the Cycle</w:t>
      </w:r>
      <w:r w:rsidRPr="6E539E40">
        <w:rPr>
          <w:rFonts w:ascii="Calibri" w:eastAsia="Calibri" w:hAnsi="Calibri" w:cs="Calibri"/>
          <w:szCs w:val="22"/>
        </w:rPr>
        <w:t xml:space="preserve"> </w:t>
      </w:r>
      <w:r w:rsidRPr="7B746827">
        <w:rPr>
          <w:rFonts w:ascii="Calibri" w:eastAsia="Calibri" w:hAnsi="Calibri" w:cs="Calibri"/>
          <w:szCs w:val="22"/>
        </w:rPr>
        <w:t>assesses the availability and limitations of current data sources and propos</w:t>
      </w:r>
      <w:r>
        <w:rPr>
          <w:rFonts w:ascii="Calibri" w:eastAsia="Calibri" w:hAnsi="Calibri" w:cs="Calibri"/>
          <w:szCs w:val="22"/>
        </w:rPr>
        <w:t xml:space="preserve">es </w:t>
      </w:r>
      <w:r w:rsidRPr="7B746827">
        <w:rPr>
          <w:rFonts w:ascii="Calibri" w:eastAsia="Calibri" w:hAnsi="Calibri" w:cs="Calibri"/>
          <w:szCs w:val="22"/>
        </w:rPr>
        <w:t xml:space="preserve">a framework </w:t>
      </w:r>
      <w:r>
        <w:rPr>
          <w:rFonts w:ascii="Calibri" w:eastAsia="Calibri" w:hAnsi="Calibri" w:cs="Calibri"/>
          <w:szCs w:val="22"/>
        </w:rPr>
        <w:t>for</w:t>
      </w:r>
      <w:r w:rsidRPr="7B746827">
        <w:rPr>
          <w:rFonts w:ascii="Calibri" w:eastAsia="Calibri" w:hAnsi="Calibri" w:cs="Calibri"/>
          <w:szCs w:val="22"/>
        </w:rPr>
        <w:t xml:space="preserve"> understand</w:t>
      </w:r>
      <w:r>
        <w:rPr>
          <w:rFonts w:ascii="Calibri" w:eastAsia="Calibri" w:hAnsi="Calibri" w:cs="Calibri"/>
          <w:szCs w:val="22"/>
        </w:rPr>
        <w:t>ing</w:t>
      </w:r>
      <w:r w:rsidRPr="7B746827">
        <w:rPr>
          <w:rFonts w:ascii="Calibri" w:eastAsia="Calibri" w:hAnsi="Calibri" w:cs="Calibri"/>
          <w:szCs w:val="22"/>
        </w:rPr>
        <w:t xml:space="preserve"> the cyclical relationship between higher education and the racial wealth gap. </w:t>
      </w:r>
      <w:r>
        <w:rPr>
          <w:rFonts w:ascii="Calibri" w:eastAsia="Calibri" w:hAnsi="Calibri" w:cs="Calibri"/>
          <w:szCs w:val="22"/>
        </w:rPr>
        <w:t xml:space="preserve">Wealth influences a person’s higher education experiences and outcomes. </w:t>
      </w:r>
      <w:r w:rsidRPr="00844B67">
        <w:rPr>
          <w:rFonts w:ascii="Calibri" w:eastAsia="Calibri" w:hAnsi="Calibri" w:cs="Calibri"/>
          <w:szCs w:val="22"/>
        </w:rPr>
        <w:t xml:space="preserve">It impacts </w:t>
      </w:r>
      <w:r w:rsidRPr="002909D5">
        <w:rPr>
          <w:rFonts w:ascii="Calibri" w:eastAsia="Calibri" w:hAnsi="Calibri" w:cs="Calibri"/>
          <w:szCs w:val="22"/>
        </w:rPr>
        <w:t xml:space="preserve">available </w:t>
      </w:r>
      <w:r w:rsidRPr="00844B67">
        <w:rPr>
          <w:rFonts w:ascii="Calibri" w:eastAsia="Calibri" w:hAnsi="Calibri" w:cs="Calibri"/>
          <w:szCs w:val="22"/>
        </w:rPr>
        <w:t xml:space="preserve">resources and opportunities, including </w:t>
      </w:r>
      <w:r>
        <w:rPr>
          <w:rFonts w:ascii="Calibri" w:eastAsia="Calibri" w:hAnsi="Calibri" w:cs="Calibri"/>
          <w:szCs w:val="22"/>
        </w:rPr>
        <w:t>if</w:t>
      </w:r>
      <w:r w:rsidRPr="00844B67">
        <w:rPr>
          <w:rFonts w:ascii="Calibri" w:eastAsia="Calibri" w:hAnsi="Calibri" w:cs="Calibri"/>
          <w:szCs w:val="22"/>
        </w:rPr>
        <w:t xml:space="preserve"> individuals </w:t>
      </w:r>
      <w:r w:rsidRPr="002909D5">
        <w:rPr>
          <w:rFonts w:ascii="Calibri" w:eastAsia="Calibri" w:hAnsi="Calibri" w:cs="Calibri"/>
          <w:szCs w:val="22"/>
        </w:rPr>
        <w:t>can</w:t>
      </w:r>
      <w:r w:rsidRPr="00844B67">
        <w:rPr>
          <w:rFonts w:ascii="Calibri" w:eastAsia="Calibri" w:hAnsi="Calibri" w:cs="Calibri"/>
          <w:szCs w:val="22"/>
        </w:rPr>
        <w:t xml:space="preserve"> attend and complete college.</w:t>
      </w:r>
      <w:r>
        <w:rPr>
          <w:rFonts w:ascii="Calibri" w:eastAsia="Calibri" w:hAnsi="Calibri" w:cs="Calibri"/>
          <w:szCs w:val="22"/>
        </w:rPr>
        <w:t xml:space="preserve"> For college enrollees</w:t>
      </w:r>
      <w:r w:rsidRPr="00844B67">
        <w:rPr>
          <w:rFonts w:ascii="Calibri" w:eastAsia="Calibri" w:hAnsi="Calibri" w:cs="Calibri"/>
          <w:szCs w:val="22"/>
        </w:rPr>
        <w:t xml:space="preserve">, wealth </w:t>
      </w:r>
      <w:r w:rsidRPr="002909D5">
        <w:rPr>
          <w:rFonts w:ascii="Calibri" w:eastAsia="Calibri" w:hAnsi="Calibri" w:cs="Calibri"/>
          <w:szCs w:val="22"/>
        </w:rPr>
        <w:t>impacts</w:t>
      </w:r>
      <w:r w:rsidRPr="00844B67">
        <w:rPr>
          <w:rFonts w:ascii="Calibri" w:eastAsia="Calibri" w:hAnsi="Calibri" w:cs="Calibri"/>
          <w:szCs w:val="22"/>
        </w:rPr>
        <w:t xml:space="preserve"> </w:t>
      </w:r>
      <w:r>
        <w:rPr>
          <w:rFonts w:ascii="Calibri" w:eastAsia="Calibri" w:hAnsi="Calibri" w:cs="Calibri"/>
          <w:szCs w:val="22"/>
        </w:rPr>
        <w:t xml:space="preserve">how </w:t>
      </w:r>
      <w:r w:rsidRPr="00844B67">
        <w:rPr>
          <w:rFonts w:ascii="Calibri" w:eastAsia="Calibri" w:hAnsi="Calibri" w:cs="Calibri"/>
          <w:szCs w:val="22"/>
        </w:rPr>
        <w:t xml:space="preserve">costs </w:t>
      </w:r>
      <w:r>
        <w:rPr>
          <w:rFonts w:ascii="Calibri" w:eastAsia="Calibri" w:hAnsi="Calibri" w:cs="Calibri"/>
          <w:szCs w:val="22"/>
        </w:rPr>
        <w:t xml:space="preserve">are covered </w:t>
      </w:r>
      <w:r w:rsidRPr="00844B67">
        <w:rPr>
          <w:rFonts w:ascii="Calibri" w:eastAsia="Calibri" w:hAnsi="Calibri" w:cs="Calibri"/>
          <w:szCs w:val="22"/>
        </w:rPr>
        <w:t xml:space="preserve">and </w:t>
      </w:r>
      <w:r>
        <w:rPr>
          <w:rFonts w:ascii="Calibri" w:eastAsia="Calibri" w:hAnsi="Calibri" w:cs="Calibri"/>
          <w:szCs w:val="22"/>
        </w:rPr>
        <w:t>if student loans, a negative form of wealth, are borrowed</w:t>
      </w:r>
      <w:r w:rsidRPr="00844B67">
        <w:rPr>
          <w:rFonts w:ascii="Calibri" w:eastAsia="Calibri" w:hAnsi="Calibri" w:cs="Calibri"/>
          <w:szCs w:val="22"/>
        </w:rPr>
        <w:t>.</w:t>
      </w:r>
      <w:r>
        <w:rPr>
          <w:rFonts w:ascii="Calibri" w:eastAsia="Calibri" w:hAnsi="Calibri" w:cs="Calibri"/>
          <w:szCs w:val="22"/>
        </w:rPr>
        <w:t xml:space="preserve"> </w:t>
      </w:r>
      <w:r w:rsidRPr="00BB79D6">
        <w:rPr>
          <w:rFonts w:ascii="Calibri" w:eastAsia="Calibri" w:hAnsi="Calibri" w:cs="Calibri"/>
          <w:szCs w:val="22"/>
        </w:rPr>
        <w:t xml:space="preserve">Students’ experiences with higher education and loan debt can </w:t>
      </w:r>
      <w:r w:rsidRPr="3EC7D413">
        <w:rPr>
          <w:rFonts w:ascii="Calibri" w:eastAsia="Calibri" w:hAnsi="Calibri" w:cs="Calibri"/>
          <w:szCs w:val="22"/>
        </w:rPr>
        <w:t xml:space="preserve">also </w:t>
      </w:r>
      <w:r w:rsidRPr="00BB79D6">
        <w:rPr>
          <w:rFonts w:ascii="Calibri" w:eastAsia="Calibri" w:hAnsi="Calibri" w:cs="Calibri"/>
          <w:szCs w:val="22"/>
        </w:rPr>
        <w:t xml:space="preserve">influence wealth </w:t>
      </w:r>
      <w:r w:rsidRPr="65B30B63">
        <w:rPr>
          <w:rFonts w:ascii="Calibri" w:eastAsia="Calibri" w:hAnsi="Calibri" w:cs="Calibri"/>
          <w:szCs w:val="22"/>
        </w:rPr>
        <w:t>accumulat</w:t>
      </w:r>
      <w:r>
        <w:rPr>
          <w:rFonts w:ascii="Calibri" w:eastAsia="Calibri" w:hAnsi="Calibri" w:cs="Calibri"/>
          <w:szCs w:val="22"/>
        </w:rPr>
        <w:t>ion</w:t>
      </w:r>
      <w:r w:rsidRPr="65B30B63">
        <w:rPr>
          <w:rFonts w:ascii="Calibri" w:eastAsia="Calibri" w:hAnsi="Calibri" w:cs="Calibri"/>
          <w:szCs w:val="22"/>
        </w:rPr>
        <w:t xml:space="preserve"> </w:t>
      </w:r>
      <w:r w:rsidRPr="00BB79D6">
        <w:rPr>
          <w:rFonts w:ascii="Calibri" w:eastAsia="Calibri" w:hAnsi="Calibri" w:cs="Calibri"/>
          <w:szCs w:val="22"/>
        </w:rPr>
        <w:t xml:space="preserve">after college. </w:t>
      </w:r>
      <w:r>
        <w:rPr>
          <w:rFonts w:ascii="Calibri" w:eastAsia="Calibri" w:hAnsi="Calibri" w:cs="Calibri"/>
          <w:szCs w:val="22"/>
        </w:rPr>
        <w:t>Because</w:t>
      </w:r>
      <w:r w:rsidRPr="00BB79D6">
        <w:rPr>
          <w:rFonts w:ascii="Calibri" w:eastAsia="Calibri" w:hAnsi="Calibri" w:cs="Calibri"/>
          <w:szCs w:val="22"/>
        </w:rPr>
        <w:t xml:space="preserve"> accumulated wealth can be passed to children, the cycle continues with succeeding generations. </w:t>
      </w:r>
    </w:p>
    <w:p w14:paraId="23F1F6CF" w14:textId="77777777" w:rsidR="00A10B12" w:rsidRDefault="00A10B12" w:rsidP="00C94C3A">
      <w:pPr>
        <w:rPr>
          <w:rFonts w:ascii="Calibri" w:eastAsia="Calibri" w:hAnsi="Calibri" w:cs="Calibri"/>
          <w:szCs w:val="22"/>
        </w:rPr>
      </w:pPr>
    </w:p>
    <w:p w14:paraId="6FD92B27" w14:textId="77777777" w:rsidR="00C94C3A" w:rsidRDefault="00C94C3A" w:rsidP="00C94C3A">
      <w:pPr>
        <w:rPr>
          <w:rFonts w:ascii="Calibri" w:eastAsia="Calibri" w:hAnsi="Calibri" w:cs="Calibri"/>
          <w:szCs w:val="22"/>
        </w:rPr>
      </w:pPr>
      <w:r w:rsidRPr="7B746827">
        <w:rPr>
          <w:rFonts w:ascii="Calibri" w:eastAsia="Calibri" w:hAnsi="Calibri" w:cs="Calibri"/>
          <w:szCs w:val="22"/>
        </w:rPr>
        <w:t xml:space="preserve">The analysis explores how wealth impacts college savings, attendance, borrowing, and completion, </w:t>
      </w:r>
      <w:r w:rsidRPr="3EC7D413">
        <w:rPr>
          <w:rFonts w:ascii="Calibri" w:eastAsia="Calibri" w:hAnsi="Calibri" w:cs="Calibri"/>
          <w:szCs w:val="22"/>
        </w:rPr>
        <w:t>and</w:t>
      </w:r>
      <w:r>
        <w:rPr>
          <w:rFonts w:ascii="Calibri" w:eastAsia="Calibri" w:hAnsi="Calibri" w:cs="Calibri"/>
          <w:szCs w:val="22"/>
        </w:rPr>
        <w:t xml:space="preserve"> finds</w:t>
      </w:r>
      <w:r w:rsidRPr="7B746827">
        <w:rPr>
          <w:rFonts w:ascii="Calibri" w:eastAsia="Calibri" w:hAnsi="Calibri" w:cs="Calibri"/>
          <w:szCs w:val="22"/>
        </w:rPr>
        <w:t xml:space="preserve">: </w:t>
      </w:r>
    </w:p>
    <w:p w14:paraId="625FFDED" w14:textId="77777777" w:rsidR="00A10B12" w:rsidRDefault="00A10B12" w:rsidP="00C94C3A">
      <w:pPr>
        <w:rPr>
          <w:rFonts w:ascii="Calibri" w:eastAsia="Calibri" w:hAnsi="Calibri" w:cs="Calibri"/>
          <w:szCs w:val="22"/>
        </w:rPr>
      </w:pPr>
    </w:p>
    <w:p w14:paraId="79597352" w14:textId="77777777" w:rsidR="00C94C3A" w:rsidRDefault="00C94C3A" w:rsidP="00FB60EF">
      <w:pPr>
        <w:pStyle w:val="ListParagraph"/>
        <w:numPr>
          <w:ilvl w:val="0"/>
          <w:numId w:val="17"/>
        </w:numPr>
        <w:spacing w:after="160" w:line="279" w:lineRule="auto"/>
        <w:rPr>
          <w:rFonts w:ascii="Calibri" w:eastAsia="Calibri" w:hAnsi="Calibri" w:cs="Calibri"/>
          <w:szCs w:val="22"/>
        </w:rPr>
      </w:pPr>
      <w:r w:rsidRPr="7B746827">
        <w:rPr>
          <w:rFonts w:ascii="Calibri" w:eastAsia="Calibri" w:hAnsi="Calibri" w:cs="Calibri"/>
          <w:szCs w:val="22"/>
        </w:rPr>
        <w:t>Considering wealth provides new insights into college opportunity and outcomes</w:t>
      </w:r>
      <w:r>
        <w:rPr>
          <w:rFonts w:ascii="Calibri" w:eastAsia="Calibri" w:hAnsi="Calibri" w:cs="Calibri"/>
          <w:szCs w:val="22"/>
        </w:rPr>
        <w:t xml:space="preserve"> </w:t>
      </w:r>
      <w:r w:rsidRPr="7B746827">
        <w:rPr>
          <w:rFonts w:ascii="Calibri" w:eastAsia="Calibri" w:hAnsi="Calibri" w:cs="Calibri"/>
          <w:szCs w:val="22"/>
        </w:rPr>
        <w:t>and</w:t>
      </w:r>
      <w:r w:rsidRPr="7B746827" w:rsidDel="0047269A">
        <w:rPr>
          <w:rFonts w:ascii="Calibri" w:eastAsia="Calibri" w:hAnsi="Calibri" w:cs="Calibri"/>
          <w:szCs w:val="22"/>
        </w:rPr>
        <w:t xml:space="preserve"> wealth</w:t>
      </w:r>
      <w:r w:rsidRPr="7B746827">
        <w:rPr>
          <w:rFonts w:ascii="Calibri" w:eastAsia="Calibri" w:hAnsi="Calibri" w:cs="Calibri"/>
          <w:szCs w:val="22"/>
        </w:rPr>
        <w:t xml:space="preserve"> should be measured and studied alongside income</w:t>
      </w:r>
      <w:r>
        <w:rPr>
          <w:rFonts w:ascii="Calibri" w:eastAsia="Calibri" w:hAnsi="Calibri" w:cs="Calibri"/>
          <w:szCs w:val="22"/>
        </w:rPr>
        <w:t>.</w:t>
      </w:r>
      <w:r w:rsidRPr="7B746827">
        <w:rPr>
          <w:rFonts w:ascii="Calibri" w:eastAsia="Calibri" w:hAnsi="Calibri" w:cs="Calibri"/>
          <w:szCs w:val="22"/>
        </w:rPr>
        <w:t xml:space="preserve"> </w:t>
      </w:r>
    </w:p>
    <w:p w14:paraId="77AA103D" w14:textId="77777777" w:rsidR="00C94C3A" w:rsidRDefault="00C94C3A" w:rsidP="00FB60EF">
      <w:pPr>
        <w:pStyle w:val="ListParagraph"/>
        <w:numPr>
          <w:ilvl w:val="0"/>
          <w:numId w:val="17"/>
        </w:numPr>
        <w:spacing w:after="160" w:line="279" w:lineRule="auto"/>
        <w:rPr>
          <w:rFonts w:ascii="Calibri" w:eastAsia="Calibri" w:hAnsi="Calibri" w:cs="Calibri"/>
          <w:szCs w:val="22"/>
        </w:rPr>
      </w:pPr>
      <w:r w:rsidRPr="7B746827">
        <w:rPr>
          <w:rFonts w:ascii="Calibri" w:eastAsia="Calibri" w:hAnsi="Calibri" w:cs="Calibri"/>
          <w:szCs w:val="22"/>
        </w:rPr>
        <w:t xml:space="preserve">Wealth transfers </w:t>
      </w:r>
      <w:r>
        <w:rPr>
          <w:rFonts w:ascii="Calibri" w:eastAsia="Calibri" w:hAnsi="Calibri" w:cs="Calibri"/>
          <w:szCs w:val="22"/>
        </w:rPr>
        <w:t>increase individuals’</w:t>
      </w:r>
      <w:r w:rsidRPr="7B746827">
        <w:rPr>
          <w:rFonts w:ascii="Calibri" w:eastAsia="Calibri" w:hAnsi="Calibri" w:cs="Calibri"/>
          <w:szCs w:val="22"/>
        </w:rPr>
        <w:t xml:space="preserve"> ability to save for the college education of their children</w:t>
      </w:r>
      <w:r>
        <w:rPr>
          <w:rFonts w:ascii="Calibri" w:eastAsia="Calibri" w:hAnsi="Calibri" w:cs="Calibri"/>
          <w:szCs w:val="22"/>
        </w:rPr>
        <w:t>.</w:t>
      </w:r>
    </w:p>
    <w:p w14:paraId="07B1771F" w14:textId="5BA3D653" w:rsidR="00A10B12" w:rsidRPr="00A10B12" w:rsidRDefault="00C94C3A" w:rsidP="00FB60EF">
      <w:pPr>
        <w:pStyle w:val="ListParagraph"/>
        <w:numPr>
          <w:ilvl w:val="0"/>
          <w:numId w:val="17"/>
        </w:numPr>
        <w:spacing w:after="160" w:line="279" w:lineRule="auto"/>
        <w:rPr>
          <w:rFonts w:ascii="Calibri" w:eastAsia="Calibri" w:hAnsi="Calibri" w:cs="Calibri"/>
          <w:szCs w:val="22"/>
        </w:rPr>
      </w:pPr>
      <w:r w:rsidRPr="7B746827">
        <w:rPr>
          <w:rFonts w:ascii="Calibri" w:eastAsia="Calibri" w:hAnsi="Calibri" w:cs="Calibri"/>
          <w:szCs w:val="22"/>
        </w:rPr>
        <w:t>Wealth is associated with gaps in college access and success between racial and ethnic groups</w:t>
      </w:r>
      <w:r>
        <w:rPr>
          <w:rFonts w:ascii="Calibri" w:eastAsia="Calibri" w:hAnsi="Calibri" w:cs="Calibri"/>
          <w:szCs w:val="22"/>
        </w:rPr>
        <w:t>.</w:t>
      </w:r>
    </w:p>
    <w:p w14:paraId="2DAC2758" w14:textId="77777777" w:rsidR="00C94C3A" w:rsidRDefault="00C94C3A" w:rsidP="00C94C3A">
      <w:pPr>
        <w:rPr>
          <w:rFonts w:ascii="Calibri" w:eastAsia="Calibri" w:hAnsi="Calibri" w:cs="Calibri"/>
          <w:b/>
          <w:bCs/>
          <w:szCs w:val="22"/>
        </w:rPr>
      </w:pPr>
      <w:r w:rsidRPr="7B746827">
        <w:rPr>
          <w:rFonts w:ascii="Calibri" w:eastAsia="Calibri" w:hAnsi="Calibri" w:cs="Calibri"/>
          <w:b/>
          <w:bCs/>
          <w:szCs w:val="22"/>
        </w:rPr>
        <w:t>Recommendations for Policymakers, Researchers, and other Stakeholders</w:t>
      </w:r>
    </w:p>
    <w:p w14:paraId="406E284C" w14:textId="77777777" w:rsidR="00C94C3A" w:rsidRDefault="00C94C3A" w:rsidP="00C94C3A">
      <w:pPr>
        <w:rPr>
          <w:rFonts w:ascii="Calibri" w:eastAsia="Calibri" w:hAnsi="Calibri" w:cs="Calibri"/>
          <w:szCs w:val="22"/>
        </w:rPr>
      </w:pPr>
      <w:r>
        <w:rPr>
          <w:rFonts w:ascii="Calibri" w:eastAsia="Calibri" w:hAnsi="Calibri" w:cs="Calibri"/>
          <w:szCs w:val="22"/>
        </w:rPr>
        <w:t xml:space="preserve">Higher education alone has not created nor can it eliminate the racial wealth gap. But higher education should help to narrow, </w:t>
      </w:r>
      <w:r w:rsidRPr="3EC7D413">
        <w:rPr>
          <w:rFonts w:ascii="Calibri" w:eastAsia="Calibri" w:hAnsi="Calibri" w:cs="Calibri"/>
          <w:szCs w:val="22"/>
        </w:rPr>
        <w:t>not exacerbate</w:t>
      </w:r>
      <w:r>
        <w:rPr>
          <w:rFonts w:ascii="Calibri" w:eastAsia="Calibri" w:hAnsi="Calibri" w:cs="Calibri"/>
          <w:szCs w:val="22"/>
        </w:rPr>
        <w:t xml:space="preserve"> the racial wealth gap</w:t>
      </w:r>
      <w:r w:rsidRPr="3EC7D413">
        <w:rPr>
          <w:rFonts w:ascii="Calibri" w:eastAsia="Calibri" w:hAnsi="Calibri" w:cs="Calibri"/>
          <w:szCs w:val="22"/>
        </w:rPr>
        <w:t>. This</w:t>
      </w:r>
      <w:r w:rsidRPr="077B444B" w:rsidDel="004D0530">
        <w:rPr>
          <w:rFonts w:ascii="Calibri" w:eastAsia="Calibri" w:hAnsi="Calibri" w:cs="Calibri"/>
          <w:szCs w:val="22"/>
        </w:rPr>
        <w:t xml:space="preserve"> </w:t>
      </w:r>
      <w:r w:rsidRPr="077B444B">
        <w:rPr>
          <w:rFonts w:ascii="Calibri" w:eastAsia="Calibri" w:hAnsi="Calibri" w:cs="Calibri"/>
          <w:szCs w:val="22"/>
        </w:rPr>
        <w:t xml:space="preserve">requires a multi-pronged approach. </w:t>
      </w:r>
      <w:r>
        <w:rPr>
          <w:rFonts w:ascii="Calibri" w:eastAsia="Calibri" w:hAnsi="Calibri" w:cs="Calibri"/>
          <w:szCs w:val="22"/>
        </w:rPr>
        <w:t xml:space="preserve">For example, </w:t>
      </w:r>
      <w:r w:rsidRPr="3EC7D413">
        <w:rPr>
          <w:rFonts w:ascii="Calibri" w:eastAsia="Calibri" w:hAnsi="Calibri" w:cs="Calibri"/>
          <w:szCs w:val="22"/>
        </w:rPr>
        <w:t>federal</w:t>
      </w:r>
      <w:r>
        <w:rPr>
          <w:rFonts w:ascii="Calibri" w:eastAsia="Calibri" w:hAnsi="Calibri" w:cs="Calibri"/>
          <w:szCs w:val="22"/>
        </w:rPr>
        <w:t>,</w:t>
      </w:r>
      <w:r w:rsidRPr="077B444B">
        <w:rPr>
          <w:rFonts w:ascii="Calibri" w:eastAsia="Calibri" w:hAnsi="Calibri" w:cs="Calibri"/>
          <w:szCs w:val="22"/>
        </w:rPr>
        <w:t xml:space="preserve"> state</w:t>
      </w:r>
      <w:r>
        <w:rPr>
          <w:rFonts w:ascii="Calibri" w:eastAsia="Calibri" w:hAnsi="Calibri" w:cs="Calibri"/>
          <w:szCs w:val="22"/>
        </w:rPr>
        <w:t>,</w:t>
      </w:r>
      <w:r w:rsidRPr="077B444B">
        <w:rPr>
          <w:rFonts w:ascii="Calibri" w:eastAsia="Calibri" w:hAnsi="Calibri" w:cs="Calibri"/>
          <w:szCs w:val="22"/>
        </w:rPr>
        <w:t xml:space="preserve"> </w:t>
      </w:r>
      <w:r>
        <w:rPr>
          <w:rFonts w:ascii="Calibri" w:eastAsia="Calibri" w:hAnsi="Calibri" w:cs="Calibri"/>
          <w:szCs w:val="22"/>
        </w:rPr>
        <w:t>and institutional</w:t>
      </w:r>
      <w:r w:rsidRPr="077B444B">
        <w:rPr>
          <w:rFonts w:ascii="Calibri" w:eastAsia="Calibri" w:hAnsi="Calibri" w:cs="Calibri"/>
          <w:szCs w:val="22"/>
        </w:rPr>
        <w:t xml:space="preserve"> policymakers should:</w:t>
      </w:r>
    </w:p>
    <w:p w14:paraId="5D0CB078" w14:textId="77777777" w:rsidR="00C94C3A" w:rsidRDefault="00C94C3A" w:rsidP="00FB60EF">
      <w:pPr>
        <w:pStyle w:val="ListParagraph"/>
        <w:numPr>
          <w:ilvl w:val="0"/>
          <w:numId w:val="16"/>
        </w:numPr>
        <w:spacing w:line="279" w:lineRule="auto"/>
        <w:rPr>
          <w:rFonts w:ascii="Calibri" w:eastAsia="Calibri" w:hAnsi="Calibri" w:cs="Calibri"/>
          <w:szCs w:val="22"/>
        </w:rPr>
      </w:pPr>
      <w:r w:rsidRPr="7B746827">
        <w:rPr>
          <w:rFonts w:ascii="Calibri" w:eastAsia="Calibri" w:hAnsi="Calibri" w:cs="Calibri"/>
          <w:szCs w:val="22"/>
        </w:rPr>
        <w:t>Center racial equity in policymaking</w:t>
      </w:r>
      <w:r>
        <w:rPr>
          <w:rFonts w:ascii="Calibri" w:eastAsia="Calibri" w:hAnsi="Calibri" w:cs="Calibri"/>
          <w:szCs w:val="22"/>
        </w:rPr>
        <w:t>.</w:t>
      </w:r>
    </w:p>
    <w:p w14:paraId="4ADAC2A9" w14:textId="77777777" w:rsidR="00C94C3A" w:rsidRDefault="00C94C3A" w:rsidP="00FB60EF">
      <w:pPr>
        <w:pStyle w:val="ListParagraph"/>
        <w:numPr>
          <w:ilvl w:val="0"/>
          <w:numId w:val="15"/>
        </w:numPr>
        <w:spacing w:line="279" w:lineRule="auto"/>
        <w:rPr>
          <w:rFonts w:ascii="Calibri" w:eastAsia="Calibri" w:hAnsi="Calibri" w:cs="Calibri"/>
          <w:szCs w:val="22"/>
        </w:rPr>
      </w:pPr>
      <w:r w:rsidRPr="7B746827">
        <w:rPr>
          <w:rFonts w:ascii="Calibri" w:eastAsia="Calibri" w:hAnsi="Calibri" w:cs="Calibri"/>
          <w:szCs w:val="22"/>
        </w:rPr>
        <w:t>Consider whether and how wealth should be used in the disbursement of need-based financial aid</w:t>
      </w:r>
      <w:r>
        <w:rPr>
          <w:rFonts w:ascii="Calibri" w:eastAsia="Calibri" w:hAnsi="Calibri" w:cs="Calibri"/>
          <w:szCs w:val="22"/>
        </w:rPr>
        <w:t>.</w:t>
      </w:r>
    </w:p>
    <w:p w14:paraId="456AA9C8" w14:textId="77777777" w:rsidR="00C94C3A" w:rsidRDefault="00C94C3A" w:rsidP="00FB60EF">
      <w:pPr>
        <w:pStyle w:val="ListParagraph"/>
        <w:numPr>
          <w:ilvl w:val="0"/>
          <w:numId w:val="15"/>
        </w:numPr>
        <w:spacing w:line="279" w:lineRule="auto"/>
        <w:rPr>
          <w:rFonts w:ascii="Calibri" w:eastAsia="Calibri" w:hAnsi="Calibri" w:cs="Calibri"/>
          <w:color w:val="000000" w:themeColor="text1"/>
          <w:szCs w:val="22"/>
        </w:rPr>
      </w:pPr>
      <w:r>
        <w:rPr>
          <w:rFonts w:ascii="Calibri" w:eastAsia="Calibri" w:hAnsi="Calibri" w:cs="Calibri"/>
          <w:color w:val="000000" w:themeColor="text1"/>
          <w:szCs w:val="22"/>
        </w:rPr>
        <w:t>Consider d</w:t>
      </w:r>
      <w:r w:rsidRPr="7B746827">
        <w:rPr>
          <w:rFonts w:ascii="Calibri" w:eastAsia="Calibri" w:hAnsi="Calibri" w:cs="Calibri"/>
          <w:color w:val="000000" w:themeColor="text1"/>
          <w:szCs w:val="22"/>
        </w:rPr>
        <w:t>esign</w:t>
      </w:r>
      <w:r>
        <w:rPr>
          <w:rFonts w:ascii="Calibri" w:eastAsia="Calibri" w:hAnsi="Calibri" w:cs="Calibri"/>
          <w:color w:val="000000" w:themeColor="text1"/>
          <w:szCs w:val="22"/>
        </w:rPr>
        <w:t>ing</w:t>
      </w:r>
      <w:r w:rsidRPr="7B746827">
        <w:rPr>
          <w:rFonts w:ascii="Calibri" w:eastAsia="Calibri" w:hAnsi="Calibri" w:cs="Calibri"/>
          <w:color w:val="000000" w:themeColor="text1"/>
          <w:szCs w:val="22"/>
        </w:rPr>
        <w:t xml:space="preserve"> recruitment, outreach, and admissions policies that increase access for students from low-wealth backgrounds</w:t>
      </w:r>
      <w:r>
        <w:rPr>
          <w:rFonts w:ascii="Calibri" w:eastAsia="Calibri" w:hAnsi="Calibri" w:cs="Calibri"/>
          <w:color w:val="000000" w:themeColor="text1"/>
          <w:szCs w:val="22"/>
        </w:rPr>
        <w:t>.</w:t>
      </w:r>
    </w:p>
    <w:p w14:paraId="28003613" w14:textId="77777777" w:rsidR="00C94C3A" w:rsidRDefault="00C94C3A" w:rsidP="00FB60EF">
      <w:pPr>
        <w:pStyle w:val="ListParagraph"/>
        <w:numPr>
          <w:ilvl w:val="0"/>
          <w:numId w:val="15"/>
        </w:numPr>
        <w:spacing w:line="279" w:lineRule="auto"/>
        <w:rPr>
          <w:rFonts w:ascii="Calibri" w:eastAsia="Calibri" w:hAnsi="Calibri" w:cs="Calibri"/>
          <w:color w:val="000000" w:themeColor="text1"/>
          <w:szCs w:val="22"/>
        </w:rPr>
      </w:pPr>
      <w:r w:rsidRPr="7B746827">
        <w:rPr>
          <w:rFonts w:ascii="Calibri" w:eastAsia="Calibri" w:hAnsi="Calibri" w:cs="Calibri"/>
          <w:color w:val="000000" w:themeColor="text1"/>
          <w:szCs w:val="22"/>
        </w:rPr>
        <w:t>Identify student support practices that address completion disparities by wealth</w:t>
      </w:r>
      <w:r>
        <w:rPr>
          <w:rFonts w:ascii="Calibri" w:eastAsia="Calibri" w:hAnsi="Calibri" w:cs="Calibri"/>
          <w:color w:val="000000" w:themeColor="text1"/>
          <w:szCs w:val="22"/>
        </w:rPr>
        <w:t>.</w:t>
      </w:r>
    </w:p>
    <w:p w14:paraId="2B273744" w14:textId="77777777" w:rsidR="00C94C3A" w:rsidRDefault="00C94C3A" w:rsidP="00FB60EF">
      <w:pPr>
        <w:pStyle w:val="ListParagraph"/>
        <w:numPr>
          <w:ilvl w:val="0"/>
          <w:numId w:val="16"/>
        </w:numPr>
        <w:tabs>
          <w:tab w:val="left" w:pos="0"/>
          <w:tab w:val="left" w:pos="720"/>
        </w:tabs>
        <w:spacing w:line="279" w:lineRule="auto"/>
        <w:rPr>
          <w:rFonts w:ascii="Calibri" w:eastAsia="Calibri" w:hAnsi="Calibri" w:cs="Calibri"/>
          <w:color w:val="000000" w:themeColor="text1"/>
          <w:szCs w:val="22"/>
        </w:rPr>
      </w:pPr>
      <w:r w:rsidRPr="7B746827">
        <w:rPr>
          <w:rFonts w:ascii="Calibri" w:eastAsia="Calibri" w:hAnsi="Calibri" w:cs="Calibri"/>
          <w:color w:val="000000" w:themeColor="text1"/>
          <w:szCs w:val="22"/>
        </w:rPr>
        <w:t>Assess if and how policies related to student loans can be improved to foster, rather than limit, opportunities for wealth building</w:t>
      </w:r>
      <w:r>
        <w:rPr>
          <w:rFonts w:ascii="Calibri" w:eastAsia="Calibri" w:hAnsi="Calibri" w:cs="Calibri"/>
          <w:color w:val="000000" w:themeColor="text1"/>
          <w:szCs w:val="22"/>
        </w:rPr>
        <w:t>.</w:t>
      </w:r>
    </w:p>
    <w:p w14:paraId="1A8006AB" w14:textId="77777777" w:rsidR="00C94C3A" w:rsidRDefault="00C94C3A" w:rsidP="00FB60EF">
      <w:pPr>
        <w:pStyle w:val="ListParagraph"/>
        <w:numPr>
          <w:ilvl w:val="0"/>
          <w:numId w:val="16"/>
        </w:numPr>
        <w:tabs>
          <w:tab w:val="left" w:pos="0"/>
          <w:tab w:val="left" w:pos="720"/>
        </w:tabs>
        <w:spacing w:line="279" w:lineRule="auto"/>
        <w:rPr>
          <w:rFonts w:ascii="Calibri" w:eastAsia="Calibri" w:hAnsi="Calibri" w:cs="Calibri"/>
          <w:color w:val="000000" w:themeColor="text1"/>
          <w:szCs w:val="22"/>
        </w:rPr>
      </w:pPr>
      <w:r w:rsidRPr="7B746827">
        <w:rPr>
          <w:rFonts w:ascii="Calibri" w:eastAsia="Calibri" w:hAnsi="Calibri" w:cs="Calibri"/>
          <w:color w:val="000000" w:themeColor="text1"/>
          <w:szCs w:val="22"/>
        </w:rPr>
        <w:t xml:space="preserve">Address wealth disparities by investing in historically underfunded higher education institutions including </w:t>
      </w:r>
      <w:r>
        <w:rPr>
          <w:rFonts w:ascii="Calibri" w:eastAsia="Calibri" w:hAnsi="Calibri" w:cs="Calibri"/>
          <w:color w:val="000000" w:themeColor="text1"/>
          <w:szCs w:val="22"/>
        </w:rPr>
        <w:t>h</w:t>
      </w:r>
      <w:r w:rsidRPr="7B746827">
        <w:rPr>
          <w:rFonts w:ascii="Calibri" w:eastAsia="Calibri" w:hAnsi="Calibri" w:cs="Calibri"/>
          <w:color w:val="000000" w:themeColor="text1"/>
          <w:szCs w:val="22"/>
        </w:rPr>
        <w:t xml:space="preserve">istorically Black </w:t>
      </w:r>
      <w:r>
        <w:rPr>
          <w:rFonts w:ascii="Calibri" w:eastAsia="Calibri" w:hAnsi="Calibri" w:cs="Calibri"/>
          <w:color w:val="000000" w:themeColor="text1"/>
          <w:szCs w:val="22"/>
        </w:rPr>
        <w:t>c</w:t>
      </w:r>
      <w:r w:rsidRPr="7B746827">
        <w:rPr>
          <w:rFonts w:ascii="Calibri" w:eastAsia="Calibri" w:hAnsi="Calibri" w:cs="Calibri"/>
          <w:color w:val="000000" w:themeColor="text1"/>
          <w:szCs w:val="22"/>
        </w:rPr>
        <w:t xml:space="preserve">olleges and </w:t>
      </w:r>
      <w:r>
        <w:rPr>
          <w:rFonts w:ascii="Calibri" w:eastAsia="Calibri" w:hAnsi="Calibri" w:cs="Calibri"/>
          <w:color w:val="000000" w:themeColor="text1"/>
          <w:szCs w:val="22"/>
        </w:rPr>
        <w:t>u</w:t>
      </w:r>
      <w:r w:rsidRPr="7B746827">
        <w:rPr>
          <w:rFonts w:ascii="Calibri" w:eastAsia="Calibri" w:hAnsi="Calibri" w:cs="Calibri"/>
          <w:color w:val="000000" w:themeColor="text1"/>
          <w:szCs w:val="22"/>
        </w:rPr>
        <w:t>niversities and other minority-serving institutions</w:t>
      </w:r>
      <w:r>
        <w:rPr>
          <w:rFonts w:ascii="Calibri" w:eastAsia="Calibri" w:hAnsi="Calibri" w:cs="Calibri"/>
          <w:color w:val="000000" w:themeColor="text1"/>
          <w:szCs w:val="22"/>
        </w:rPr>
        <w:t>.</w:t>
      </w:r>
    </w:p>
    <w:p w14:paraId="7845BA5E" w14:textId="77777777" w:rsidR="00C94C3A" w:rsidRDefault="00C94C3A" w:rsidP="00C94C3A">
      <w:pPr>
        <w:rPr>
          <w:rFonts w:ascii="Calibri" w:eastAsia="Calibri" w:hAnsi="Calibri" w:cs="Calibri"/>
          <w:szCs w:val="22"/>
        </w:rPr>
      </w:pPr>
      <w:r>
        <w:rPr>
          <w:rFonts w:ascii="Calibri" w:eastAsia="Calibri" w:hAnsi="Calibri" w:cs="Calibri"/>
          <w:szCs w:val="22"/>
        </w:rPr>
        <w:lastRenderedPageBreak/>
        <w:t xml:space="preserve">Improvements to existing data sources would </w:t>
      </w:r>
      <w:r w:rsidRPr="3EC7D413">
        <w:rPr>
          <w:rFonts w:ascii="Calibri" w:eastAsia="Calibri" w:hAnsi="Calibri" w:cs="Calibri"/>
          <w:szCs w:val="22"/>
        </w:rPr>
        <w:t>enable</w:t>
      </w:r>
      <w:r>
        <w:rPr>
          <w:rFonts w:ascii="Calibri" w:eastAsia="Calibri" w:hAnsi="Calibri" w:cs="Calibri"/>
          <w:szCs w:val="22"/>
        </w:rPr>
        <w:t xml:space="preserve"> </w:t>
      </w:r>
      <w:r w:rsidRPr="3EC7D413">
        <w:rPr>
          <w:rFonts w:ascii="Calibri" w:eastAsia="Calibri" w:hAnsi="Calibri" w:cs="Calibri"/>
          <w:szCs w:val="22"/>
        </w:rPr>
        <w:t>researchers</w:t>
      </w:r>
      <w:r w:rsidRPr="7B746827" w:rsidDel="006136FB">
        <w:rPr>
          <w:rFonts w:ascii="Calibri" w:eastAsia="Calibri" w:hAnsi="Calibri" w:cs="Calibri"/>
          <w:szCs w:val="22"/>
        </w:rPr>
        <w:t xml:space="preserve"> </w:t>
      </w:r>
      <w:r w:rsidRPr="7B746827">
        <w:rPr>
          <w:rFonts w:ascii="Calibri" w:eastAsia="Calibri" w:hAnsi="Calibri" w:cs="Calibri"/>
          <w:szCs w:val="22"/>
        </w:rPr>
        <w:t xml:space="preserve">to develop more robust metrics and conduct research that informs evidence-based policy solutions. IHEP recommends the following data improvements: </w:t>
      </w:r>
    </w:p>
    <w:p w14:paraId="260BA25C" w14:textId="77777777" w:rsidR="00C94C3A" w:rsidRDefault="00C94C3A" w:rsidP="00FB60EF">
      <w:pPr>
        <w:pStyle w:val="ListParagraph"/>
        <w:numPr>
          <w:ilvl w:val="0"/>
          <w:numId w:val="14"/>
        </w:numPr>
        <w:spacing w:line="279" w:lineRule="auto"/>
        <w:rPr>
          <w:rFonts w:ascii="Calibri" w:eastAsia="Calibri" w:hAnsi="Calibri" w:cs="Calibri"/>
          <w:szCs w:val="22"/>
        </w:rPr>
      </w:pPr>
      <w:r>
        <w:rPr>
          <w:rFonts w:ascii="Calibri" w:eastAsia="Calibri" w:hAnsi="Calibri" w:cs="Calibri"/>
          <w:szCs w:val="22"/>
        </w:rPr>
        <w:t>The U.S. Department of Education should p</w:t>
      </w:r>
      <w:r w:rsidRPr="7B746827">
        <w:rPr>
          <w:rFonts w:ascii="Calibri" w:eastAsia="Calibri" w:hAnsi="Calibri" w:cs="Calibri"/>
          <w:szCs w:val="22"/>
        </w:rPr>
        <w:t xml:space="preserve">ublish </w:t>
      </w:r>
      <w:r w:rsidRPr="65B30B63">
        <w:rPr>
          <w:rFonts w:ascii="Calibri" w:eastAsia="Calibri" w:hAnsi="Calibri" w:cs="Calibri"/>
          <w:szCs w:val="22"/>
        </w:rPr>
        <w:t>summative wealth measures</w:t>
      </w:r>
      <w:r w:rsidRPr="7B746827">
        <w:rPr>
          <w:rFonts w:ascii="Calibri" w:eastAsia="Calibri" w:hAnsi="Calibri" w:cs="Calibri"/>
          <w:szCs w:val="22"/>
        </w:rPr>
        <w:t xml:space="preserve"> </w:t>
      </w:r>
      <w:r>
        <w:rPr>
          <w:rFonts w:ascii="Calibri" w:eastAsia="Calibri" w:hAnsi="Calibri" w:cs="Calibri"/>
          <w:szCs w:val="22"/>
        </w:rPr>
        <w:t xml:space="preserve">from FAFSA submissions in its publicly available datasets, including the sample studies accessible through the </w:t>
      </w:r>
      <w:r w:rsidRPr="7B746827">
        <w:rPr>
          <w:rFonts w:ascii="Calibri" w:eastAsia="Calibri" w:hAnsi="Calibri" w:cs="Calibri"/>
          <w:szCs w:val="22"/>
        </w:rPr>
        <w:t xml:space="preserve">National Center for Education Statistics (NCES) </w:t>
      </w:r>
      <w:r>
        <w:rPr>
          <w:rFonts w:ascii="Calibri" w:eastAsia="Calibri" w:hAnsi="Calibri" w:cs="Calibri"/>
          <w:szCs w:val="22"/>
        </w:rPr>
        <w:t>DataLab, the College Scorecard, and Federal Student Aid Data Center reports.</w:t>
      </w:r>
    </w:p>
    <w:p w14:paraId="276060CA" w14:textId="77777777" w:rsidR="00C94C3A" w:rsidRDefault="00C94C3A" w:rsidP="00FB60EF">
      <w:pPr>
        <w:pStyle w:val="ListParagraph"/>
        <w:numPr>
          <w:ilvl w:val="0"/>
          <w:numId w:val="14"/>
        </w:numPr>
        <w:spacing w:line="279" w:lineRule="auto"/>
        <w:rPr>
          <w:rFonts w:ascii="Calibri" w:eastAsia="Calibri" w:hAnsi="Calibri" w:cs="Calibri"/>
          <w:szCs w:val="22"/>
        </w:rPr>
      </w:pPr>
      <w:r>
        <w:rPr>
          <w:rFonts w:ascii="Calibri" w:eastAsia="Calibri" w:hAnsi="Calibri" w:cs="Calibri"/>
          <w:szCs w:val="22"/>
        </w:rPr>
        <w:t>The U.S. Department of Education should c</w:t>
      </w:r>
      <w:r w:rsidRPr="7B746827">
        <w:rPr>
          <w:rFonts w:ascii="Calibri" w:eastAsia="Calibri" w:hAnsi="Calibri" w:cs="Calibri"/>
          <w:szCs w:val="22"/>
        </w:rPr>
        <w:t>ollect</w:t>
      </w:r>
      <w:r w:rsidRPr="7B746827" w:rsidDel="00B644A4">
        <w:rPr>
          <w:rFonts w:ascii="Calibri" w:eastAsia="Calibri" w:hAnsi="Calibri" w:cs="Calibri"/>
          <w:szCs w:val="22"/>
        </w:rPr>
        <w:t xml:space="preserve"> </w:t>
      </w:r>
      <w:r>
        <w:rPr>
          <w:rFonts w:ascii="Calibri" w:eastAsia="Calibri" w:hAnsi="Calibri" w:cs="Calibri"/>
          <w:szCs w:val="22"/>
        </w:rPr>
        <w:t>m</w:t>
      </w:r>
      <w:r w:rsidRPr="7B746827">
        <w:rPr>
          <w:rFonts w:ascii="Calibri" w:eastAsia="Calibri" w:hAnsi="Calibri" w:cs="Calibri"/>
          <w:szCs w:val="22"/>
        </w:rPr>
        <w:t xml:space="preserve">ore </w:t>
      </w:r>
      <w:r w:rsidRPr="65B30B63">
        <w:rPr>
          <w:rFonts w:ascii="Calibri" w:eastAsia="Calibri" w:hAnsi="Calibri" w:cs="Calibri"/>
          <w:szCs w:val="22"/>
        </w:rPr>
        <w:t>granular data</w:t>
      </w:r>
      <w:r w:rsidRPr="7B746827">
        <w:rPr>
          <w:rFonts w:ascii="Calibri" w:eastAsia="Calibri" w:hAnsi="Calibri" w:cs="Calibri"/>
          <w:szCs w:val="22"/>
        </w:rPr>
        <w:t xml:space="preserve"> on the </w:t>
      </w:r>
      <w:r w:rsidRPr="65B30B63">
        <w:rPr>
          <w:rFonts w:ascii="Calibri" w:eastAsia="Calibri" w:hAnsi="Calibri" w:cs="Calibri"/>
          <w:szCs w:val="22"/>
        </w:rPr>
        <w:t>wealth</w:t>
      </w:r>
      <w:r w:rsidRPr="7B746827">
        <w:rPr>
          <w:rFonts w:ascii="Calibri" w:eastAsia="Calibri" w:hAnsi="Calibri" w:cs="Calibri"/>
          <w:szCs w:val="22"/>
        </w:rPr>
        <w:t xml:space="preserve"> of </w:t>
      </w:r>
      <w:r w:rsidRPr="65B30B63">
        <w:rPr>
          <w:rFonts w:ascii="Calibri" w:eastAsia="Calibri" w:hAnsi="Calibri" w:cs="Calibri"/>
          <w:szCs w:val="22"/>
        </w:rPr>
        <w:t>students</w:t>
      </w:r>
      <w:r w:rsidRPr="7B746827">
        <w:rPr>
          <w:rFonts w:ascii="Calibri" w:eastAsia="Calibri" w:hAnsi="Calibri" w:cs="Calibri"/>
          <w:szCs w:val="22"/>
        </w:rPr>
        <w:t xml:space="preserve"> and their </w:t>
      </w:r>
      <w:r w:rsidRPr="65B30B63">
        <w:rPr>
          <w:rFonts w:ascii="Calibri" w:eastAsia="Calibri" w:hAnsi="Calibri" w:cs="Calibri"/>
          <w:szCs w:val="22"/>
        </w:rPr>
        <w:t>parents</w:t>
      </w:r>
      <w:r w:rsidRPr="7B746827">
        <w:rPr>
          <w:rFonts w:ascii="Calibri" w:eastAsia="Calibri" w:hAnsi="Calibri" w:cs="Calibri"/>
          <w:szCs w:val="22"/>
        </w:rPr>
        <w:t xml:space="preserve"> in NCES </w:t>
      </w:r>
      <w:r w:rsidRPr="65B30B63">
        <w:rPr>
          <w:rFonts w:ascii="Calibri" w:eastAsia="Calibri" w:hAnsi="Calibri" w:cs="Calibri"/>
          <w:szCs w:val="22"/>
        </w:rPr>
        <w:t>longitudinal studies</w:t>
      </w:r>
      <w:r>
        <w:rPr>
          <w:rFonts w:ascii="Calibri" w:eastAsia="Calibri" w:hAnsi="Calibri" w:cs="Calibri"/>
          <w:szCs w:val="22"/>
        </w:rPr>
        <w:t>, in time periods before, during, and after college.</w:t>
      </w:r>
    </w:p>
    <w:p w14:paraId="376DF628" w14:textId="77777777" w:rsidR="00C94C3A" w:rsidRDefault="00C94C3A" w:rsidP="00FB60EF">
      <w:pPr>
        <w:pStyle w:val="ListParagraph"/>
        <w:numPr>
          <w:ilvl w:val="0"/>
          <w:numId w:val="14"/>
        </w:numPr>
        <w:spacing w:line="279" w:lineRule="auto"/>
        <w:rPr>
          <w:rFonts w:ascii="Calibri" w:eastAsia="Calibri" w:hAnsi="Calibri" w:cs="Calibri"/>
          <w:szCs w:val="22"/>
        </w:rPr>
      </w:pPr>
      <w:r>
        <w:rPr>
          <w:rFonts w:ascii="Calibri" w:eastAsia="Calibri" w:hAnsi="Calibri" w:cs="Calibri"/>
          <w:szCs w:val="22"/>
        </w:rPr>
        <w:t>The FINRA Foundation should a</w:t>
      </w:r>
      <w:r w:rsidRPr="7B746827">
        <w:rPr>
          <w:rFonts w:ascii="Calibri" w:eastAsia="Calibri" w:hAnsi="Calibri" w:cs="Calibri"/>
          <w:szCs w:val="22"/>
        </w:rPr>
        <w:t xml:space="preserve">sk </w:t>
      </w:r>
      <w:r>
        <w:rPr>
          <w:rFonts w:ascii="Calibri" w:eastAsia="Calibri" w:hAnsi="Calibri" w:cs="Calibri"/>
          <w:szCs w:val="22"/>
        </w:rPr>
        <w:t>r</w:t>
      </w:r>
      <w:r w:rsidRPr="7B746827">
        <w:rPr>
          <w:rFonts w:ascii="Calibri" w:eastAsia="Calibri" w:hAnsi="Calibri" w:cs="Calibri"/>
          <w:szCs w:val="22"/>
        </w:rPr>
        <w:t>espondents</w:t>
      </w:r>
      <w:r>
        <w:rPr>
          <w:rFonts w:ascii="Calibri" w:eastAsia="Calibri" w:hAnsi="Calibri" w:cs="Calibri"/>
          <w:szCs w:val="22"/>
        </w:rPr>
        <w:t xml:space="preserve"> to</w:t>
      </w:r>
      <w:r w:rsidRPr="7B746827">
        <w:rPr>
          <w:rFonts w:ascii="Calibri" w:eastAsia="Calibri" w:hAnsi="Calibri" w:cs="Calibri"/>
          <w:szCs w:val="22"/>
        </w:rPr>
        <w:t xml:space="preserve"> </w:t>
      </w:r>
      <w:r w:rsidRPr="65B30B63">
        <w:rPr>
          <w:rFonts w:ascii="Calibri" w:eastAsia="Calibri" w:hAnsi="Calibri" w:cs="Calibri"/>
          <w:szCs w:val="22"/>
        </w:rPr>
        <w:t>the</w:t>
      </w:r>
      <w:r w:rsidRPr="7B746827">
        <w:rPr>
          <w:rFonts w:ascii="Calibri" w:eastAsia="Calibri" w:hAnsi="Calibri" w:cs="Calibri"/>
          <w:szCs w:val="22"/>
        </w:rPr>
        <w:t xml:space="preserve"> National Financial Capability Study State</w:t>
      </w:r>
      <w:r>
        <w:rPr>
          <w:rFonts w:ascii="Calibri" w:eastAsia="Calibri" w:hAnsi="Calibri" w:cs="Calibri"/>
          <w:szCs w:val="22"/>
        </w:rPr>
        <w:t>-</w:t>
      </w:r>
      <w:r w:rsidRPr="7B746827">
        <w:rPr>
          <w:rFonts w:ascii="Calibri" w:eastAsia="Calibri" w:hAnsi="Calibri" w:cs="Calibri"/>
          <w:szCs w:val="22"/>
        </w:rPr>
        <w:t>by</w:t>
      </w:r>
      <w:r>
        <w:rPr>
          <w:rFonts w:ascii="Calibri" w:eastAsia="Calibri" w:hAnsi="Calibri" w:cs="Calibri"/>
          <w:szCs w:val="22"/>
        </w:rPr>
        <w:t>-</w:t>
      </w:r>
      <w:r w:rsidRPr="7B746827">
        <w:rPr>
          <w:rFonts w:ascii="Calibri" w:eastAsia="Calibri" w:hAnsi="Calibri" w:cs="Calibri"/>
          <w:szCs w:val="22"/>
        </w:rPr>
        <w:t xml:space="preserve">State Survey </w:t>
      </w:r>
      <w:r w:rsidRPr="65B30B63">
        <w:rPr>
          <w:rFonts w:ascii="Calibri" w:eastAsia="Calibri" w:hAnsi="Calibri" w:cs="Calibri"/>
          <w:szCs w:val="22"/>
        </w:rPr>
        <w:t>to report total asset</w:t>
      </w:r>
      <w:r w:rsidRPr="7B746827">
        <w:rPr>
          <w:rFonts w:ascii="Calibri" w:eastAsia="Calibri" w:hAnsi="Calibri" w:cs="Calibri"/>
          <w:szCs w:val="22"/>
        </w:rPr>
        <w:t xml:space="preserve"> and </w:t>
      </w:r>
      <w:r w:rsidRPr="65B30B63">
        <w:rPr>
          <w:rFonts w:ascii="Calibri" w:eastAsia="Calibri" w:hAnsi="Calibri" w:cs="Calibri"/>
          <w:szCs w:val="22"/>
        </w:rPr>
        <w:t>total debt amounts</w:t>
      </w:r>
      <w:r>
        <w:rPr>
          <w:rFonts w:ascii="Calibri" w:eastAsia="Calibri" w:hAnsi="Calibri" w:cs="Calibri"/>
          <w:szCs w:val="22"/>
        </w:rPr>
        <w:t>.</w:t>
      </w:r>
    </w:p>
    <w:p w14:paraId="10892F08" w14:textId="77777777" w:rsidR="00C94C3A" w:rsidRDefault="00C94C3A" w:rsidP="00FB60EF">
      <w:pPr>
        <w:pStyle w:val="ListParagraph"/>
        <w:numPr>
          <w:ilvl w:val="0"/>
          <w:numId w:val="14"/>
        </w:numPr>
        <w:spacing w:line="279" w:lineRule="auto"/>
        <w:rPr>
          <w:rFonts w:ascii="Calibri" w:eastAsia="Calibri" w:hAnsi="Calibri" w:cs="Calibri"/>
          <w:szCs w:val="22"/>
        </w:rPr>
      </w:pPr>
      <w:r>
        <w:rPr>
          <w:rFonts w:ascii="Calibri" w:eastAsia="Calibri" w:hAnsi="Calibri" w:cs="Calibri"/>
          <w:szCs w:val="22"/>
        </w:rPr>
        <w:t>The Board of Governors of the Federal Reserve System should a</w:t>
      </w:r>
      <w:r w:rsidRPr="65B30B63">
        <w:rPr>
          <w:rFonts w:ascii="Calibri" w:eastAsia="Calibri" w:hAnsi="Calibri" w:cs="Calibri"/>
          <w:szCs w:val="22"/>
        </w:rPr>
        <w:t>dd more higher education measures to the Survey of Consumer Finances</w:t>
      </w:r>
      <w:r>
        <w:rPr>
          <w:rFonts w:ascii="Calibri" w:eastAsia="Calibri" w:hAnsi="Calibri" w:cs="Calibri"/>
          <w:szCs w:val="22"/>
        </w:rPr>
        <w:t>.</w:t>
      </w:r>
    </w:p>
    <w:p w14:paraId="79DDF8DB" w14:textId="77777777" w:rsidR="00C94C3A" w:rsidRDefault="00C94C3A" w:rsidP="00FB60EF">
      <w:pPr>
        <w:pStyle w:val="ListParagraph"/>
        <w:numPr>
          <w:ilvl w:val="0"/>
          <w:numId w:val="14"/>
        </w:numPr>
        <w:spacing w:line="279" w:lineRule="auto"/>
        <w:rPr>
          <w:rFonts w:ascii="Calibri" w:eastAsia="Calibri" w:hAnsi="Calibri" w:cs="Calibri"/>
          <w:szCs w:val="22"/>
        </w:rPr>
      </w:pPr>
      <w:r w:rsidRPr="00B14103">
        <w:rPr>
          <w:rFonts w:ascii="Calibri" w:eastAsia="Calibri" w:hAnsi="Calibri" w:cs="Calibri"/>
          <w:szCs w:val="22"/>
        </w:rPr>
        <w:t>In g</w:t>
      </w:r>
      <w:r w:rsidRPr="005B56BE">
        <w:rPr>
          <w:rFonts w:ascii="Calibri" w:eastAsia="Calibri" w:hAnsi="Calibri" w:cs="Calibri"/>
          <w:szCs w:val="22"/>
        </w:rPr>
        <w:t>eneral, data collections should o</w:t>
      </w:r>
      <w:r w:rsidRPr="65B30B63">
        <w:rPr>
          <w:rFonts w:ascii="Calibri" w:eastAsia="Calibri" w:hAnsi="Calibri" w:cs="Calibri"/>
          <w:szCs w:val="22"/>
        </w:rPr>
        <w:t>versample small populations to build sufficient sample sizes</w:t>
      </w:r>
      <w:r w:rsidRPr="005B56BE">
        <w:rPr>
          <w:rFonts w:ascii="Calibri" w:eastAsia="Calibri" w:hAnsi="Calibri" w:cs="Calibri"/>
          <w:szCs w:val="22"/>
        </w:rPr>
        <w:t xml:space="preserve"> and </w:t>
      </w:r>
      <w:r>
        <w:rPr>
          <w:rFonts w:ascii="Calibri" w:eastAsia="Calibri" w:hAnsi="Calibri" w:cs="Calibri"/>
          <w:szCs w:val="22"/>
        </w:rPr>
        <w:t>c</w:t>
      </w:r>
      <w:r w:rsidRPr="005B56BE">
        <w:rPr>
          <w:rFonts w:ascii="Calibri" w:eastAsia="Calibri" w:hAnsi="Calibri" w:cs="Calibri"/>
          <w:szCs w:val="22"/>
        </w:rPr>
        <w:t>ollect</w:t>
      </w:r>
      <w:r w:rsidRPr="6E742DEE">
        <w:rPr>
          <w:rFonts w:ascii="Calibri" w:eastAsia="Calibri" w:hAnsi="Calibri" w:cs="Calibri"/>
          <w:szCs w:val="22"/>
        </w:rPr>
        <w:t xml:space="preserve"> multiple </w:t>
      </w:r>
      <w:r w:rsidRPr="65B30B63">
        <w:rPr>
          <w:rFonts w:ascii="Calibri" w:eastAsia="Calibri" w:hAnsi="Calibri" w:cs="Calibri"/>
          <w:szCs w:val="22"/>
        </w:rPr>
        <w:t>measures</w:t>
      </w:r>
      <w:r w:rsidRPr="6E742DEE">
        <w:rPr>
          <w:rFonts w:ascii="Calibri" w:eastAsia="Calibri" w:hAnsi="Calibri" w:cs="Calibri"/>
          <w:szCs w:val="22"/>
        </w:rPr>
        <w:t xml:space="preserve"> of </w:t>
      </w:r>
      <w:r w:rsidRPr="65B30B63">
        <w:rPr>
          <w:rFonts w:ascii="Calibri" w:eastAsia="Calibri" w:hAnsi="Calibri" w:cs="Calibri"/>
          <w:szCs w:val="22"/>
        </w:rPr>
        <w:t>race</w:t>
      </w:r>
      <w:r w:rsidRPr="6E742DEE">
        <w:rPr>
          <w:rFonts w:ascii="Calibri" w:eastAsia="Calibri" w:hAnsi="Calibri" w:cs="Calibri"/>
          <w:szCs w:val="22"/>
        </w:rPr>
        <w:t xml:space="preserve"> and </w:t>
      </w:r>
      <w:r w:rsidRPr="65B30B63">
        <w:rPr>
          <w:rFonts w:ascii="Calibri" w:eastAsia="Calibri" w:hAnsi="Calibri" w:cs="Calibri"/>
          <w:szCs w:val="22"/>
        </w:rPr>
        <w:t>ethnicity</w:t>
      </w:r>
      <w:r>
        <w:rPr>
          <w:rFonts w:ascii="Calibri" w:eastAsia="Calibri" w:hAnsi="Calibri" w:cs="Calibri"/>
          <w:szCs w:val="22"/>
        </w:rPr>
        <w:t>.</w:t>
      </w:r>
    </w:p>
    <w:p w14:paraId="53A0D72E" w14:textId="77777777" w:rsidR="00C94C3A" w:rsidRDefault="00C94C3A" w:rsidP="00C94C3A">
      <w:pPr>
        <w:rPr>
          <w:rFonts w:ascii="Calibri" w:eastAsia="Calibri" w:hAnsi="Calibri" w:cs="Calibri"/>
          <w:szCs w:val="22"/>
        </w:rPr>
      </w:pPr>
    </w:p>
    <w:p w14:paraId="7CD8D0EB" w14:textId="702CCF07" w:rsidR="00C94C3A" w:rsidRPr="00A10B12" w:rsidRDefault="00C94C3A" w:rsidP="00A10B12">
      <w:pPr>
        <w:rPr>
          <w:highlight w:val="yellow"/>
        </w:rPr>
      </w:pPr>
      <w:r w:rsidRPr="7B746827">
        <w:rPr>
          <w:rFonts w:ascii="Calibri" w:eastAsia="Calibri" w:hAnsi="Calibri" w:cs="Calibri"/>
          <w:szCs w:val="22"/>
        </w:rPr>
        <w:t>Expanding access to high-quality, disaggregated, and complete data on wealth and higher education can help researchers and policymakers develop a strategic blueprint to expand higher education access and success, and build on</w:t>
      </w:r>
      <w:r>
        <w:rPr>
          <w:rFonts w:ascii="Calibri" w:eastAsia="Calibri" w:hAnsi="Calibri" w:cs="Calibri"/>
          <w:szCs w:val="22"/>
        </w:rPr>
        <w:t>-</w:t>
      </w:r>
      <w:r w:rsidRPr="7B746827">
        <w:rPr>
          <w:rFonts w:ascii="Calibri" w:eastAsia="Calibri" w:hAnsi="Calibri" w:cs="Calibri"/>
          <w:szCs w:val="22"/>
        </w:rPr>
        <w:t xml:space="preserve">ramps to wealth creation, especially for Black, Latinx, Indigenous, </w:t>
      </w:r>
      <w:r w:rsidRPr="3EC7D413">
        <w:rPr>
          <w:rFonts w:ascii="Calibri" w:eastAsia="Calibri" w:hAnsi="Calibri" w:cs="Calibri"/>
          <w:szCs w:val="22"/>
        </w:rPr>
        <w:t xml:space="preserve">underrepresented </w:t>
      </w:r>
      <w:r w:rsidRPr="7B746827">
        <w:rPr>
          <w:rFonts w:ascii="Calibri" w:eastAsia="Calibri" w:hAnsi="Calibri" w:cs="Calibri"/>
          <w:szCs w:val="22"/>
        </w:rPr>
        <w:t>Asian American</w:t>
      </w:r>
      <w:r>
        <w:rPr>
          <w:rFonts w:ascii="Calibri" w:eastAsia="Calibri" w:hAnsi="Calibri" w:cs="Calibri"/>
          <w:szCs w:val="22"/>
        </w:rPr>
        <w:t>,</w:t>
      </w:r>
      <w:r w:rsidRPr="7B746827">
        <w:rPr>
          <w:rFonts w:ascii="Calibri" w:eastAsia="Calibri" w:hAnsi="Calibri" w:cs="Calibri"/>
          <w:szCs w:val="22"/>
        </w:rPr>
        <w:t xml:space="preserve"> Native Hawaiian</w:t>
      </w:r>
      <w:r>
        <w:rPr>
          <w:rFonts w:ascii="Calibri" w:eastAsia="Calibri" w:hAnsi="Calibri" w:cs="Calibri"/>
          <w:szCs w:val="22"/>
        </w:rPr>
        <w:t>,</w:t>
      </w:r>
      <w:r w:rsidRPr="7B746827">
        <w:rPr>
          <w:rFonts w:ascii="Calibri" w:eastAsia="Calibri" w:hAnsi="Calibri" w:cs="Calibri"/>
          <w:szCs w:val="22"/>
        </w:rPr>
        <w:t xml:space="preserve"> and Pacific Islander communities, and all other rac</w:t>
      </w:r>
      <w:r>
        <w:rPr>
          <w:rFonts w:ascii="Calibri" w:eastAsia="Calibri" w:hAnsi="Calibri" w:cs="Calibri"/>
          <w:szCs w:val="22"/>
        </w:rPr>
        <w:t>ial</w:t>
      </w:r>
      <w:r w:rsidRPr="7B746827">
        <w:rPr>
          <w:rFonts w:ascii="Calibri" w:eastAsia="Calibri" w:hAnsi="Calibri" w:cs="Calibri"/>
          <w:szCs w:val="22"/>
        </w:rPr>
        <w:t xml:space="preserve"> and ethnic identities. By leveraging data-driven insights, higher education can be a powerful tool for narrowing the racial wealth gap and creating a more just and equitable society.</w:t>
      </w:r>
    </w:p>
    <w:p w14:paraId="0CD17401" w14:textId="77777777" w:rsidR="00FB60EF" w:rsidRDefault="00FB60EF">
      <w:pPr>
        <w:spacing w:after="160" w:line="259" w:lineRule="auto"/>
        <w:rPr>
          <w:rFonts w:asciiTheme="majorHAnsi" w:eastAsiaTheme="majorEastAsia" w:hAnsiTheme="majorHAnsi" w:cstheme="majorBidi"/>
          <w:color w:val="2F5496" w:themeColor="accent1" w:themeShade="BF"/>
          <w:sz w:val="32"/>
          <w:szCs w:val="32"/>
        </w:rPr>
      </w:pPr>
      <w:r>
        <w:br w:type="page"/>
      </w:r>
    </w:p>
    <w:p w14:paraId="39359D62" w14:textId="00BDCF97" w:rsidR="00F874BC" w:rsidRDefault="00F874BC" w:rsidP="004B1105">
      <w:pPr>
        <w:pStyle w:val="Heading1"/>
      </w:pPr>
      <w:bookmarkStart w:id="1" w:name="_Toc167901737"/>
      <w:r>
        <w:lastRenderedPageBreak/>
        <w:t>Contributors</w:t>
      </w:r>
      <w:bookmarkEnd w:id="1"/>
    </w:p>
    <w:p w14:paraId="78695F45" w14:textId="08710F93" w:rsidR="00F874BC" w:rsidRDefault="00C318AE" w:rsidP="004B1105">
      <w:r>
        <w:t>Kim Dancy, Institute for Higher Education Policy</w:t>
      </w:r>
    </w:p>
    <w:p w14:paraId="6301FAC1" w14:textId="7D1BDDAA" w:rsidR="00C318AE" w:rsidRPr="00F874BC" w:rsidRDefault="00C318AE" w:rsidP="004B1105">
      <w:r>
        <w:t>Lauren J. Asher, LJA Strategies</w:t>
      </w:r>
    </w:p>
    <w:p w14:paraId="30EA4A51" w14:textId="25EE1202" w:rsidR="00105D26" w:rsidRPr="00DB7103" w:rsidRDefault="00376625" w:rsidP="004B1105">
      <w:pPr>
        <w:pStyle w:val="Heading1"/>
      </w:pPr>
      <w:bookmarkStart w:id="2" w:name="_Toc167901738"/>
      <w:r w:rsidRPr="00DB7103">
        <w:t>Acknowledgements</w:t>
      </w:r>
      <w:bookmarkEnd w:id="2"/>
    </w:p>
    <w:p w14:paraId="616BD5BF" w14:textId="77777777" w:rsidR="00027AE9" w:rsidRDefault="00027AE9" w:rsidP="004B1105"/>
    <w:p w14:paraId="20302ECE" w14:textId="6AD97830" w:rsidR="00027AE9" w:rsidRDefault="544FB8F9" w:rsidP="004B1105">
      <w:r w:rsidRPr="17A090D6">
        <w:rPr>
          <w:rFonts w:eastAsiaTheme="minorEastAsia"/>
        </w:rPr>
        <w:t xml:space="preserve">This research was funded </w:t>
      </w:r>
      <w:r w:rsidR="006E7CCA">
        <w:rPr>
          <w:rFonts w:eastAsiaTheme="minorEastAsia"/>
        </w:rPr>
        <w:t>through generous support from</w:t>
      </w:r>
      <w:r w:rsidRPr="17A090D6">
        <w:rPr>
          <w:rFonts w:eastAsiaTheme="minorEastAsia"/>
        </w:rPr>
        <w:t xml:space="preserve"> The Joyce Foundation</w:t>
      </w:r>
      <w:r w:rsidR="006E7CCA">
        <w:rPr>
          <w:rFonts w:eastAsiaTheme="minorEastAsia"/>
        </w:rPr>
        <w:t xml:space="preserve">. </w:t>
      </w:r>
      <w:r w:rsidRPr="17A090D6">
        <w:rPr>
          <w:rFonts w:eastAsiaTheme="minorEastAsia"/>
        </w:rPr>
        <w:t>The findings and conclusions presented in this report are those of the authors alone, and do not necessarily reflect the opinions of the Foundation.</w:t>
      </w:r>
      <w:r>
        <w:t xml:space="preserve"> </w:t>
      </w:r>
    </w:p>
    <w:p w14:paraId="40BB0A60" w14:textId="4A4AA71E" w:rsidR="00027AE9" w:rsidRDefault="00027AE9" w:rsidP="004B1105"/>
    <w:p w14:paraId="2F13C7B4" w14:textId="4852C0C2" w:rsidR="00027AE9" w:rsidRDefault="00027AE9" w:rsidP="004B1105">
      <w:r>
        <w:t xml:space="preserve">The authors are grateful for the contributions of </w:t>
      </w:r>
      <w:r w:rsidR="4A69B5AF">
        <w:t>IHEP staff</w:t>
      </w:r>
      <w:r>
        <w:t xml:space="preserve"> who made this </w:t>
      </w:r>
      <w:r w:rsidR="00B05005">
        <w:t>report</w:t>
      </w:r>
      <w:r>
        <w:t xml:space="preserve"> possible. </w:t>
      </w:r>
      <w:r w:rsidR="369861FA">
        <w:t xml:space="preserve">Thank you to </w:t>
      </w:r>
      <w:r w:rsidR="71CD935D">
        <w:t>Mamie Voight, president</w:t>
      </w:r>
      <w:r w:rsidR="42FC83CA">
        <w:t xml:space="preserve"> and CEO; Kelly Leon, vice president of communications and government affairs; Lauren Bell, communications associate; </w:t>
      </w:r>
      <w:r w:rsidR="2790F1EC">
        <w:t>Jessica Vivar, government affairs associate</w:t>
      </w:r>
      <w:r w:rsidR="00833504">
        <w:t xml:space="preserve">; </w:t>
      </w:r>
      <w:proofErr w:type="gramStart"/>
      <w:r w:rsidR="42FC83CA">
        <w:t xml:space="preserve">and </w:t>
      </w:r>
      <w:r>
        <w:t xml:space="preserve"> </w:t>
      </w:r>
      <w:r w:rsidR="003D129E">
        <w:t>Gabrielle</w:t>
      </w:r>
      <w:proofErr w:type="gramEnd"/>
      <w:r w:rsidR="003D129E">
        <w:t xml:space="preserve"> Smith Finnie, </w:t>
      </w:r>
      <w:r w:rsidR="00136C44">
        <w:t xml:space="preserve">former </w:t>
      </w:r>
      <w:r w:rsidR="24354212">
        <w:t>research intern</w:t>
      </w:r>
      <w:r w:rsidR="00D60ECD">
        <w:t>. They provided</w:t>
      </w:r>
      <w:r>
        <w:t xml:space="preserve"> a range of support, </w:t>
      </w:r>
      <w:r w:rsidR="00C145A1">
        <w:t xml:space="preserve">including </w:t>
      </w:r>
      <w:r w:rsidR="00A53B05">
        <w:t xml:space="preserve">policy insight, </w:t>
      </w:r>
      <w:r>
        <w:t>help identify</w:t>
      </w:r>
      <w:r w:rsidR="00EB7381">
        <w:t>ing</w:t>
      </w:r>
      <w:r>
        <w:t xml:space="preserve"> timely and relevant research, feedback on drafts, and a host of logistical assistance throughout.</w:t>
      </w:r>
      <w:r w:rsidR="67BE85E6">
        <w:t xml:space="preserve"> </w:t>
      </w:r>
    </w:p>
    <w:p w14:paraId="0B01B204" w14:textId="77777777" w:rsidR="00027AE9" w:rsidRDefault="00027AE9" w:rsidP="004B1105"/>
    <w:p w14:paraId="5AA940F9" w14:textId="5F47426C" w:rsidR="00027AE9" w:rsidRDefault="00027AE9" w:rsidP="004B1105">
      <w:pPr>
        <w:pStyle w:val="NoSpacing"/>
      </w:pPr>
      <w:r>
        <w:t xml:space="preserve">This </w:t>
      </w:r>
      <w:r w:rsidR="00856B78">
        <w:t>report</w:t>
      </w:r>
      <w:r>
        <w:t xml:space="preserve"> required extensive data exploration </w:t>
      </w:r>
      <w:r w:rsidR="7B0970DC">
        <w:t>by</w:t>
      </w:r>
      <w:r>
        <w:t xml:space="preserve"> Netasha Pizano</w:t>
      </w:r>
      <w:r w:rsidR="114A44DE">
        <w:t>, former research intern</w:t>
      </w:r>
      <w:r w:rsidR="00B7620D">
        <w:t xml:space="preserve">; </w:t>
      </w:r>
      <w:r>
        <w:t xml:space="preserve">Marián Vargas, </w:t>
      </w:r>
      <w:r w:rsidR="7B30156A">
        <w:t>senior research analyst;</w:t>
      </w:r>
      <w:r>
        <w:t xml:space="preserve"> Pearl Lo, </w:t>
      </w:r>
      <w:r w:rsidR="26C3247E">
        <w:t>former research intern,</w:t>
      </w:r>
      <w:r w:rsidR="005727BC">
        <w:t xml:space="preserve"> and Madeline Rowe, research intern</w:t>
      </w:r>
      <w:r w:rsidR="005B12CA">
        <w:t>;</w:t>
      </w:r>
      <w:r w:rsidR="26C3247E">
        <w:t xml:space="preserve"> </w:t>
      </w:r>
      <w:r w:rsidR="001B1611">
        <w:t xml:space="preserve">all </w:t>
      </w:r>
      <w:r w:rsidR="007E6233">
        <w:t xml:space="preserve">of </w:t>
      </w:r>
      <w:r>
        <w:t>who</w:t>
      </w:r>
      <w:r w:rsidR="001B1611">
        <w:t>m</w:t>
      </w:r>
      <w:r>
        <w:t xml:space="preserve"> provided significant data validation and quality assurance support. We are grateful to Albert Liu, Jackson Miller, and Samuel Correa of </w:t>
      </w:r>
      <w:proofErr w:type="spellStart"/>
      <w:r>
        <w:t>Westat</w:t>
      </w:r>
      <w:proofErr w:type="spellEnd"/>
      <w:r>
        <w:t xml:space="preserve"> Insight for providing methodological feedback.</w:t>
      </w:r>
      <w:r w:rsidR="003D4740">
        <w:t xml:space="preserve"> </w:t>
      </w:r>
      <w:r w:rsidR="00D2326B">
        <w:t>We also extend thanks to Olivia Valdes</w:t>
      </w:r>
      <w:r w:rsidR="00BD1D19">
        <w:t xml:space="preserve"> of the FINRA Foundation for helping provide </w:t>
      </w:r>
      <w:r w:rsidR="008E5757">
        <w:t xml:space="preserve">access to </w:t>
      </w:r>
      <w:r w:rsidR="00BD1D19">
        <w:t>res</w:t>
      </w:r>
      <w:r w:rsidR="008E5757">
        <w:t xml:space="preserve">tricted-use data for </w:t>
      </w:r>
      <w:r w:rsidR="00A030B0">
        <w:t>some of the analyses presented in this report</w:t>
      </w:r>
      <w:r w:rsidR="1F31F395">
        <w:t xml:space="preserve">, </w:t>
      </w:r>
      <w:r>
        <w:t xml:space="preserve">Sabrina Detlef </w:t>
      </w:r>
      <w:r w:rsidR="13C5BF28">
        <w:t>for</w:t>
      </w:r>
      <w:r>
        <w:t xml:space="preserve"> copyediting</w:t>
      </w:r>
      <w:r w:rsidR="004B1105">
        <w:t>,</w:t>
      </w:r>
      <w:r>
        <w:t xml:space="preserve"> and </w:t>
      </w:r>
      <w:r w:rsidR="2D5DCFED">
        <w:t>o</w:t>
      </w:r>
      <w:r>
        <w:t xml:space="preserve">penbox9 </w:t>
      </w:r>
      <w:r w:rsidR="1A815C90">
        <w:t>for creative</w:t>
      </w:r>
      <w:r w:rsidR="003D4740">
        <w:t xml:space="preserve"> </w:t>
      </w:r>
      <w:r>
        <w:t>design</w:t>
      </w:r>
      <w:r w:rsidR="003D4740">
        <w:t xml:space="preserve"> </w:t>
      </w:r>
      <w:r w:rsidR="74ED51AB">
        <w:t>and layout</w:t>
      </w:r>
      <w:r>
        <w:t>.</w:t>
      </w:r>
    </w:p>
    <w:p w14:paraId="2A2E643B" w14:textId="77777777" w:rsidR="00027AE9" w:rsidRDefault="00027AE9" w:rsidP="004B1105">
      <w:pPr>
        <w:pStyle w:val="NoSpacing"/>
      </w:pPr>
    </w:p>
    <w:p w14:paraId="426956EA" w14:textId="2BC54CB3" w:rsidR="007850E9" w:rsidRDefault="007850E9" w:rsidP="004B1105"/>
    <w:p w14:paraId="6A33C8A8" w14:textId="77777777" w:rsidR="002C6BC0" w:rsidRDefault="002C6BC0" w:rsidP="004B1105"/>
    <w:p w14:paraId="46CF84F1" w14:textId="77777777" w:rsidR="002C6BC0" w:rsidRDefault="002C6BC0" w:rsidP="004B1105"/>
    <w:p w14:paraId="03598855" w14:textId="77777777" w:rsidR="002C6BC0" w:rsidRDefault="002C6BC0" w:rsidP="004B1105"/>
    <w:p w14:paraId="678F86C0" w14:textId="77777777" w:rsidR="002C6BC0" w:rsidRDefault="002C6BC0" w:rsidP="004B1105"/>
    <w:p w14:paraId="47205107" w14:textId="77777777" w:rsidR="002C6BC0" w:rsidRDefault="002C6BC0" w:rsidP="004B1105"/>
    <w:p w14:paraId="5E3E3568" w14:textId="77777777" w:rsidR="002C6BC0" w:rsidRDefault="002C6BC0" w:rsidP="004B1105"/>
    <w:p w14:paraId="5F355BCC" w14:textId="77777777" w:rsidR="009D657E" w:rsidRDefault="009D657E" w:rsidP="004B1105"/>
    <w:p w14:paraId="50D42EBD" w14:textId="77777777" w:rsidR="009D657E" w:rsidRDefault="009D657E" w:rsidP="004B1105">
      <w:pPr>
        <w:sectPr w:rsidR="009D657E" w:rsidSect="001A7A59">
          <w:footnotePr>
            <w:numFmt w:val="lowerRoman"/>
          </w:footnotePr>
          <w:endnotePr>
            <w:numFmt w:val="decimal"/>
          </w:endnotePr>
          <w:pgSz w:w="12240" w:h="15840"/>
          <w:pgMar w:top="1440" w:right="1440" w:bottom="1440" w:left="1440" w:header="720" w:footer="720" w:gutter="0"/>
          <w:cols w:space="720"/>
          <w:docGrid w:linePitch="360"/>
        </w:sectPr>
      </w:pPr>
    </w:p>
    <w:p w14:paraId="0880A7F2" w14:textId="06AC4B3E" w:rsidR="00D10006" w:rsidRPr="00D10006" w:rsidRDefault="00FF55F9" w:rsidP="004B1105">
      <w:pPr>
        <w:pStyle w:val="Heading1"/>
      </w:pPr>
      <w:bookmarkStart w:id="3" w:name="_Toc167901739"/>
      <w:r>
        <w:lastRenderedPageBreak/>
        <w:t xml:space="preserve">Note on </w:t>
      </w:r>
      <w:r w:rsidR="00A35478">
        <w:t>Identit</w:t>
      </w:r>
      <w:r w:rsidR="00D10006">
        <w:t>y</w:t>
      </w:r>
      <w:r w:rsidR="00A35478">
        <w:t xml:space="preserve"> Language</w:t>
      </w:r>
      <w:bookmarkEnd w:id="3"/>
    </w:p>
    <w:p w14:paraId="3B4A9525" w14:textId="77777777" w:rsidR="00335EB1" w:rsidRDefault="00335EB1" w:rsidP="001D5FA9">
      <w:pPr>
        <w:pStyle w:val="paragraph"/>
        <w:spacing w:before="0" w:beforeAutospacing="0" w:after="0" w:afterAutospacing="0"/>
        <w:textAlignment w:val="baseline"/>
        <w:rPr>
          <w:rStyle w:val="normaltextrun"/>
          <w:rFonts w:asciiTheme="minorHAnsi" w:eastAsiaTheme="majorEastAsia" w:hAnsiTheme="minorHAnsi" w:cstheme="minorHAnsi"/>
          <w:color w:val="2F5496" w:themeColor="accent1" w:themeShade="BF"/>
          <w:sz w:val="22"/>
          <w:szCs w:val="22"/>
        </w:rPr>
      </w:pPr>
    </w:p>
    <w:p w14:paraId="6E440730" w14:textId="33AF6B12" w:rsidR="00AA32DA" w:rsidRPr="00350E40" w:rsidRDefault="00AA32DA" w:rsidP="001D5FA9">
      <w:pPr>
        <w:pStyle w:val="paragraph"/>
        <w:spacing w:before="0" w:beforeAutospacing="0" w:after="0" w:afterAutospacing="0"/>
        <w:textAlignment w:val="baseline"/>
        <w:rPr>
          <w:rFonts w:asciiTheme="minorHAnsi" w:hAnsiTheme="minorHAnsi" w:cstheme="minorBidi"/>
          <w:sz w:val="18"/>
          <w:szCs w:val="18"/>
        </w:rPr>
      </w:pPr>
      <w:r w:rsidRPr="4C5803EF">
        <w:rPr>
          <w:rStyle w:val="normaltextrun"/>
          <w:rFonts w:asciiTheme="minorHAnsi" w:hAnsiTheme="minorHAnsi" w:cstheme="minorBidi"/>
          <w:sz w:val="22"/>
          <w:szCs w:val="22"/>
        </w:rPr>
        <w:t xml:space="preserve">In </w:t>
      </w:r>
      <w:proofErr w:type="gramStart"/>
      <w:r w:rsidRPr="4C5803EF">
        <w:rPr>
          <w:rStyle w:val="normaltextrun"/>
          <w:rFonts w:asciiTheme="minorHAnsi" w:hAnsiTheme="minorHAnsi" w:cstheme="minorBidi"/>
          <w:sz w:val="22"/>
          <w:szCs w:val="22"/>
        </w:rPr>
        <w:t>all of</w:t>
      </w:r>
      <w:proofErr w:type="gramEnd"/>
      <w:r w:rsidRPr="4C5803EF">
        <w:rPr>
          <w:rStyle w:val="normaltextrun"/>
          <w:rFonts w:asciiTheme="minorHAnsi" w:hAnsiTheme="minorHAnsi" w:cstheme="minorBidi"/>
          <w:sz w:val="22"/>
          <w:szCs w:val="22"/>
        </w:rPr>
        <w:t xml:space="preserve"> our work at IHEP, particularly as it relates to people, we endeavor to be inclusive, accurate, and respectful. We recognize the meaning and importance of racial, ethnic, and cultural identities by capitalizing them. We use the terms </w:t>
      </w:r>
      <w:r w:rsidRPr="4C5803EF">
        <w:rPr>
          <w:rStyle w:val="normaltextrun"/>
          <w:rFonts w:asciiTheme="minorHAnsi" w:hAnsiTheme="minorHAnsi" w:cstheme="minorBidi"/>
          <w:i/>
          <w:sz w:val="22"/>
          <w:szCs w:val="22"/>
        </w:rPr>
        <w:t xml:space="preserve">Black, Latinx, Asian American, Native Hawaiian, </w:t>
      </w:r>
      <w:r w:rsidR="00D65517">
        <w:rPr>
          <w:rStyle w:val="normaltextrun"/>
          <w:rFonts w:asciiTheme="minorHAnsi" w:hAnsiTheme="minorHAnsi" w:cstheme="minorBidi"/>
          <w:i/>
          <w:sz w:val="22"/>
          <w:szCs w:val="22"/>
        </w:rPr>
        <w:t xml:space="preserve">and </w:t>
      </w:r>
      <w:r w:rsidRPr="4C5803EF">
        <w:rPr>
          <w:rStyle w:val="normaltextrun"/>
          <w:rFonts w:asciiTheme="minorHAnsi" w:hAnsiTheme="minorHAnsi" w:cstheme="minorBidi"/>
          <w:i/>
          <w:sz w:val="22"/>
          <w:szCs w:val="22"/>
        </w:rPr>
        <w:t>Pacific Islander</w:t>
      </w:r>
      <w:r w:rsidR="008A2C06">
        <w:rPr>
          <w:rStyle w:val="normaltextrun"/>
          <w:rFonts w:asciiTheme="minorHAnsi" w:hAnsiTheme="minorHAnsi" w:cstheme="minorBidi"/>
          <w:i/>
          <w:sz w:val="22"/>
          <w:szCs w:val="22"/>
        </w:rPr>
        <w:t xml:space="preserve"> (</w:t>
      </w:r>
      <w:r w:rsidR="008A2C06" w:rsidRPr="4C5803EF">
        <w:rPr>
          <w:rStyle w:val="normaltextrun"/>
          <w:rFonts w:asciiTheme="minorHAnsi" w:hAnsiTheme="minorHAnsi" w:cstheme="minorBidi"/>
          <w:i/>
          <w:sz w:val="22"/>
          <w:szCs w:val="22"/>
        </w:rPr>
        <w:t>AANHPI</w:t>
      </w:r>
      <w:r w:rsidRPr="4C5803EF">
        <w:rPr>
          <w:rStyle w:val="normaltextrun"/>
          <w:rFonts w:asciiTheme="minorHAnsi" w:hAnsiTheme="minorHAnsi" w:cstheme="minorBidi"/>
          <w:i/>
          <w:sz w:val="22"/>
          <w:szCs w:val="22"/>
        </w:rPr>
        <w:t xml:space="preserve">), Indigenous, </w:t>
      </w:r>
      <w:r w:rsidRPr="4C5803EF">
        <w:rPr>
          <w:rStyle w:val="normaltextrun"/>
          <w:rFonts w:asciiTheme="minorHAnsi" w:hAnsiTheme="minorHAnsi" w:cstheme="minorBidi"/>
          <w:sz w:val="22"/>
          <w:szCs w:val="22"/>
        </w:rPr>
        <w:t xml:space="preserve">and </w:t>
      </w:r>
      <w:r w:rsidRPr="4C5803EF">
        <w:rPr>
          <w:rStyle w:val="normaltextrun"/>
          <w:rFonts w:asciiTheme="minorHAnsi" w:hAnsiTheme="minorHAnsi" w:cstheme="minorBidi"/>
          <w:i/>
          <w:sz w:val="22"/>
          <w:szCs w:val="22"/>
        </w:rPr>
        <w:t>White</w:t>
      </w:r>
      <w:r w:rsidRPr="4C5803EF">
        <w:rPr>
          <w:rStyle w:val="normaltextrun"/>
          <w:rFonts w:asciiTheme="minorHAnsi" w:hAnsiTheme="minorHAnsi" w:cstheme="minorBidi"/>
          <w:sz w:val="22"/>
          <w:szCs w:val="22"/>
        </w:rPr>
        <w:t xml:space="preserve"> as more than a simple description of people; these are identities, not adjectives, and our capitalization recognizes</w:t>
      </w:r>
      <w:r w:rsidR="00FA5EBE">
        <w:rPr>
          <w:rStyle w:val="normaltextrun"/>
          <w:rFonts w:asciiTheme="minorHAnsi" w:hAnsiTheme="minorHAnsi" w:cstheme="minorBidi"/>
          <w:sz w:val="22"/>
          <w:szCs w:val="22"/>
        </w:rPr>
        <w:t xml:space="preserve"> the fact</w:t>
      </w:r>
      <w:r w:rsidRPr="4C5803EF">
        <w:rPr>
          <w:rStyle w:val="normaltextrun"/>
          <w:rFonts w:asciiTheme="minorHAnsi" w:hAnsiTheme="minorHAnsi" w:cstheme="minorBidi"/>
          <w:sz w:val="22"/>
          <w:szCs w:val="22"/>
        </w:rPr>
        <w:t xml:space="preserve"> that many of these terms reflect a shared culture and history. Capitalization of these terms also gives appropriate weight to the ways that socially constructed concepts of race and ethnicity have created and sustained inequities in our society. </w:t>
      </w:r>
      <w:r w:rsidRPr="4C5803EF">
        <w:rPr>
          <w:rStyle w:val="eop"/>
          <w:rFonts w:asciiTheme="minorHAnsi" w:hAnsiTheme="minorHAnsi" w:cstheme="minorBidi"/>
          <w:sz w:val="22"/>
          <w:szCs w:val="22"/>
        </w:rPr>
        <w:t> </w:t>
      </w:r>
    </w:p>
    <w:p w14:paraId="625950B9" w14:textId="54F404E1" w:rsidR="00AA32DA" w:rsidRPr="00350E40" w:rsidRDefault="00AA32DA" w:rsidP="001D5FA9">
      <w:pPr>
        <w:pStyle w:val="paragraph"/>
        <w:spacing w:before="0" w:beforeAutospacing="0" w:after="0" w:afterAutospacing="0"/>
        <w:textAlignment w:val="baseline"/>
        <w:rPr>
          <w:rFonts w:asciiTheme="minorHAnsi" w:hAnsiTheme="minorHAnsi" w:cstheme="minorBidi"/>
          <w:sz w:val="18"/>
          <w:szCs w:val="18"/>
        </w:rPr>
      </w:pPr>
      <w:r w:rsidRPr="18E8321A">
        <w:rPr>
          <w:rStyle w:val="normaltextrun"/>
          <w:rFonts w:asciiTheme="minorHAnsi" w:hAnsiTheme="minorHAnsi" w:cstheme="minorBidi"/>
          <w:sz w:val="22"/>
          <w:szCs w:val="22"/>
        </w:rPr>
        <w:t> </w:t>
      </w:r>
      <w:r w:rsidRPr="18E8321A">
        <w:rPr>
          <w:rStyle w:val="eop"/>
          <w:rFonts w:asciiTheme="minorHAnsi" w:hAnsiTheme="minorHAnsi" w:cstheme="minorBidi"/>
          <w:sz w:val="22"/>
          <w:szCs w:val="22"/>
        </w:rPr>
        <w:t>  </w:t>
      </w:r>
    </w:p>
    <w:p w14:paraId="177AC750" w14:textId="21214641" w:rsidR="00AA32DA" w:rsidRPr="00350E40" w:rsidRDefault="00AA32DA" w:rsidP="001D5FA9">
      <w:pPr>
        <w:pStyle w:val="paragraph"/>
        <w:spacing w:before="0" w:beforeAutospacing="0" w:after="0" w:afterAutospacing="0"/>
        <w:textAlignment w:val="baseline"/>
        <w:rPr>
          <w:rFonts w:asciiTheme="minorHAnsi" w:hAnsiTheme="minorHAnsi" w:cstheme="minorBidi"/>
          <w:sz w:val="18"/>
          <w:szCs w:val="18"/>
        </w:rPr>
      </w:pPr>
      <w:r w:rsidRPr="2CD0CAD4">
        <w:rPr>
          <w:rStyle w:val="normaltextrun"/>
          <w:rFonts w:asciiTheme="minorHAnsi" w:hAnsiTheme="minorHAnsi" w:cstheme="minorBidi"/>
          <w:sz w:val="22"/>
          <w:szCs w:val="22"/>
        </w:rPr>
        <w:t xml:space="preserve">Unfortunately, the country’s postsecondary data system still </w:t>
      </w:r>
      <w:r w:rsidR="00EC0515">
        <w:rPr>
          <w:rStyle w:val="normaltextrun"/>
          <w:rFonts w:asciiTheme="minorHAnsi" w:hAnsiTheme="minorHAnsi" w:cstheme="minorBidi"/>
          <w:sz w:val="22"/>
          <w:szCs w:val="22"/>
        </w:rPr>
        <w:t>uses</w:t>
      </w:r>
      <w:r w:rsidR="00EC0515" w:rsidRPr="2CD0CAD4">
        <w:rPr>
          <w:rStyle w:val="normaltextrun"/>
          <w:rFonts w:asciiTheme="minorHAnsi" w:hAnsiTheme="minorHAnsi" w:cstheme="minorBidi"/>
          <w:sz w:val="22"/>
          <w:szCs w:val="22"/>
        </w:rPr>
        <w:t xml:space="preserve"> </w:t>
      </w:r>
      <w:r w:rsidRPr="2CD0CAD4">
        <w:rPr>
          <w:rStyle w:val="normaltextrun"/>
          <w:rFonts w:asciiTheme="minorHAnsi" w:hAnsiTheme="minorHAnsi" w:cstheme="minorBidi"/>
          <w:sz w:val="22"/>
          <w:szCs w:val="22"/>
        </w:rPr>
        <w:t>aggregate race</w:t>
      </w:r>
      <w:r w:rsidR="5DF8A0D8" w:rsidRPr="4BFF37DB">
        <w:rPr>
          <w:rStyle w:val="normaltextrun"/>
          <w:rFonts w:asciiTheme="minorHAnsi" w:hAnsiTheme="minorHAnsi" w:cstheme="minorBidi"/>
          <w:sz w:val="22"/>
          <w:szCs w:val="22"/>
        </w:rPr>
        <w:t xml:space="preserve"> and </w:t>
      </w:r>
      <w:r w:rsidRPr="2CD0CAD4">
        <w:rPr>
          <w:rStyle w:val="normaltextrun"/>
          <w:rFonts w:asciiTheme="minorHAnsi" w:hAnsiTheme="minorHAnsi" w:cstheme="minorBidi"/>
          <w:sz w:val="22"/>
          <w:szCs w:val="22"/>
        </w:rPr>
        <w:t>ethnicity groups and terminology that does not always reflect how people identify themselves. As researchers, we aim, where possible and appropriate, to use language that is consistent across data sets and in research conversations. Where necessary to ensure that our research is accurate and replicable, we reflect those aggregate groups in our writing while, as part of our commitment to racial equity, continuing to push for greater disaggregation of race</w:t>
      </w:r>
      <w:r w:rsidR="7B87A700" w:rsidRPr="62557498">
        <w:rPr>
          <w:rStyle w:val="normaltextrun"/>
          <w:rFonts w:asciiTheme="minorHAnsi" w:hAnsiTheme="minorHAnsi" w:cstheme="minorBidi"/>
          <w:sz w:val="22"/>
          <w:szCs w:val="22"/>
        </w:rPr>
        <w:t xml:space="preserve"> and</w:t>
      </w:r>
      <w:r w:rsidR="00F373F4">
        <w:rPr>
          <w:rStyle w:val="normaltextrun"/>
          <w:rFonts w:asciiTheme="minorHAnsi" w:hAnsiTheme="minorHAnsi" w:cstheme="minorBidi"/>
          <w:sz w:val="22"/>
          <w:szCs w:val="22"/>
        </w:rPr>
        <w:t xml:space="preserve"> </w:t>
      </w:r>
      <w:r w:rsidRPr="2CD0CAD4">
        <w:rPr>
          <w:rStyle w:val="normaltextrun"/>
          <w:rFonts w:asciiTheme="minorHAnsi" w:hAnsiTheme="minorHAnsi" w:cstheme="minorBidi"/>
          <w:sz w:val="22"/>
          <w:szCs w:val="22"/>
        </w:rPr>
        <w:t>ethnicity in federal and state postsecondary data collections. </w:t>
      </w:r>
      <w:r w:rsidRPr="2CD0CAD4">
        <w:rPr>
          <w:rStyle w:val="eop"/>
          <w:rFonts w:asciiTheme="minorHAnsi" w:hAnsiTheme="minorHAnsi" w:cstheme="minorBidi"/>
          <w:sz w:val="22"/>
          <w:szCs w:val="22"/>
        </w:rPr>
        <w:t> </w:t>
      </w:r>
    </w:p>
    <w:p w14:paraId="01289027" w14:textId="77777777" w:rsidR="00D10006" w:rsidRDefault="00D10006" w:rsidP="004B1105">
      <w:pPr>
        <w:pStyle w:val="NoSpacing"/>
        <w:rPr>
          <w:rFonts w:cstheme="minorHAnsi"/>
        </w:rPr>
      </w:pPr>
    </w:p>
    <w:p w14:paraId="12DCB0F9" w14:textId="77777777" w:rsidR="00BB2220" w:rsidRPr="004B10B8" w:rsidRDefault="00BB2220" w:rsidP="00BB2220">
      <w:pPr>
        <w:pStyle w:val="paragraph"/>
        <w:spacing w:before="0" w:beforeAutospacing="0" w:after="0" w:afterAutospacing="0"/>
        <w:jc w:val="both"/>
        <w:textAlignment w:val="baseline"/>
        <w:rPr>
          <w:rFonts w:asciiTheme="minorHAnsi" w:hAnsiTheme="minorHAnsi" w:cstheme="minorBidi"/>
          <w:sz w:val="18"/>
          <w:szCs w:val="18"/>
        </w:rPr>
      </w:pPr>
      <w:r w:rsidRPr="4BFF37DB">
        <w:rPr>
          <w:rStyle w:val="normaltextrun"/>
          <w:rFonts w:asciiTheme="minorHAnsi" w:hAnsiTheme="minorHAnsi" w:cstheme="minorBidi"/>
          <w:b/>
          <w:sz w:val="22"/>
          <w:szCs w:val="22"/>
        </w:rPr>
        <w:t>Black</w:t>
      </w:r>
    </w:p>
    <w:p w14:paraId="7AA9C25F" w14:textId="48D49B25" w:rsidR="00BB2220" w:rsidRDefault="00BB2220" w:rsidP="00F12147">
      <w:pPr>
        <w:pStyle w:val="paragraph"/>
        <w:spacing w:before="0" w:beforeAutospacing="0" w:after="0" w:afterAutospacing="0"/>
        <w:jc w:val="both"/>
        <w:textAlignment w:val="baseline"/>
      </w:pPr>
      <w:r w:rsidRPr="23236119">
        <w:rPr>
          <w:rStyle w:val="normaltextrun"/>
          <w:rFonts w:asciiTheme="minorHAnsi" w:hAnsiTheme="minorHAnsi" w:cstheme="minorBidi"/>
          <w:sz w:val="22"/>
          <w:szCs w:val="22"/>
        </w:rPr>
        <w:t xml:space="preserve">At IHEP, we use the term “Black” as an inclusive term in reference to people who identify as part of the Black community. “Black” recognizes that language has evolved and reflects a shared identity and culture rather than a skin color alone. This includes Black people who are born in the United States and those who have direct lineage from the African diaspora and globally. While the terms “Black” and “African American” are often used interchangeably, including in census data, the term </w:t>
      </w:r>
      <w:r w:rsidRPr="463A5CE4">
        <w:rPr>
          <w:rStyle w:val="normaltextrun"/>
          <w:rFonts w:asciiTheme="minorHAnsi" w:hAnsiTheme="minorHAnsi" w:cstheme="minorBidi"/>
          <w:sz w:val="22"/>
          <w:szCs w:val="22"/>
        </w:rPr>
        <w:t>“African American”</w:t>
      </w:r>
      <w:r w:rsidRPr="23236119">
        <w:rPr>
          <w:rStyle w:val="normaltextrun"/>
          <w:rFonts w:asciiTheme="minorHAnsi" w:hAnsiTheme="minorHAnsi" w:cstheme="minorBidi"/>
          <w:sz w:val="22"/>
          <w:szCs w:val="22"/>
        </w:rPr>
        <w:t xml:space="preserve"> refers only to those who trace their direct lineage from the African continent and identify </w:t>
      </w:r>
      <w:r w:rsidRPr="463A5CE4">
        <w:rPr>
          <w:rStyle w:val="normaltextrun"/>
          <w:rFonts w:asciiTheme="minorHAnsi" w:hAnsiTheme="minorHAnsi" w:cstheme="minorBidi"/>
          <w:sz w:val="22"/>
          <w:szCs w:val="22"/>
        </w:rPr>
        <w:t xml:space="preserve">in </w:t>
      </w:r>
      <w:r w:rsidRPr="23236119">
        <w:rPr>
          <w:rStyle w:val="normaltextrun"/>
          <w:rFonts w:asciiTheme="minorHAnsi" w:hAnsiTheme="minorHAnsi" w:cstheme="minorBidi"/>
          <w:sz w:val="22"/>
          <w:szCs w:val="22"/>
        </w:rPr>
        <w:t xml:space="preserve">this way. In other words, </w:t>
      </w:r>
      <w:r w:rsidRPr="00385D83">
        <w:rPr>
          <w:rStyle w:val="normaltextrun"/>
          <w:rFonts w:asciiTheme="minorHAnsi" w:hAnsiTheme="minorHAnsi" w:cstheme="minorHAnsi"/>
          <w:sz w:val="22"/>
          <w:szCs w:val="22"/>
        </w:rPr>
        <w:t>“African American”</w:t>
      </w:r>
      <w:r w:rsidRPr="23236119">
        <w:rPr>
          <w:rStyle w:val="normaltextrun"/>
          <w:rFonts w:asciiTheme="minorHAnsi" w:hAnsiTheme="minorHAnsi" w:cstheme="minorBidi"/>
          <w:sz w:val="22"/>
          <w:szCs w:val="22"/>
        </w:rPr>
        <w:t xml:space="preserve"> can be too narrow and fail to recognize a diversity of cultural experiences and identities. While the term </w:t>
      </w:r>
      <w:r w:rsidRPr="463A5CE4">
        <w:rPr>
          <w:rStyle w:val="normaltextrun"/>
          <w:rFonts w:asciiTheme="minorHAnsi" w:hAnsiTheme="minorHAnsi" w:cstheme="minorBidi"/>
          <w:sz w:val="22"/>
          <w:szCs w:val="22"/>
        </w:rPr>
        <w:t>“African American”</w:t>
      </w:r>
      <w:r w:rsidRPr="23236119">
        <w:rPr>
          <w:rStyle w:val="normaltextrun"/>
          <w:rFonts w:asciiTheme="minorHAnsi" w:hAnsiTheme="minorHAnsi" w:cstheme="minorBidi"/>
          <w:sz w:val="22"/>
          <w:szCs w:val="22"/>
        </w:rPr>
        <w:t xml:space="preserve"> is widely used in the United States, we use </w:t>
      </w:r>
      <w:r w:rsidRPr="463A5CE4">
        <w:rPr>
          <w:rStyle w:val="normaltextrun"/>
          <w:rFonts w:asciiTheme="minorHAnsi" w:hAnsiTheme="minorHAnsi" w:cstheme="minorBidi"/>
          <w:sz w:val="22"/>
          <w:szCs w:val="22"/>
        </w:rPr>
        <w:t>“Black”</w:t>
      </w:r>
      <w:r w:rsidRPr="23236119">
        <w:rPr>
          <w:rStyle w:val="normaltextrun"/>
          <w:rFonts w:asciiTheme="minorHAnsi" w:hAnsiTheme="minorHAnsi" w:cstheme="minorBidi"/>
          <w:sz w:val="22"/>
          <w:szCs w:val="22"/>
        </w:rPr>
        <w:t xml:space="preserve"> to recognize </w:t>
      </w:r>
      <w:r w:rsidRPr="0CB4FE82">
        <w:rPr>
          <w:rStyle w:val="normaltextrun"/>
          <w:rFonts w:asciiTheme="minorHAnsi" w:hAnsiTheme="minorHAnsi" w:cstheme="minorBidi"/>
          <w:sz w:val="22"/>
          <w:szCs w:val="22"/>
        </w:rPr>
        <w:t>both the cultural</w:t>
      </w:r>
      <w:r w:rsidRPr="23236119">
        <w:rPr>
          <w:rStyle w:val="normaltextrun"/>
          <w:rFonts w:asciiTheme="minorHAnsi" w:hAnsiTheme="minorHAnsi" w:cstheme="minorBidi"/>
          <w:sz w:val="22"/>
          <w:szCs w:val="22"/>
        </w:rPr>
        <w:t xml:space="preserve"> underpinnings and</w:t>
      </w:r>
      <w:r>
        <w:rPr>
          <w:rStyle w:val="normaltextrun"/>
          <w:rFonts w:asciiTheme="minorHAnsi" w:hAnsiTheme="minorHAnsi" w:cstheme="minorBidi"/>
          <w:sz w:val="22"/>
          <w:szCs w:val="22"/>
        </w:rPr>
        <w:t xml:space="preserve"> </w:t>
      </w:r>
      <w:r w:rsidRPr="66716D97">
        <w:rPr>
          <w:rStyle w:val="normaltextrun"/>
          <w:rFonts w:asciiTheme="minorHAnsi" w:hAnsiTheme="minorHAnsi" w:cstheme="minorBidi"/>
          <w:sz w:val="22"/>
          <w:szCs w:val="22"/>
        </w:rPr>
        <w:t xml:space="preserve">a shared identity </w:t>
      </w:r>
      <w:r w:rsidRPr="3D7675DB">
        <w:rPr>
          <w:rStyle w:val="normaltextrun"/>
          <w:rFonts w:asciiTheme="minorHAnsi" w:hAnsiTheme="minorHAnsi" w:cstheme="minorBidi"/>
          <w:sz w:val="22"/>
          <w:szCs w:val="22"/>
        </w:rPr>
        <w:t>formed after achieving</w:t>
      </w:r>
      <w:r w:rsidRPr="66716D97">
        <w:rPr>
          <w:rStyle w:val="normaltextrun"/>
          <w:rFonts w:asciiTheme="minorHAnsi" w:hAnsiTheme="minorHAnsi" w:cstheme="minorBidi"/>
          <w:sz w:val="22"/>
          <w:szCs w:val="22"/>
        </w:rPr>
        <w:t xml:space="preserve"> freedom from slavery</w:t>
      </w:r>
      <w:r w:rsidRPr="23236119">
        <w:rPr>
          <w:rStyle w:val="normaltextrun"/>
          <w:rFonts w:asciiTheme="minorHAnsi" w:hAnsiTheme="minorHAnsi" w:cstheme="minorBidi"/>
          <w:sz w:val="22"/>
          <w:szCs w:val="22"/>
        </w:rPr>
        <w:t>.   </w:t>
      </w:r>
      <w:r w:rsidRPr="23236119">
        <w:rPr>
          <w:rStyle w:val="eop"/>
          <w:rFonts w:asciiTheme="minorHAnsi" w:hAnsiTheme="minorHAnsi" w:cstheme="minorBidi"/>
          <w:sz w:val="22"/>
          <w:szCs w:val="22"/>
        </w:rPr>
        <w:t> </w:t>
      </w:r>
    </w:p>
    <w:p w14:paraId="602D9F97" w14:textId="77777777" w:rsidR="00BB2220" w:rsidRPr="00350E40" w:rsidRDefault="00BB2220" w:rsidP="004B1105">
      <w:pPr>
        <w:pStyle w:val="NoSpacing"/>
        <w:rPr>
          <w:rFonts w:cstheme="minorHAnsi"/>
        </w:rPr>
      </w:pPr>
    </w:p>
    <w:p w14:paraId="29E7AC95" w14:textId="06D34073" w:rsidR="00530B19" w:rsidRPr="004B10B8" w:rsidRDefault="00530B19" w:rsidP="004B1105">
      <w:pPr>
        <w:pStyle w:val="NoSpacing"/>
      </w:pPr>
      <w:r w:rsidRPr="09AD78B7">
        <w:rPr>
          <w:rStyle w:val="normaltextrun"/>
          <w:b/>
          <w:color w:val="000000"/>
          <w:shd w:val="clear" w:color="auto" w:fill="FFFFFF"/>
        </w:rPr>
        <w:t>Latinx</w:t>
      </w:r>
    </w:p>
    <w:p w14:paraId="04BF022B" w14:textId="505F4027" w:rsidR="007312F5" w:rsidRPr="00350E40" w:rsidRDefault="007312F5" w:rsidP="009F21A0">
      <w:pPr>
        <w:pStyle w:val="paragraph"/>
        <w:spacing w:before="0" w:beforeAutospacing="0" w:after="0" w:afterAutospacing="0"/>
        <w:jc w:val="both"/>
        <w:textAlignment w:val="baseline"/>
        <w:rPr>
          <w:rStyle w:val="eop"/>
          <w:rFonts w:asciiTheme="minorHAnsi" w:eastAsiaTheme="minorEastAsia" w:hAnsiTheme="minorHAnsi" w:cstheme="minorBidi"/>
          <w:sz w:val="22"/>
          <w:szCs w:val="22"/>
        </w:rPr>
      </w:pPr>
      <w:r w:rsidRPr="05E1778F">
        <w:rPr>
          <w:rStyle w:val="normaltextrun"/>
          <w:rFonts w:asciiTheme="minorHAnsi" w:hAnsiTheme="minorHAnsi" w:cstheme="minorBidi"/>
          <w:sz w:val="22"/>
          <w:szCs w:val="22"/>
        </w:rPr>
        <w:t xml:space="preserve">At IHEP, we use the term </w:t>
      </w:r>
      <w:r w:rsidRPr="009F21A0">
        <w:rPr>
          <w:rStyle w:val="normaltextrun"/>
          <w:rFonts w:asciiTheme="minorHAnsi" w:hAnsiTheme="minorHAnsi" w:cstheme="minorHAnsi"/>
          <w:sz w:val="22"/>
          <w:szCs w:val="22"/>
        </w:rPr>
        <w:t>“Latinx”</w:t>
      </w:r>
      <w:r w:rsidRPr="05E1778F">
        <w:rPr>
          <w:rStyle w:val="normaltextrun"/>
          <w:rFonts w:asciiTheme="minorHAnsi" w:hAnsiTheme="minorHAnsi" w:cstheme="minorBidi"/>
          <w:sz w:val="22"/>
          <w:szCs w:val="22"/>
        </w:rPr>
        <w:t xml:space="preserve"> as a place-based and gender-inclusive term </w:t>
      </w:r>
      <w:r w:rsidR="002422BB" w:rsidRPr="05E1778F">
        <w:rPr>
          <w:rStyle w:val="normaltextrun"/>
          <w:rFonts w:asciiTheme="minorHAnsi" w:hAnsiTheme="minorHAnsi" w:cstheme="minorBidi"/>
          <w:sz w:val="22"/>
          <w:szCs w:val="22"/>
        </w:rPr>
        <w:t xml:space="preserve">for </w:t>
      </w:r>
      <w:r w:rsidRPr="05E1778F">
        <w:rPr>
          <w:rStyle w:val="normaltextrun"/>
          <w:rFonts w:asciiTheme="minorHAnsi" w:hAnsiTheme="minorHAnsi" w:cstheme="minorBidi"/>
          <w:sz w:val="22"/>
          <w:szCs w:val="22"/>
        </w:rPr>
        <w:t xml:space="preserve">people with ties to or origins in Latin America beyond Spanish-speaking communities and/or with Hispanic cultural or racial identities. </w:t>
      </w:r>
      <w:r w:rsidR="00063D92" w:rsidRPr="05E1778F">
        <w:rPr>
          <w:rStyle w:val="normaltextrun"/>
          <w:rFonts w:asciiTheme="minorHAnsi" w:hAnsiTheme="minorHAnsi" w:cstheme="minorBidi"/>
          <w:sz w:val="22"/>
          <w:szCs w:val="22"/>
        </w:rPr>
        <w:t xml:space="preserve">The term </w:t>
      </w:r>
      <w:r w:rsidRPr="05E1778F">
        <w:rPr>
          <w:rStyle w:val="normaltextrun"/>
          <w:rFonts w:asciiTheme="minorHAnsi" w:hAnsiTheme="minorHAnsi" w:cstheme="minorBidi"/>
          <w:sz w:val="22"/>
          <w:szCs w:val="22"/>
        </w:rPr>
        <w:t xml:space="preserve">encompasses Latinos and Latinas </w:t>
      </w:r>
      <w:proofErr w:type="gramStart"/>
      <w:r w:rsidRPr="05E1778F">
        <w:rPr>
          <w:rStyle w:val="normaltextrun"/>
          <w:rFonts w:asciiTheme="minorHAnsi" w:hAnsiTheme="minorHAnsi" w:cstheme="minorBidi"/>
          <w:sz w:val="22"/>
          <w:szCs w:val="22"/>
        </w:rPr>
        <w:t>and also</w:t>
      </w:r>
      <w:proofErr w:type="gramEnd"/>
      <w:r w:rsidRPr="05E1778F">
        <w:rPr>
          <w:rStyle w:val="normaltextrun"/>
          <w:rFonts w:asciiTheme="minorHAnsi" w:hAnsiTheme="minorHAnsi" w:cstheme="minorBidi"/>
          <w:sz w:val="22"/>
          <w:szCs w:val="22"/>
        </w:rPr>
        <w:t xml:space="preserve"> individuals with nonbinary or gender-expansive identities. This term also encompasses the federal definition of </w:t>
      </w:r>
      <w:r w:rsidRPr="009F21A0">
        <w:rPr>
          <w:rStyle w:val="normaltextrun"/>
          <w:rFonts w:asciiTheme="minorHAnsi" w:hAnsiTheme="minorHAnsi" w:cstheme="minorHAnsi"/>
          <w:sz w:val="22"/>
          <w:szCs w:val="22"/>
        </w:rPr>
        <w:t>“Hispanic</w:t>
      </w:r>
      <w:r w:rsidRPr="05E1778F">
        <w:rPr>
          <w:rStyle w:val="normaltextrun"/>
          <w:rFonts w:asciiTheme="minorHAnsi" w:hAnsiTheme="minorHAnsi" w:cstheme="minorBidi"/>
          <w:sz w:val="22"/>
          <w:szCs w:val="22"/>
        </w:rPr>
        <w:t xml:space="preserve">,” which is used in U.S. </w:t>
      </w:r>
      <w:r w:rsidR="00136957" w:rsidRPr="05E1778F">
        <w:rPr>
          <w:rStyle w:val="normaltextrun"/>
          <w:rFonts w:asciiTheme="minorHAnsi" w:hAnsiTheme="minorHAnsi" w:cstheme="minorBidi"/>
          <w:sz w:val="22"/>
          <w:szCs w:val="22"/>
        </w:rPr>
        <w:t>C</w:t>
      </w:r>
      <w:r w:rsidRPr="05E1778F">
        <w:rPr>
          <w:rStyle w:val="normaltextrun"/>
          <w:rFonts w:asciiTheme="minorHAnsi" w:hAnsiTheme="minorHAnsi" w:cstheme="minorBidi"/>
          <w:sz w:val="22"/>
          <w:szCs w:val="22"/>
        </w:rPr>
        <w:t xml:space="preserve">ensus data. We recognize that some people identify as “Hispanic” while others feel </w:t>
      </w:r>
      <w:r w:rsidR="45D29A1A" w:rsidRPr="5D3598C2">
        <w:rPr>
          <w:rStyle w:val="normaltextrun"/>
          <w:rFonts w:asciiTheme="minorHAnsi" w:hAnsiTheme="minorHAnsi" w:cstheme="minorBidi"/>
          <w:sz w:val="22"/>
          <w:szCs w:val="22"/>
        </w:rPr>
        <w:t xml:space="preserve">the </w:t>
      </w:r>
      <w:r w:rsidR="45D29A1A" w:rsidRPr="50DE697B">
        <w:rPr>
          <w:rStyle w:val="normaltextrun"/>
          <w:rFonts w:asciiTheme="minorHAnsi" w:hAnsiTheme="minorHAnsi" w:cstheme="minorBidi"/>
          <w:sz w:val="22"/>
          <w:szCs w:val="22"/>
        </w:rPr>
        <w:t xml:space="preserve">term </w:t>
      </w:r>
      <w:r w:rsidR="76EF3B67" w:rsidRPr="386C5443">
        <w:rPr>
          <w:rStyle w:val="normaltextrun"/>
          <w:rFonts w:asciiTheme="minorHAnsi" w:hAnsiTheme="minorHAnsi" w:cstheme="minorBidi"/>
          <w:sz w:val="22"/>
          <w:szCs w:val="22"/>
        </w:rPr>
        <w:t>evokes</w:t>
      </w:r>
      <w:r w:rsidRPr="05E1778F">
        <w:rPr>
          <w:rStyle w:val="normaltextrun"/>
          <w:rFonts w:asciiTheme="minorHAnsi" w:hAnsiTheme="minorHAnsi" w:cstheme="minorBidi"/>
          <w:sz w:val="22"/>
          <w:szCs w:val="22"/>
        </w:rPr>
        <w:t xml:space="preserve"> colonialist ties to Spain. We use the term </w:t>
      </w:r>
      <w:r w:rsidRPr="00EA5361">
        <w:rPr>
          <w:rStyle w:val="normaltextrun"/>
          <w:rFonts w:asciiTheme="minorHAnsi" w:hAnsiTheme="minorHAnsi" w:cstheme="minorHAnsi"/>
          <w:sz w:val="22"/>
          <w:szCs w:val="22"/>
        </w:rPr>
        <w:t>“Hispanic”</w:t>
      </w:r>
      <w:r w:rsidRPr="05E1778F">
        <w:rPr>
          <w:rStyle w:val="normaltextrun"/>
          <w:rFonts w:asciiTheme="minorHAnsi" w:hAnsiTheme="minorHAnsi" w:cstheme="minorBidi"/>
          <w:sz w:val="22"/>
          <w:szCs w:val="22"/>
        </w:rPr>
        <w:t xml:space="preserve"> interchangeably </w:t>
      </w:r>
      <w:r w:rsidR="001F5796" w:rsidRPr="05E1778F">
        <w:rPr>
          <w:rStyle w:val="normaltextrun"/>
          <w:rFonts w:asciiTheme="minorHAnsi" w:hAnsiTheme="minorHAnsi" w:cstheme="minorBidi"/>
          <w:sz w:val="22"/>
          <w:szCs w:val="22"/>
        </w:rPr>
        <w:t xml:space="preserve">with </w:t>
      </w:r>
      <w:r w:rsidR="001F5796" w:rsidRPr="00F12147">
        <w:rPr>
          <w:rStyle w:val="normaltextrun"/>
          <w:rFonts w:asciiTheme="minorHAnsi" w:hAnsiTheme="minorHAnsi" w:cstheme="minorBidi"/>
          <w:i/>
          <w:sz w:val="22"/>
          <w:szCs w:val="22"/>
        </w:rPr>
        <w:t>Latinx</w:t>
      </w:r>
      <w:r w:rsidR="001F5796" w:rsidRPr="05E1778F">
        <w:rPr>
          <w:rStyle w:val="normaltextrun"/>
          <w:rFonts w:asciiTheme="minorHAnsi" w:hAnsiTheme="minorHAnsi" w:cstheme="minorBidi"/>
          <w:sz w:val="22"/>
          <w:szCs w:val="22"/>
        </w:rPr>
        <w:t xml:space="preserve"> </w:t>
      </w:r>
      <w:r w:rsidRPr="05E1778F">
        <w:rPr>
          <w:rStyle w:val="normaltextrun"/>
          <w:rFonts w:asciiTheme="minorHAnsi" w:hAnsiTheme="minorHAnsi" w:cstheme="minorBidi"/>
          <w:sz w:val="22"/>
          <w:szCs w:val="22"/>
        </w:rPr>
        <w:t>when discussing federal data and/or source materials that use this terminology.</w:t>
      </w:r>
      <w:r w:rsidRPr="05E1778F">
        <w:rPr>
          <w:rStyle w:val="eop"/>
          <w:rFonts w:asciiTheme="minorHAnsi" w:hAnsiTheme="minorHAnsi" w:cstheme="minorBidi"/>
          <w:sz w:val="22"/>
          <w:szCs w:val="22"/>
        </w:rPr>
        <w:t> </w:t>
      </w:r>
    </w:p>
    <w:p w14:paraId="63E54930" w14:textId="77777777" w:rsidR="007312F5" w:rsidRPr="00350E40" w:rsidRDefault="007312F5" w:rsidP="009F21A0">
      <w:pPr>
        <w:pStyle w:val="paragraph"/>
        <w:spacing w:before="0" w:beforeAutospacing="0" w:after="0" w:afterAutospacing="0"/>
        <w:jc w:val="both"/>
        <w:textAlignment w:val="baseline"/>
        <w:rPr>
          <w:rFonts w:asciiTheme="minorHAnsi" w:hAnsiTheme="minorHAnsi" w:cstheme="minorHAnsi"/>
          <w:sz w:val="18"/>
          <w:szCs w:val="18"/>
        </w:rPr>
      </w:pPr>
    </w:p>
    <w:p w14:paraId="78B50AC1" w14:textId="77777777" w:rsidR="000275E8" w:rsidRDefault="000275E8" w:rsidP="004B1105">
      <w:pPr>
        <w:pStyle w:val="NoSpacing"/>
      </w:pPr>
    </w:p>
    <w:p w14:paraId="112D01D1" w14:textId="77777777" w:rsidR="000275E8" w:rsidRDefault="000275E8" w:rsidP="004B1105">
      <w:pPr>
        <w:pStyle w:val="NoSpacing"/>
        <w:sectPr w:rsidR="000275E8" w:rsidSect="001A7A59">
          <w:footnotePr>
            <w:numFmt w:val="lowerRoman"/>
          </w:footnotePr>
          <w:endnotePr>
            <w:numFmt w:val="decimal"/>
          </w:endnotePr>
          <w:pgSz w:w="12240" w:h="15840"/>
          <w:pgMar w:top="1440" w:right="1440" w:bottom="1440" w:left="1440" w:header="720" w:footer="720" w:gutter="0"/>
          <w:cols w:space="720"/>
          <w:docGrid w:linePitch="360"/>
        </w:sectPr>
      </w:pPr>
    </w:p>
    <w:p w14:paraId="0CC6DAAA" w14:textId="326D778D" w:rsidR="00C05BBE" w:rsidRDefault="00835DB4" w:rsidP="004B1105">
      <w:pPr>
        <w:pStyle w:val="Heading1"/>
        <w:spacing w:before="0"/>
      </w:pPr>
      <w:bookmarkStart w:id="4" w:name="_Toc167901740"/>
      <w:r w:rsidRPr="00835DB4">
        <w:lastRenderedPageBreak/>
        <w:t>Introduction</w:t>
      </w:r>
      <w:bookmarkEnd w:id="4"/>
    </w:p>
    <w:p w14:paraId="774C04E0" w14:textId="1F379DFA" w:rsidR="00E46A54" w:rsidRDefault="00E46A54" w:rsidP="004B1105">
      <w:pPr>
        <w:pStyle w:val="NoSpacing"/>
      </w:pPr>
    </w:p>
    <w:p w14:paraId="27238A3A" w14:textId="36CCE0EA" w:rsidR="0086334F" w:rsidRDefault="00E46A54" w:rsidP="004B1105">
      <w:pPr>
        <w:pStyle w:val="NoSpacing"/>
      </w:pPr>
      <w:r>
        <w:t>For decades</w:t>
      </w:r>
      <w:r w:rsidR="00F90B37">
        <w:t xml:space="preserve">, assessing </w:t>
      </w:r>
      <w:r w:rsidR="00633CB8">
        <w:t xml:space="preserve">income </w:t>
      </w:r>
      <w:r w:rsidR="00053402">
        <w:t xml:space="preserve">has </w:t>
      </w:r>
      <w:r w:rsidR="003C7DB2">
        <w:t>served as</w:t>
      </w:r>
      <w:r w:rsidR="00F753F3">
        <w:t xml:space="preserve"> the tried</w:t>
      </w:r>
      <w:r w:rsidR="009A6D3F">
        <w:t>-</w:t>
      </w:r>
      <w:r w:rsidR="00F753F3">
        <w:t>and</w:t>
      </w:r>
      <w:r w:rsidR="009A6D3F">
        <w:t>-</w:t>
      </w:r>
      <w:r w:rsidR="00F753F3">
        <w:t xml:space="preserve">true </w:t>
      </w:r>
      <w:r w:rsidR="001547C7">
        <w:t>method for</w:t>
      </w:r>
      <w:r w:rsidR="00F6663B">
        <w:t xml:space="preserve"> creating</w:t>
      </w:r>
      <w:r w:rsidR="00E92A1E">
        <w:t xml:space="preserve"> financial aid </w:t>
      </w:r>
      <w:r w:rsidR="004E0918">
        <w:t>packages</w:t>
      </w:r>
      <w:r w:rsidR="0065331A">
        <w:t>—</w:t>
      </w:r>
      <w:r w:rsidR="00360E21">
        <w:t>scholarships, grants</w:t>
      </w:r>
      <w:r w:rsidR="001204E1">
        <w:t>,</w:t>
      </w:r>
      <w:r w:rsidR="00797236">
        <w:t xml:space="preserve"> and loans</w:t>
      </w:r>
      <w:r w:rsidR="0065331A">
        <w:t>—</w:t>
      </w:r>
      <w:r w:rsidR="00623B9D">
        <w:t xml:space="preserve">for </w:t>
      </w:r>
      <w:r w:rsidR="00EA7EC1">
        <w:t>our nation’s college students.</w:t>
      </w:r>
      <w:r w:rsidR="00AB08DB">
        <w:t xml:space="preserve"> Each year</w:t>
      </w:r>
      <w:r w:rsidR="00332DBF">
        <w:t xml:space="preserve">, students and families </w:t>
      </w:r>
      <w:r w:rsidR="00BE6809">
        <w:t xml:space="preserve">living with low and moderate incomes </w:t>
      </w:r>
      <w:r w:rsidR="00827AD7">
        <w:t>submit</w:t>
      </w:r>
      <w:r w:rsidR="00BE6809">
        <w:t xml:space="preserve"> income </w:t>
      </w:r>
      <w:r w:rsidR="30D5B2B5">
        <w:t>documentation</w:t>
      </w:r>
      <w:r w:rsidR="009D0A2F">
        <w:t xml:space="preserve"> to </w:t>
      </w:r>
      <w:r w:rsidR="00AD1630">
        <w:t>college</w:t>
      </w:r>
      <w:r w:rsidR="008351F6">
        <w:t>s, states</w:t>
      </w:r>
      <w:r w:rsidR="001E1EDA">
        <w:t>,</w:t>
      </w:r>
      <w:r w:rsidR="008351F6">
        <w:t xml:space="preserve"> and the federal government</w:t>
      </w:r>
      <w:r w:rsidR="0067767A">
        <w:t xml:space="preserve"> in hopes</w:t>
      </w:r>
      <w:r w:rsidR="008351F6">
        <w:t xml:space="preserve"> of qualifying for financial aid to </w:t>
      </w:r>
      <w:r w:rsidR="007A4F87">
        <w:t xml:space="preserve">defray </w:t>
      </w:r>
      <w:r w:rsidR="00A16EB8">
        <w:t>college costs.</w:t>
      </w:r>
      <w:r w:rsidR="00623B9D">
        <w:t xml:space="preserve"> But </w:t>
      </w:r>
      <w:r w:rsidR="00591319">
        <w:t xml:space="preserve">what </w:t>
      </w:r>
      <w:r w:rsidR="0084324F">
        <w:t>if</w:t>
      </w:r>
      <w:r w:rsidR="000C4D56">
        <w:t xml:space="preserve"> </w:t>
      </w:r>
      <w:r w:rsidR="00982282">
        <w:t xml:space="preserve">a student’s wealth status </w:t>
      </w:r>
      <w:r w:rsidR="0073739E">
        <w:t>reveale</w:t>
      </w:r>
      <w:r w:rsidR="00791F54">
        <w:t>d</w:t>
      </w:r>
      <w:r w:rsidR="00160BA9">
        <w:t xml:space="preserve"> more about</w:t>
      </w:r>
      <w:r w:rsidR="00E01D4C">
        <w:t xml:space="preserve"> </w:t>
      </w:r>
      <w:r w:rsidR="00973C69">
        <w:t xml:space="preserve">their ability to </w:t>
      </w:r>
      <w:r w:rsidR="00F82BBA">
        <w:t>cover college costs</w:t>
      </w:r>
      <w:r w:rsidR="00E522BF">
        <w:t xml:space="preserve"> than their income did</w:t>
      </w:r>
      <w:r w:rsidR="00B25DF9">
        <w:t>?</w:t>
      </w:r>
      <w:r w:rsidR="00EA7EC1">
        <w:t xml:space="preserve"> </w:t>
      </w:r>
      <w:r w:rsidR="00F6663B">
        <w:t xml:space="preserve"> </w:t>
      </w:r>
    </w:p>
    <w:p w14:paraId="23B67077" w14:textId="77777777" w:rsidR="0086334F" w:rsidRDefault="0086334F" w:rsidP="004B1105">
      <w:pPr>
        <w:pStyle w:val="NoSpacing"/>
      </w:pPr>
    </w:p>
    <w:p w14:paraId="15751FBB" w14:textId="15F04716" w:rsidR="00CA578B" w:rsidRDefault="53650B28" w:rsidP="004B1105">
      <w:pPr>
        <w:pStyle w:val="NoSpacing"/>
      </w:pPr>
      <w:r>
        <w:t xml:space="preserve">Income </w:t>
      </w:r>
      <w:r w:rsidDel="00584EA3">
        <w:t>is</w:t>
      </w:r>
      <w:r w:rsidR="00584EA3">
        <w:t xml:space="preserve"> an</w:t>
      </w:r>
      <w:r>
        <w:t xml:space="preserve"> important</w:t>
      </w:r>
      <w:r w:rsidR="00C46E10">
        <w:t xml:space="preserve"> measure</w:t>
      </w:r>
      <w:r>
        <w:t>, but</w:t>
      </w:r>
      <w:r w:rsidR="00C46E10">
        <w:t xml:space="preserve"> it</w:t>
      </w:r>
      <w:r>
        <w:t xml:space="preserve"> provides </w:t>
      </w:r>
      <w:r w:rsidR="4C45966B">
        <w:t xml:space="preserve">only </w:t>
      </w:r>
      <w:r>
        <w:t>a snapshot of the full resources available to students and their families</w:t>
      </w:r>
      <w:r w:rsidR="7096746A">
        <w:t>.</w:t>
      </w:r>
      <w:r>
        <w:t xml:space="preserve"> </w:t>
      </w:r>
      <w:r w:rsidR="7096746A">
        <w:t>Wealth</w:t>
      </w:r>
      <w:r w:rsidR="7DB95847">
        <w:t>,</w:t>
      </w:r>
      <w:r w:rsidR="7096746A">
        <w:t xml:space="preserve"> </w:t>
      </w:r>
      <w:r w:rsidR="000B7612">
        <w:t>too</w:t>
      </w:r>
      <w:r w:rsidR="7096746A">
        <w:t>,</w:t>
      </w:r>
      <w:r>
        <w:t xml:space="preserve"> </w:t>
      </w:r>
      <w:r w:rsidR="7096746A">
        <w:t>impact</w:t>
      </w:r>
      <w:r w:rsidR="000B7612">
        <w:t>s</w:t>
      </w:r>
      <w:r w:rsidR="7096746A">
        <w:t xml:space="preserve"> a student’s </w:t>
      </w:r>
      <w:r w:rsidR="500CEDD0">
        <w:t>access and ability</w:t>
      </w:r>
      <w:r w:rsidR="7096746A">
        <w:t xml:space="preserve"> to </w:t>
      </w:r>
      <w:r w:rsidR="500CEDD0">
        <w:t xml:space="preserve">pay for </w:t>
      </w:r>
      <w:r w:rsidR="7A60F5EC">
        <w:t>college</w:t>
      </w:r>
      <w:r w:rsidR="7096746A">
        <w:t xml:space="preserve"> </w:t>
      </w:r>
      <w:r w:rsidR="004E5AB8">
        <w:t>as well as</w:t>
      </w:r>
      <w:r w:rsidR="7096746A">
        <w:t xml:space="preserve"> their chances of graduating </w:t>
      </w:r>
      <w:r w:rsidR="49EE39CD">
        <w:t xml:space="preserve">and turning career aspirations </w:t>
      </w:r>
      <w:r w:rsidR="6B5DDD10">
        <w:t>into</w:t>
      </w:r>
      <w:r w:rsidR="49EE39CD">
        <w:t xml:space="preserve"> </w:t>
      </w:r>
      <w:r w:rsidR="1388B8B4">
        <w:t>a well-paying job and</w:t>
      </w:r>
      <w:r w:rsidR="49EE39CD">
        <w:t xml:space="preserve"> fulfilling li</w:t>
      </w:r>
      <w:r w:rsidR="2B15CCB6">
        <w:t xml:space="preserve">fe. </w:t>
      </w:r>
      <w:r w:rsidR="60C20795">
        <w:t>Examining</w:t>
      </w:r>
      <w:r w:rsidR="7B48AECC">
        <w:t xml:space="preserve"> income alone mask</w:t>
      </w:r>
      <w:r w:rsidR="00BE7A6E">
        <w:t>s</w:t>
      </w:r>
      <w:r w:rsidR="7B48AECC">
        <w:t xml:space="preserve"> deep and persistent inequities in wealth by race or ethnicity. For example, our analysis finds that </w:t>
      </w:r>
      <w:r w:rsidR="7B48AECC" w:rsidRPr="5E154477">
        <w:rPr>
          <w:rFonts w:ascii="Calibri" w:eastAsia="Calibri" w:hAnsi="Calibri" w:cs="Calibri"/>
        </w:rPr>
        <w:t xml:space="preserve">while the median income for White households is nearly twice as large as that of Black households, their median wealth is 13 times larger. </w:t>
      </w:r>
      <w:r w:rsidR="6451E6D8" w:rsidRPr="5E154477">
        <w:rPr>
          <w:rFonts w:ascii="Calibri" w:eastAsia="Calibri" w:hAnsi="Calibri" w:cs="Calibri"/>
        </w:rPr>
        <w:t>T</w:t>
      </w:r>
      <w:r w:rsidR="6451E6D8">
        <w:t xml:space="preserve">his gap, </w:t>
      </w:r>
      <w:r w:rsidR="00D86B42">
        <w:t>which is</w:t>
      </w:r>
      <w:r w:rsidR="6451E6D8">
        <w:t xml:space="preserve"> rooted in generations of discrimination and systemic barriers</w:t>
      </w:r>
      <w:r w:rsidR="001B5E20">
        <w:t xml:space="preserve"> to opportunity</w:t>
      </w:r>
      <w:r w:rsidR="6451E6D8">
        <w:t xml:space="preserve">, </w:t>
      </w:r>
      <w:r w:rsidR="008734CD">
        <w:t>affects</w:t>
      </w:r>
      <w:r w:rsidR="6451E6D8">
        <w:t xml:space="preserve"> the college dreams of countless people, particularly those from historically marginalized communities.</w:t>
      </w:r>
    </w:p>
    <w:p w14:paraId="6EDB1FA2" w14:textId="04B0BAA6" w:rsidR="00CA578B" w:rsidRDefault="00CA578B" w:rsidP="004B1105"/>
    <w:p w14:paraId="41518BD1" w14:textId="26C37C1A" w:rsidR="3C5F2F85" w:rsidRDefault="00C61AF3" w:rsidP="004B1105">
      <w:r>
        <w:t>L</w:t>
      </w:r>
      <w:r w:rsidR="4C539903">
        <w:t>imitation</w:t>
      </w:r>
      <w:r w:rsidR="00D37C02">
        <w:t>s</w:t>
      </w:r>
      <w:r w:rsidR="4C539903">
        <w:t xml:space="preserve"> in available data mean </w:t>
      </w:r>
      <w:r w:rsidR="0B8E11DC">
        <w:t>researchers and policymakers</w:t>
      </w:r>
      <w:r w:rsidR="4BCB7AFB">
        <w:t xml:space="preserve"> know relatively little about how wealth impacts higher education</w:t>
      </w:r>
      <w:r w:rsidR="2D192FB1">
        <w:t>, with</w:t>
      </w:r>
      <w:r w:rsidR="6A02E7FE">
        <w:t xml:space="preserve"> far more attention</w:t>
      </w:r>
      <w:r w:rsidR="50D4B3BA">
        <w:t xml:space="preserve"> </w:t>
      </w:r>
      <w:r w:rsidR="3C6AB9CE">
        <w:t>focused</w:t>
      </w:r>
      <w:r w:rsidR="6A02E7FE">
        <w:t xml:space="preserve"> on </w:t>
      </w:r>
      <w:r w:rsidR="269E7095">
        <w:t xml:space="preserve">understanding </w:t>
      </w:r>
      <w:r w:rsidR="00F86733">
        <w:t>and addressing</w:t>
      </w:r>
      <w:r w:rsidR="269E7095">
        <w:t xml:space="preserve"> the effects of income. </w:t>
      </w:r>
      <w:r w:rsidR="3103801D">
        <w:t>This paper</w:t>
      </w:r>
      <w:r w:rsidR="6E9B9CE3">
        <w:t xml:space="preserve"> seeks to address that </w:t>
      </w:r>
      <w:r w:rsidR="1005C950">
        <w:t xml:space="preserve">missing piece </w:t>
      </w:r>
      <w:r w:rsidR="6E9B9CE3">
        <w:t>by</w:t>
      </w:r>
      <w:r w:rsidR="3103801D">
        <w:t xml:space="preserve"> ex</w:t>
      </w:r>
      <w:r w:rsidR="2A4ECE82">
        <w:t>ploring the</w:t>
      </w:r>
      <w:r w:rsidR="3103801D">
        <w:t xml:space="preserve"> impact of wealth on students' experiences in higher education and how these experiences, in turn, influence wealth-building. </w:t>
      </w:r>
      <w:r w:rsidR="47F65EEF">
        <w:t>This report:</w:t>
      </w:r>
    </w:p>
    <w:p w14:paraId="46AB30B4" w14:textId="076927C2" w:rsidR="00F32D0A" w:rsidRDefault="00F32D0A" w:rsidP="004B1105"/>
    <w:p w14:paraId="109E5184" w14:textId="72236ECA" w:rsidR="00680887" w:rsidRDefault="00446A3F" w:rsidP="00FB60EF">
      <w:pPr>
        <w:pStyle w:val="NoSpacing"/>
        <w:numPr>
          <w:ilvl w:val="0"/>
          <w:numId w:val="1"/>
        </w:numPr>
      </w:pPr>
      <w:r>
        <w:t>Propos</w:t>
      </w:r>
      <w:r w:rsidR="1D5215D2">
        <w:t>e</w:t>
      </w:r>
      <w:r w:rsidR="00333702">
        <w:t>s</w:t>
      </w:r>
      <w:r w:rsidR="00D46D0D">
        <w:t xml:space="preserve"> a framework for understanding th</w:t>
      </w:r>
      <w:r w:rsidR="618F6314">
        <w:t>e</w:t>
      </w:r>
      <w:r w:rsidR="00D46D0D">
        <w:t xml:space="preserve"> cyclical relationship</w:t>
      </w:r>
      <w:r w:rsidR="5AE1A8AF">
        <w:t xml:space="preserve"> between higher education and the racial wealth gap</w:t>
      </w:r>
      <w:r w:rsidR="009421F8">
        <w:t xml:space="preserve">, including </w:t>
      </w:r>
      <w:r w:rsidR="009421F8" w:rsidRPr="00382378">
        <w:t xml:space="preserve">specific </w:t>
      </w:r>
      <w:r w:rsidRPr="00382378">
        <w:t>research questions</w:t>
      </w:r>
      <w:r>
        <w:t xml:space="preserve"> </w:t>
      </w:r>
      <w:r w:rsidR="009421F8">
        <w:t>that</w:t>
      </w:r>
      <w:r w:rsidR="00D46D0D">
        <w:t xml:space="preserve"> explore </w:t>
      </w:r>
      <w:r w:rsidR="00BF3B34">
        <w:t xml:space="preserve">how wealth affects </w:t>
      </w:r>
      <w:r w:rsidR="00F80694">
        <w:t xml:space="preserve">college-going decisions and students’ experiences in college, as well as how </w:t>
      </w:r>
      <w:r w:rsidR="00AF7387">
        <w:t>students’</w:t>
      </w:r>
      <w:r w:rsidR="00F80694">
        <w:t xml:space="preserve"> higher education experiences affect wealth-building</w:t>
      </w:r>
      <w:r w:rsidR="00C84ACA">
        <w:t>.</w:t>
      </w:r>
      <w:r>
        <w:t xml:space="preserve"> </w:t>
      </w:r>
      <w:r w:rsidR="00680887">
        <w:t xml:space="preserve"> </w:t>
      </w:r>
    </w:p>
    <w:p w14:paraId="780FCD2F" w14:textId="5A78313B" w:rsidR="008D3718" w:rsidRDefault="00BD6B5C" w:rsidP="00FB60EF">
      <w:pPr>
        <w:pStyle w:val="NoSpacing"/>
        <w:numPr>
          <w:ilvl w:val="0"/>
          <w:numId w:val="1"/>
        </w:numPr>
      </w:pPr>
      <w:r>
        <w:t>Assess</w:t>
      </w:r>
      <w:r w:rsidR="00333702">
        <w:t>es</w:t>
      </w:r>
      <w:r>
        <w:t xml:space="preserve"> the </w:t>
      </w:r>
      <w:r w:rsidR="007A296E">
        <w:t xml:space="preserve">availability </w:t>
      </w:r>
      <w:r>
        <w:t xml:space="preserve">of data </w:t>
      </w:r>
      <w:r w:rsidR="004B3EC3">
        <w:t xml:space="preserve">on wealth and </w:t>
      </w:r>
      <w:r w:rsidR="004E0FCE">
        <w:t>postsecondary</w:t>
      </w:r>
      <w:r w:rsidR="004B3EC3">
        <w:t xml:space="preserve"> outcomes</w:t>
      </w:r>
      <w:r>
        <w:t xml:space="preserve"> and </w:t>
      </w:r>
      <w:r w:rsidR="00FF1B45">
        <w:t xml:space="preserve">presents </w:t>
      </w:r>
      <w:r>
        <w:t xml:space="preserve">a detailed inventory of </w:t>
      </w:r>
      <w:r w:rsidR="00ED4C9E">
        <w:t xml:space="preserve">select </w:t>
      </w:r>
      <w:r>
        <w:t>data sources</w:t>
      </w:r>
      <w:r w:rsidR="00877DF6">
        <w:t>.</w:t>
      </w:r>
    </w:p>
    <w:p w14:paraId="722CAD54" w14:textId="53AD8C52" w:rsidR="002503BF" w:rsidRDefault="00BD6B5C" w:rsidP="00FB60EF">
      <w:pPr>
        <w:pStyle w:val="NoSpacing"/>
        <w:numPr>
          <w:ilvl w:val="0"/>
          <w:numId w:val="1"/>
        </w:numPr>
      </w:pPr>
      <w:r>
        <w:t>Analyz</w:t>
      </w:r>
      <w:r w:rsidR="781A9866">
        <w:t>e</w:t>
      </w:r>
      <w:r w:rsidR="00333702">
        <w:t>s</w:t>
      </w:r>
      <w:r>
        <w:t xml:space="preserve"> </w:t>
      </w:r>
      <w:r w:rsidR="00156660">
        <w:t xml:space="preserve">selected </w:t>
      </w:r>
      <w:r w:rsidR="00635C85">
        <w:t>research questions</w:t>
      </w:r>
      <w:r w:rsidR="002B1221">
        <w:t xml:space="preserve"> with available data</w:t>
      </w:r>
      <w:r w:rsidR="00877DF6">
        <w:t xml:space="preserve">. </w:t>
      </w:r>
    </w:p>
    <w:p w14:paraId="3B905F70" w14:textId="25E9C5F4" w:rsidR="009A10C4" w:rsidRDefault="00134B9C" w:rsidP="00FB60EF">
      <w:pPr>
        <w:pStyle w:val="NoSpacing"/>
        <w:numPr>
          <w:ilvl w:val="0"/>
          <w:numId w:val="1"/>
        </w:numPr>
      </w:pPr>
      <w:r>
        <w:t>Present</w:t>
      </w:r>
      <w:r w:rsidR="00333702">
        <w:t>s</w:t>
      </w:r>
      <w:r w:rsidR="00B911A7">
        <w:t xml:space="preserve"> </w:t>
      </w:r>
      <w:r w:rsidR="005C39BF">
        <w:t xml:space="preserve">considerations for </w:t>
      </w:r>
      <w:r w:rsidR="00FB33AD">
        <w:t>policy</w:t>
      </w:r>
      <w:r w:rsidR="003024EA">
        <w:t xml:space="preserve">makers and other higher education stakeholders </w:t>
      </w:r>
      <w:r w:rsidR="00833F41">
        <w:t>seeking to ensure</w:t>
      </w:r>
      <w:r w:rsidR="00124344">
        <w:t xml:space="preserve"> that</w:t>
      </w:r>
      <w:r w:rsidR="00833F41">
        <w:t xml:space="preserve"> </w:t>
      </w:r>
      <w:r w:rsidR="005E6834">
        <w:t>higher education account</w:t>
      </w:r>
      <w:r w:rsidR="00833F41">
        <w:t>s</w:t>
      </w:r>
      <w:r w:rsidR="005E6834">
        <w:t xml:space="preserve"> for and help</w:t>
      </w:r>
      <w:r w:rsidR="00833F41">
        <w:t>s</w:t>
      </w:r>
      <w:r w:rsidR="005E6834">
        <w:t xml:space="preserve"> narrow the racial wealth gap</w:t>
      </w:r>
      <w:r w:rsidR="00877DF6">
        <w:t>.</w:t>
      </w:r>
    </w:p>
    <w:p w14:paraId="0545D17C" w14:textId="1D4E149E" w:rsidR="00F7543C" w:rsidRDefault="009A10C4" w:rsidP="00FB60EF">
      <w:pPr>
        <w:pStyle w:val="NoSpacing"/>
        <w:numPr>
          <w:ilvl w:val="0"/>
          <w:numId w:val="1"/>
        </w:numPr>
      </w:pPr>
      <w:r>
        <w:t>Recommend</w:t>
      </w:r>
      <w:r w:rsidR="00333702">
        <w:t>s</w:t>
      </w:r>
      <w:r>
        <w:t xml:space="preserve"> data improvements </w:t>
      </w:r>
      <w:r w:rsidR="001B1A3A">
        <w:t xml:space="preserve">to enable robust research on the </w:t>
      </w:r>
      <w:r w:rsidR="009421F8">
        <w:t xml:space="preserve">relationship between wealth and higher education. </w:t>
      </w:r>
    </w:p>
    <w:p w14:paraId="062D3211" w14:textId="77777777" w:rsidR="00082786" w:rsidRDefault="00082786" w:rsidP="004B1105">
      <w:pPr>
        <w:pStyle w:val="NoSpacing"/>
      </w:pPr>
    </w:p>
    <w:p w14:paraId="15FBED7B" w14:textId="77777777" w:rsidR="00431847" w:rsidRDefault="00431847" w:rsidP="004B1105">
      <w:pPr>
        <w:pStyle w:val="NoSpacing"/>
      </w:pPr>
    </w:p>
    <w:p w14:paraId="7295BACA" w14:textId="77777777" w:rsidR="00431847" w:rsidRDefault="00431847" w:rsidP="004B1105">
      <w:pPr>
        <w:pStyle w:val="NoSpacing"/>
      </w:pPr>
    </w:p>
    <w:p w14:paraId="2CEBA916" w14:textId="77777777" w:rsidR="006C70D5" w:rsidRDefault="006C70D5" w:rsidP="004B1105">
      <w:pPr>
        <w:pStyle w:val="NoSpacing"/>
        <w:sectPr w:rsidR="006C70D5" w:rsidSect="001A7A59">
          <w:footnotePr>
            <w:numFmt w:val="lowerRoman"/>
          </w:footnotePr>
          <w:endnotePr>
            <w:numFmt w:val="decimal"/>
          </w:endnotePr>
          <w:pgSz w:w="12240" w:h="15840"/>
          <w:pgMar w:top="1440" w:right="1440" w:bottom="1440" w:left="1440" w:header="720" w:footer="720" w:gutter="0"/>
          <w:cols w:space="720"/>
          <w:docGrid w:linePitch="360"/>
        </w:sectPr>
      </w:pPr>
    </w:p>
    <w:p w14:paraId="0A05A2E8" w14:textId="28713FE7" w:rsidR="00943CF0" w:rsidRPr="00086F36" w:rsidRDefault="004A41C0" w:rsidP="004B1105">
      <w:pPr>
        <w:pStyle w:val="Heading3"/>
      </w:pPr>
      <w:bookmarkStart w:id="5" w:name="_Toc167901741"/>
      <w:r>
        <w:lastRenderedPageBreak/>
        <w:t xml:space="preserve">What </w:t>
      </w:r>
      <w:r w:rsidR="00655383">
        <w:t xml:space="preserve">is the Difference Between </w:t>
      </w:r>
      <w:r w:rsidR="0A2204FB">
        <w:t xml:space="preserve">Income </w:t>
      </w:r>
      <w:r w:rsidR="00655383">
        <w:t>and</w:t>
      </w:r>
      <w:r w:rsidR="0A2204FB">
        <w:t xml:space="preserve"> Wealth</w:t>
      </w:r>
      <w:r w:rsidR="00655383">
        <w:t>?</w:t>
      </w:r>
      <w:bookmarkEnd w:id="5"/>
    </w:p>
    <w:p w14:paraId="37C3CCDD" w14:textId="51AFA680" w:rsidR="003605B9" w:rsidRDefault="003605B9" w:rsidP="004B1105">
      <w:pPr>
        <w:pStyle w:val="NoSpacing"/>
      </w:pPr>
    </w:p>
    <w:p w14:paraId="3D430897" w14:textId="0282FBC2" w:rsidR="00416EA7" w:rsidRDefault="003605B9" w:rsidP="004B1105">
      <w:pPr>
        <w:pStyle w:val="NoSpacing"/>
      </w:pPr>
      <w:r>
        <w:t>For many</w:t>
      </w:r>
      <w:r w:rsidR="009E411A">
        <w:t xml:space="preserve"> postsecondary</w:t>
      </w:r>
      <w:r>
        <w:t xml:space="preserve"> interventions and policy efforts, income </w:t>
      </w:r>
      <w:r w:rsidR="002C17C1">
        <w:t>is</w:t>
      </w:r>
      <w:r>
        <w:t xml:space="preserve"> the standard </w:t>
      </w:r>
      <w:r w:rsidR="00200862">
        <w:t>measure for</w:t>
      </w:r>
      <w:r>
        <w:t xml:space="preserve"> </w:t>
      </w:r>
      <w:r w:rsidR="00685490">
        <w:t xml:space="preserve">both targeting investments and </w:t>
      </w:r>
      <w:r>
        <w:t xml:space="preserve">evaluating economic outcomes. </w:t>
      </w:r>
      <w:r w:rsidR="00943CF0">
        <w:t>I</w:t>
      </w:r>
      <w:r w:rsidR="00943CF0" w:rsidRPr="005513B8">
        <w:t>ndividuals</w:t>
      </w:r>
      <w:r w:rsidR="00943CF0">
        <w:t xml:space="preserve"> typically</w:t>
      </w:r>
      <w:r w:rsidR="00943CF0" w:rsidRPr="005513B8">
        <w:t xml:space="preserve"> earn income in the form of a paycheck </w:t>
      </w:r>
      <w:r w:rsidR="00943CF0">
        <w:t>through</w:t>
      </w:r>
      <w:r w:rsidR="00943CF0" w:rsidRPr="005513B8">
        <w:t xml:space="preserve"> employment, though other forms </w:t>
      </w:r>
      <w:r w:rsidR="00A73DF9">
        <w:t xml:space="preserve">of income </w:t>
      </w:r>
      <w:r w:rsidR="00943CF0" w:rsidRPr="005513B8">
        <w:t>also exist.</w:t>
      </w:r>
      <w:r w:rsidR="000F4059">
        <w:rPr>
          <w:rStyle w:val="EndnoteReference"/>
        </w:rPr>
        <w:endnoteReference w:id="2"/>
      </w:r>
      <w:r w:rsidR="00943CF0" w:rsidRPr="005513B8">
        <w:t xml:space="preserve"> </w:t>
      </w:r>
      <w:r w:rsidR="00212B54">
        <w:t>I</w:t>
      </w:r>
      <w:r w:rsidR="00943CF0">
        <w:t xml:space="preserve">ncome </w:t>
      </w:r>
      <w:r w:rsidR="00152AAB">
        <w:t xml:space="preserve">is the earned and unearned money </w:t>
      </w:r>
      <w:r w:rsidR="00943CF0">
        <w:t>an individual</w:t>
      </w:r>
      <w:r w:rsidR="00E737DB">
        <w:t xml:space="preserve"> or </w:t>
      </w:r>
      <w:r w:rsidR="00943CF0">
        <w:t>family</w:t>
      </w:r>
      <w:r w:rsidR="066B8A16">
        <w:t xml:space="preserve"> </w:t>
      </w:r>
      <w:r w:rsidR="001F5B0B">
        <w:t>receive</w:t>
      </w:r>
      <w:r w:rsidR="00FE1410">
        <w:t>s</w:t>
      </w:r>
      <w:r w:rsidR="001F5B0B">
        <w:t xml:space="preserve"> during </w:t>
      </w:r>
      <w:r w:rsidR="066B8A16">
        <w:t xml:space="preserve">any given </w:t>
      </w:r>
      <w:proofErr w:type="gramStart"/>
      <w:r w:rsidR="001F5B0B">
        <w:t xml:space="preserve">period of </w:t>
      </w:r>
      <w:r w:rsidR="066B8A16">
        <w:t>time</w:t>
      </w:r>
      <w:proofErr w:type="gramEnd"/>
      <w:r w:rsidR="00943CF0">
        <w:t xml:space="preserve">. </w:t>
      </w:r>
    </w:p>
    <w:p w14:paraId="4F7F2493" w14:textId="77777777" w:rsidR="00416EA7" w:rsidRDefault="00416EA7" w:rsidP="004B1105">
      <w:pPr>
        <w:pStyle w:val="NoSpacing"/>
      </w:pPr>
    </w:p>
    <w:p w14:paraId="247CE728" w14:textId="6BF23F7D" w:rsidR="00374D71" w:rsidRDefault="00943CF0" w:rsidP="004B1105">
      <w:pPr>
        <w:pStyle w:val="NoSpacing"/>
      </w:pPr>
      <w:r>
        <w:t>Wealth</w:t>
      </w:r>
      <w:r w:rsidR="00956DFF">
        <w:t xml:space="preserve"> is a more </w:t>
      </w:r>
      <w:r w:rsidR="001749A1">
        <w:t>durable</w:t>
      </w:r>
      <w:r w:rsidR="00F14877">
        <w:t xml:space="preserve"> and comprehensive</w:t>
      </w:r>
      <w:r w:rsidR="00956DFF">
        <w:t xml:space="preserve"> measure of an individual</w:t>
      </w:r>
      <w:r w:rsidR="008D082C">
        <w:t>’s</w:t>
      </w:r>
      <w:r w:rsidR="00956DFF">
        <w:t xml:space="preserve"> or family’s financial </w:t>
      </w:r>
      <w:r w:rsidR="00D076BD">
        <w:t>situation</w:t>
      </w:r>
      <w:r w:rsidR="00AC24CE">
        <w:t>. It</w:t>
      </w:r>
      <w:r>
        <w:t xml:space="preserve"> is</w:t>
      </w:r>
      <w:r w:rsidDel="00FA496B">
        <w:t xml:space="preserve"> </w:t>
      </w:r>
      <w:r w:rsidR="174268C7">
        <w:t xml:space="preserve">frequently </w:t>
      </w:r>
      <w:r w:rsidR="005A0FFC">
        <w:t xml:space="preserve">defined as </w:t>
      </w:r>
      <w:r>
        <w:t xml:space="preserve">net worth, </w:t>
      </w:r>
      <w:r w:rsidR="001E128E">
        <w:t>or</w:t>
      </w:r>
      <w:r>
        <w:t xml:space="preserve"> the difference between the total value of assets</w:t>
      </w:r>
      <w:r w:rsidR="003109DE">
        <w:t xml:space="preserve"> (financial</w:t>
      </w:r>
      <w:r w:rsidR="005E3C48">
        <w:rPr>
          <w:rStyle w:val="EndnoteReference"/>
        </w:rPr>
        <w:endnoteReference w:id="3"/>
      </w:r>
      <w:r w:rsidR="003109DE">
        <w:t xml:space="preserve"> and non-financial</w:t>
      </w:r>
      <w:r w:rsidR="005E3C48">
        <w:rPr>
          <w:rStyle w:val="EndnoteReference"/>
        </w:rPr>
        <w:endnoteReference w:id="4"/>
      </w:r>
      <w:r w:rsidR="003109DE">
        <w:t>)</w:t>
      </w:r>
      <w:r>
        <w:t xml:space="preserve"> and all debts and liabilities</w:t>
      </w:r>
      <w:r w:rsidR="005E3C48">
        <w:t>.</w:t>
      </w:r>
      <w:r w:rsidR="005E3C48">
        <w:rPr>
          <w:rStyle w:val="EndnoteReference"/>
        </w:rPr>
        <w:endnoteReference w:id="5"/>
      </w:r>
      <w:r w:rsidR="00904E29">
        <w:t xml:space="preserve"> </w:t>
      </w:r>
      <w:r w:rsidR="7919A69F">
        <w:t>A</w:t>
      </w:r>
      <w:r w:rsidR="00F73547">
        <w:t xml:space="preserve">n individual </w:t>
      </w:r>
      <w:r w:rsidR="006A7FA7">
        <w:t>with</w:t>
      </w:r>
      <w:r w:rsidR="00AC305A">
        <w:t xml:space="preserve"> </w:t>
      </w:r>
      <w:r w:rsidR="00985A17">
        <w:t>wealth to draw on</w:t>
      </w:r>
      <w:r w:rsidR="00AC305A">
        <w:t xml:space="preserve"> </w:t>
      </w:r>
      <w:r w:rsidR="00542336">
        <w:t xml:space="preserve">might be able </w:t>
      </w:r>
      <w:r w:rsidR="00AC305A">
        <w:t xml:space="preserve">to weather </w:t>
      </w:r>
      <w:r w:rsidR="00F73547">
        <w:t xml:space="preserve">a change in </w:t>
      </w:r>
      <w:r w:rsidR="004245E3">
        <w:t>income</w:t>
      </w:r>
      <w:r w:rsidR="006C4ABE">
        <w:t xml:space="preserve"> </w:t>
      </w:r>
      <w:r w:rsidR="00542336">
        <w:t xml:space="preserve">in the case of, </w:t>
      </w:r>
      <w:r w:rsidR="006C4ABE">
        <w:t>for example</w:t>
      </w:r>
      <w:r w:rsidR="00542336">
        <w:t>,</w:t>
      </w:r>
      <w:r w:rsidR="004245E3">
        <w:t xml:space="preserve"> </w:t>
      </w:r>
      <w:r w:rsidR="00E56F8B">
        <w:t xml:space="preserve">losing </w:t>
      </w:r>
      <w:r w:rsidR="00542336">
        <w:t xml:space="preserve">a </w:t>
      </w:r>
      <w:r w:rsidR="00E56F8B">
        <w:t>job</w:t>
      </w:r>
      <w:r w:rsidR="32C9C380">
        <w:t xml:space="preserve">, </w:t>
      </w:r>
      <w:r w:rsidR="006C4ABE">
        <w:t>by using</w:t>
      </w:r>
      <w:r w:rsidR="009722CC">
        <w:t xml:space="preserve"> </w:t>
      </w:r>
      <w:r w:rsidR="00F05EB9">
        <w:t xml:space="preserve">money in </w:t>
      </w:r>
      <w:r w:rsidR="009722CC">
        <w:t xml:space="preserve">savings to </w:t>
      </w:r>
      <w:r w:rsidR="00F05EB9">
        <w:t xml:space="preserve">cover </w:t>
      </w:r>
      <w:r w:rsidR="003003B9">
        <w:t>expenses</w:t>
      </w:r>
      <w:r w:rsidR="00DD55C6">
        <w:t xml:space="preserve"> while </w:t>
      </w:r>
      <w:r w:rsidR="00011CE7">
        <w:t>unemployed</w:t>
      </w:r>
      <w:r w:rsidR="311A1B25">
        <w:t>.</w:t>
      </w:r>
      <w:r w:rsidR="00DD0D84">
        <w:t xml:space="preserve"> </w:t>
      </w:r>
      <w:r w:rsidR="00E56F8B">
        <w:t>In contrast, pe</w:t>
      </w:r>
      <w:r w:rsidR="639C00B1">
        <w:t>ople</w:t>
      </w:r>
      <w:r w:rsidR="00DD0D84">
        <w:t xml:space="preserve"> </w:t>
      </w:r>
      <w:r w:rsidR="00E15DB1">
        <w:t>with low or no wealth</w:t>
      </w:r>
      <w:r w:rsidR="00CA4284">
        <w:t xml:space="preserve"> </w:t>
      </w:r>
      <w:r w:rsidR="008B20F8">
        <w:t xml:space="preserve">may </w:t>
      </w:r>
      <w:r w:rsidR="006214C8">
        <w:t>have trouble affording food or housing if t</w:t>
      </w:r>
      <w:r w:rsidR="00F73547">
        <w:t>heir income drop</w:t>
      </w:r>
      <w:r w:rsidR="006214C8">
        <w:t>s suddenly</w:t>
      </w:r>
      <w:r w:rsidR="007C22F1">
        <w:t>.</w:t>
      </w:r>
      <w:r w:rsidR="00373AFD">
        <w:t xml:space="preserve"> </w:t>
      </w:r>
      <w:r w:rsidR="007F3D0B">
        <w:t xml:space="preserve">Thus, wealth </w:t>
      </w:r>
      <w:r w:rsidR="00583DBC">
        <w:t>provides a more</w:t>
      </w:r>
      <w:r w:rsidR="007F3D0B">
        <w:t xml:space="preserve"> complete financial picture of the resources available to a given individual or family.</w:t>
      </w:r>
    </w:p>
    <w:p w14:paraId="49E131E4" w14:textId="77777777" w:rsidR="0065365C" w:rsidRDefault="0065365C" w:rsidP="004B1105">
      <w:pPr>
        <w:pStyle w:val="NoSpacing"/>
      </w:pPr>
    </w:p>
    <w:p w14:paraId="75265C98" w14:textId="1EEC6036" w:rsidR="00393AEB" w:rsidRDefault="4AAA5D15" w:rsidP="004B1105">
      <w:pPr>
        <w:pStyle w:val="Heading3"/>
      </w:pPr>
      <w:bookmarkStart w:id="6" w:name="_Toc167901742"/>
      <w:r>
        <w:t>What is the</w:t>
      </w:r>
      <w:r w:rsidR="00700DEF">
        <w:t xml:space="preserve"> </w:t>
      </w:r>
      <w:r w:rsidR="007861D0">
        <w:t>R</w:t>
      </w:r>
      <w:r w:rsidR="00700DEF">
        <w:t>acial Wealth Gap</w:t>
      </w:r>
      <w:r w:rsidR="65FD6BC5">
        <w:t>?</w:t>
      </w:r>
      <w:bookmarkEnd w:id="6"/>
    </w:p>
    <w:p w14:paraId="3734E564" w14:textId="25DED72C" w:rsidR="00962736" w:rsidRDefault="00962736" w:rsidP="004B1105">
      <w:pPr>
        <w:pStyle w:val="NoSpacing"/>
      </w:pPr>
    </w:p>
    <w:p w14:paraId="0E6C18A3" w14:textId="5BB5A587" w:rsidR="000D637F" w:rsidRDefault="00315A3D" w:rsidP="004B1105">
      <w:pPr>
        <w:pStyle w:val="NoSpacing"/>
      </w:pPr>
      <w:r w:rsidRPr="00562A74">
        <w:t xml:space="preserve">This report defines the racial wealth gap as the difference in wealth between </w:t>
      </w:r>
      <w:r w:rsidR="00461CDF" w:rsidRPr="009A1A9B">
        <w:t>households</w:t>
      </w:r>
      <w:r w:rsidR="00461CDF" w:rsidRPr="00562A74">
        <w:t xml:space="preserve"> </w:t>
      </w:r>
      <w:r w:rsidR="00351922" w:rsidRPr="00562A74">
        <w:t>by race or ethnicity</w:t>
      </w:r>
      <w:r w:rsidR="00351922">
        <w:t>.</w:t>
      </w:r>
      <w:r w:rsidR="00A82DD0" w:rsidRPr="00EE44A4">
        <w:t xml:space="preserve"> </w:t>
      </w:r>
    </w:p>
    <w:p w14:paraId="464EC228" w14:textId="77777777" w:rsidR="000D637F" w:rsidRDefault="000D637F" w:rsidP="004B1105">
      <w:pPr>
        <w:pStyle w:val="NoSpacing"/>
      </w:pPr>
    </w:p>
    <w:p w14:paraId="4E02801D" w14:textId="6CDD5197" w:rsidR="0040559B" w:rsidRDefault="00C57447" w:rsidP="004B1105">
      <w:pPr>
        <w:pStyle w:val="NoSpacing"/>
      </w:pPr>
      <w:r>
        <w:t xml:space="preserve">Wide and persistent differences in U.S. household wealth by race and ethnicity are well documented. </w:t>
      </w:r>
      <w:r w:rsidR="003F7A10" w:rsidRPr="00F12147">
        <w:t xml:space="preserve">Due to data limitations, comparisons of household wealth have historically been confined to examining differences between Black, Latinx, </w:t>
      </w:r>
      <w:r w:rsidR="55177815" w:rsidRPr="00F12147">
        <w:t xml:space="preserve">and </w:t>
      </w:r>
      <w:r w:rsidR="003F7A10" w:rsidRPr="00F12147">
        <w:t>White households. Though estimates vary over time and based on data sources used,</w:t>
      </w:r>
      <w:r w:rsidR="003F7A10" w:rsidRPr="007B65B8">
        <w:t xml:space="preserve"> </w:t>
      </w:r>
      <w:r w:rsidR="004B4D26" w:rsidRPr="007B65B8">
        <w:t xml:space="preserve">research </w:t>
      </w:r>
      <w:r w:rsidR="00605F09" w:rsidRPr="007B65B8">
        <w:t xml:space="preserve">generally </w:t>
      </w:r>
      <w:r w:rsidR="004B4D26" w:rsidRPr="007B65B8">
        <w:t xml:space="preserve">finds </w:t>
      </w:r>
      <w:r w:rsidR="00605F09" w:rsidRPr="007B65B8">
        <w:t>that</w:t>
      </w:r>
      <w:r w:rsidR="004B4D26" w:rsidRPr="007B65B8">
        <w:t xml:space="preserve"> </w:t>
      </w:r>
      <w:r w:rsidR="002B6298" w:rsidRPr="007B65B8">
        <w:t xml:space="preserve">median </w:t>
      </w:r>
      <w:r w:rsidR="00990F3D" w:rsidRPr="007B65B8">
        <w:t>White households hold</w:t>
      </w:r>
      <w:r w:rsidR="001A1AC1" w:rsidRPr="007B65B8">
        <w:t xml:space="preserve"> roughly </w:t>
      </w:r>
      <w:r w:rsidR="00386D81" w:rsidRPr="007B65B8">
        <w:t>six</w:t>
      </w:r>
      <w:r w:rsidR="007026A3" w:rsidRPr="007B65B8">
        <w:t xml:space="preserve"> to </w:t>
      </w:r>
      <w:r w:rsidR="00386D81" w:rsidRPr="007B65B8">
        <w:t xml:space="preserve">seven </w:t>
      </w:r>
      <w:r w:rsidR="001A1AC1" w:rsidRPr="007B65B8">
        <w:t>times</w:t>
      </w:r>
      <w:r w:rsidR="00990F3D" w:rsidRPr="007B65B8">
        <w:t xml:space="preserve"> more wealth than </w:t>
      </w:r>
      <w:r w:rsidR="003C5C0D" w:rsidRPr="007B65B8">
        <w:t xml:space="preserve">median </w:t>
      </w:r>
      <w:r w:rsidR="00990F3D" w:rsidRPr="007B65B8">
        <w:t>Black households</w:t>
      </w:r>
      <w:r w:rsidR="008369CB" w:rsidRPr="007B65B8">
        <w:t>,</w:t>
      </w:r>
      <w:r w:rsidR="005136B4" w:rsidRPr="007B65B8">
        <w:t xml:space="preserve"> and </w:t>
      </w:r>
      <w:r w:rsidR="01630455" w:rsidRPr="007B65B8">
        <w:t>five</w:t>
      </w:r>
      <w:r w:rsidR="007026A3" w:rsidRPr="007B65B8">
        <w:t xml:space="preserve"> to </w:t>
      </w:r>
      <w:r w:rsidR="7B3F8077" w:rsidRPr="007B65B8">
        <w:t>six</w:t>
      </w:r>
      <w:r w:rsidR="005136B4" w:rsidRPr="007B65B8">
        <w:t xml:space="preserve"> times </w:t>
      </w:r>
      <w:r w:rsidR="001E14DF" w:rsidRPr="007B65B8">
        <w:t xml:space="preserve">more </w:t>
      </w:r>
      <w:r w:rsidR="005136B4" w:rsidRPr="007B65B8">
        <w:t xml:space="preserve">wealth </w:t>
      </w:r>
      <w:r w:rsidR="001E14DF" w:rsidRPr="007B65B8">
        <w:t xml:space="preserve">than </w:t>
      </w:r>
      <w:r w:rsidR="000906CD" w:rsidRPr="007B65B8">
        <w:t xml:space="preserve">median </w:t>
      </w:r>
      <w:r w:rsidR="00351FD3" w:rsidRPr="007B65B8">
        <w:t xml:space="preserve">Latinx </w:t>
      </w:r>
      <w:r w:rsidR="005136B4" w:rsidRPr="007B65B8">
        <w:t>households</w:t>
      </w:r>
      <w:r w:rsidR="001E14DF" w:rsidRPr="007B65B8">
        <w:t>.</w:t>
      </w:r>
      <w:r w:rsidR="00004986" w:rsidRPr="007B65B8">
        <w:rPr>
          <w:rStyle w:val="EndnoteReference"/>
        </w:rPr>
        <w:endnoteReference w:id="6"/>
      </w:r>
      <w:r w:rsidR="005136B4" w:rsidRPr="007B65B8">
        <w:t xml:space="preserve"> </w:t>
      </w:r>
      <w:r w:rsidR="00107571" w:rsidRPr="00F12147">
        <w:t>Recently released data</w:t>
      </w:r>
      <w:r w:rsidR="008A0914" w:rsidRPr="00F12147">
        <w:t xml:space="preserve"> </w:t>
      </w:r>
      <w:r w:rsidR="00C036E9" w:rsidRPr="00F12147">
        <w:t xml:space="preserve">from the Survey of Consumer Finances </w:t>
      </w:r>
      <w:r w:rsidR="00107571" w:rsidRPr="00F12147">
        <w:t xml:space="preserve">further illustrate the enormity of </w:t>
      </w:r>
      <w:r w:rsidR="00265E20" w:rsidRPr="00F12147">
        <w:t>wealth</w:t>
      </w:r>
      <w:r w:rsidR="00107571" w:rsidRPr="00F12147">
        <w:t xml:space="preserve"> gap</w:t>
      </w:r>
      <w:r w:rsidR="00265E20" w:rsidRPr="00F12147">
        <w:t>s</w:t>
      </w:r>
      <w:r w:rsidR="00107571" w:rsidRPr="00F12147">
        <w:t xml:space="preserve"> </w:t>
      </w:r>
      <w:r w:rsidR="005F3C72" w:rsidRPr="00F12147">
        <w:t>and include data for Asian households for the first time</w:t>
      </w:r>
      <w:r w:rsidR="00107571" w:rsidRPr="00F12147">
        <w:t>:</w:t>
      </w:r>
      <w:r w:rsidR="00107571" w:rsidRPr="007B65B8">
        <w:t xml:space="preserve"> i</w:t>
      </w:r>
      <w:r w:rsidR="008D78D0" w:rsidRPr="007B65B8">
        <w:t>n</w:t>
      </w:r>
      <w:r w:rsidR="003C2355" w:rsidRPr="007B65B8">
        <w:t xml:space="preserve"> 2022, the </w:t>
      </w:r>
      <w:r w:rsidR="0040559B" w:rsidRPr="007B65B8">
        <w:t xml:space="preserve">median wealth of </w:t>
      </w:r>
      <w:r w:rsidR="001C425E" w:rsidRPr="00F12147">
        <w:t xml:space="preserve">White families ($285,000) remained far greater than </w:t>
      </w:r>
      <w:r w:rsidR="0E178A9B" w:rsidRPr="00F12147">
        <w:t>that</w:t>
      </w:r>
      <w:r w:rsidR="001C425E" w:rsidRPr="00F12147">
        <w:t xml:space="preserve"> of Latinx ($61,600) and Black ($44,900) families.</w:t>
      </w:r>
      <w:r w:rsidR="009517B2" w:rsidRPr="007B65B8">
        <w:rPr>
          <w:rStyle w:val="EndnoteReference"/>
        </w:rPr>
        <w:endnoteReference w:id="7"/>
      </w:r>
      <w:r w:rsidR="009517B2" w:rsidRPr="00F12147">
        <w:t xml:space="preserve"> </w:t>
      </w:r>
      <w:r w:rsidR="001C425E" w:rsidRPr="00F12147">
        <w:t xml:space="preserve">Asian families </w:t>
      </w:r>
      <w:r w:rsidR="004E4925" w:rsidRPr="00F12147">
        <w:t>had the highest median wealth</w:t>
      </w:r>
      <w:r w:rsidR="0029712A" w:rsidRPr="00F12147">
        <w:t xml:space="preserve"> </w:t>
      </w:r>
      <w:r w:rsidR="00FB6802" w:rsidRPr="00F12147">
        <w:t>(</w:t>
      </w:r>
      <w:r w:rsidR="001C425E" w:rsidRPr="00F12147">
        <w:t>$536,000</w:t>
      </w:r>
      <w:r w:rsidR="00FB6802" w:rsidRPr="00F12147">
        <w:t>)</w:t>
      </w:r>
      <w:r w:rsidR="001C425E" w:rsidRPr="00F12147">
        <w:t>,</w:t>
      </w:r>
      <w:r w:rsidR="00FB6802" w:rsidRPr="00F12147">
        <w:t xml:space="preserve"> though there </w:t>
      </w:r>
      <w:r w:rsidR="00FB6802" w:rsidRPr="007B65B8">
        <w:t>are likely significant wealth gaps within the Asian community</w:t>
      </w:r>
      <w:r w:rsidR="001C425E" w:rsidRPr="00F12147">
        <w:t>.</w:t>
      </w:r>
      <w:r w:rsidR="005F4192" w:rsidRPr="007B65B8">
        <w:t xml:space="preserve"> </w:t>
      </w:r>
    </w:p>
    <w:p w14:paraId="318CE574" w14:textId="77777777" w:rsidR="005974B1" w:rsidRDefault="005974B1" w:rsidP="004B1105">
      <w:pPr>
        <w:pStyle w:val="NoSpacing"/>
      </w:pPr>
    </w:p>
    <w:p w14:paraId="49122F6D" w14:textId="40317B5B" w:rsidR="00CC16B5" w:rsidRDefault="00E86BD8" w:rsidP="004B1105">
      <w:r w:rsidRPr="00380DBE">
        <w:rPr>
          <w:rFonts w:eastAsiaTheme="minorHAnsi" w:cstheme="minorHAnsi"/>
          <w:color w:val="000000"/>
          <w:szCs w:val="22"/>
        </w:rPr>
        <w:t xml:space="preserve">Discriminatory, predatory, and racist policies and practices in housing, banking, education, and other sectors contribute to </w:t>
      </w:r>
      <w:r w:rsidR="00AC6E1D">
        <w:rPr>
          <w:rFonts w:eastAsiaTheme="minorHAnsi" w:cstheme="minorHAnsi"/>
          <w:color w:val="000000"/>
          <w:szCs w:val="22"/>
        </w:rPr>
        <w:t>the</w:t>
      </w:r>
      <w:r w:rsidRPr="00380DBE">
        <w:rPr>
          <w:rFonts w:eastAsiaTheme="minorHAnsi" w:cstheme="minorHAnsi"/>
          <w:color w:val="000000"/>
          <w:szCs w:val="22"/>
        </w:rPr>
        <w:t xml:space="preserve"> longstanding </w:t>
      </w:r>
      <w:r w:rsidR="00A50D00">
        <w:rPr>
          <w:rFonts w:eastAsiaTheme="minorHAnsi" w:cstheme="minorHAnsi"/>
          <w:color w:val="000000"/>
          <w:szCs w:val="22"/>
        </w:rPr>
        <w:t xml:space="preserve">and substantial gap </w:t>
      </w:r>
      <w:r>
        <w:rPr>
          <w:rFonts w:eastAsiaTheme="minorHAnsi" w:cstheme="minorHAnsi"/>
          <w:color w:val="000000"/>
          <w:szCs w:val="22"/>
        </w:rPr>
        <w:t xml:space="preserve">in </w:t>
      </w:r>
      <w:r w:rsidR="008263EC">
        <w:rPr>
          <w:rFonts w:eastAsiaTheme="minorHAnsi" w:cstheme="minorHAnsi"/>
          <w:color w:val="000000"/>
          <w:szCs w:val="22"/>
        </w:rPr>
        <w:t xml:space="preserve">typical household wealth </w:t>
      </w:r>
      <w:r w:rsidR="00BA54A6">
        <w:rPr>
          <w:rFonts w:eastAsiaTheme="minorHAnsi" w:cstheme="minorHAnsi"/>
          <w:color w:val="000000"/>
          <w:szCs w:val="22"/>
        </w:rPr>
        <w:t xml:space="preserve">between </w:t>
      </w:r>
      <w:r w:rsidR="00177EE7">
        <w:rPr>
          <w:rFonts w:eastAsiaTheme="minorHAnsi" w:cstheme="minorHAnsi"/>
          <w:color w:val="000000"/>
          <w:szCs w:val="22"/>
        </w:rPr>
        <w:t>Black Americans</w:t>
      </w:r>
      <w:r w:rsidR="00BA54A6">
        <w:rPr>
          <w:rFonts w:eastAsiaTheme="minorHAnsi" w:cstheme="minorHAnsi"/>
          <w:color w:val="000000"/>
          <w:szCs w:val="22"/>
        </w:rPr>
        <w:t xml:space="preserve"> and White Americans</w:t>
      </w:r>
      <w:r w:rsidR="00AC6E1D">
        <w:rPr>
          <w:rFonts w:eastAsiaTheme="minorHAnsi" w:cstheme="minorHAnsi"/>
          <w:color w:val="000000"/>
          <w:szCs w:val="22"/>
        </w:rPr>
        <w:t xml:space="preserve"> </w:t>
      </w:r>
      <w:r w:rsidRPr="00380DBE">
        <w:rPr>
          <w:rFonts w:eastAsiaTheme="minorHAnsi" w:cstheme="minorHAnsi"/>
          <w:color w:val="000000"/>
          <w:szCs w:val="22"/>
        </w:rPr>
        <w:t>and make accumulating and transferring wealth far more difficult for some than others.</w:t>
      </w:r>
      <w:r>
        <w:rPr>
          <w:rFonts w:cstheme="minorHAnsi"/>
          <w:color w:val="000000"/>
        </w:rPr>
        <w:t xml:space="preserve"> </w:t>
      </w:r>
      <w:r w:rsidR="008E2DB4" w:rsidRPr="007132DD">
        <w:t xml:space="preserve">Black Americans </w:t>
      </w:r>
      <w:r w:rsidR="00F7699E" w:rsidRPr="007132DD">
        <w:t>are</w:t>
      </w:r>
      <w:r w:rsidR="008E2DB4" w:rsidRPr="007132DD">
        <w:t xml:space="preserve"> more likely to</w:t>
      </w:r>
      <w:r w:rsidR="00202FEA" w:rsidRPr="007132DD">
        <w:t xml:space="preserve"> be</w:t>
      </w:r>
      <w:r w:rsidR="0023450B" w:rsidRPr="007132DD">
        <w:t xml:space="preserve"> </w:t>
      </w:r>
      <w:r w:rsidR="00202FEA" w:rsidRPr="007132DD">
        <w:t>denied</w:t>
      </w:r>
      <w:r w:rsidR="0023450B" w:rsidRPr="007132DD">
        <w:t xml:space="preserve"> </w:t>
      </w:r>
      <w:r w:rsidR="0023450B" w:rsidRPr="00CA3B32">
        <w:t xml:space="preserve">opportunities </w:t>
      </w:r>
      <w:r w:rsidR="00202FEA" w:rsidRPr="00CA3B32">
        <w:t xml:space="preserve">to build wealth through </w:t>
      </w:r>
      <w:r w:rsidR="0023450B" w:rsidRPr="00CA3B32">
        <w:t>homeownership</w:t>
      </w:r>
      <w:r w:rsidR="00BF4D8D">
        <w:t>,</w:t>
      </w:r>
      <w:r w:rsidR="00063DA4" w:rsidRPr="00CA3B32">
        <w:rPr>
          <w:rStyle w:val="EndnoteReference"/>
        </w:rPr>
        <w:endnoteReference w:id="8"/>
      </w:r>
      <w:r w:rsidR="002667DC" w:rsidRPr="00E86BD8">
        <w:t xml:space="preserve"> </w:t>
      </w:r>
      <w:r w:rsidR="009F6E01" w:rsidRPr="00E86BD8">
        <w:t>experienc</w:t>
      </w:r>
      <w:r w:rsidR="0037420C" w:rsidRPr="00E86BD8">
        <w:t>e</w:t>
      </w:r>
      <w:r w:rsidR="009F6E01" w:rsidRPr="00E86BD8">
        <w:t xml:space="preserve"> </w:t>
      </w:r>
      <w:r w:rsidR="00AC2A25" w:rsidRPr="00CA3B32">
        <w:t>redlining practices</w:t>
      </w:r>
      <w:r w:rsidR="00CF5A58">
        <w:t>,</w:t>
      </w:r>
      <w:r w:rsidR="00920B09" w:rsidRPr="00CA3B32">
        <w:t xml:space="preserve"> </w:t>
      </w:r>
      <w:r w:rsidR="009F6E01" w:rsidRPr="00E86BD8">
        <w:t>and</w:t>
      </w:r>
      <w:r w:rsidR="0007650A" w:rsidRPr="00E86BD8">
        <w:t xml:space="preserve"> </w:t>
      </w:r>
      <w:r w:rsidR="0037420C">
        <w:t xml:space="preserve">face </w:t>
      </w:r>
      <w:r w:rsidR="00513CF6" w:rsidRPr="00CA3B32">
        <w:t>discriminatory mortgage markets</w:t>
      </w:r>
      <w:r w:rsidR="005A18B3">
        <w:t>.</w:t>
      </w:r>
      <w:r w:rsidR="00884182" w:rsidRPr="00CA3B32">
        <w:rPr>
          <w:rStyle w:val="EndnoteReference"/>
        </w:rPr>
        <w:endnoteReference w:id="9"/>
      </w:r>
      <w:r w:rsidR="00F760AA" w:rsidRPr="00E86BD8">
        <w:t xml:space="preserve"> </w:t>
      </w:r>
      <w:r w:rsidR="005A18B3" w:rsidRPr="00E86BD8">
        <w:t>W</w:t>
      </w:r>
      <w:r w:rsidR="00451E45" w:rsidRPr="00E86BD8">
        <w:t>hen</w:t>
      </w:r>
      <w:r w:rsidR="00451E45" w:rsidRPr="00CA3B32">
        <w:t xml:space="preserve"> </w:t>
      </w:r>
      <w:r w:rsidR="00C70AD6" w:rsidRPr="00CA3B32">
        <w:t xml:space="preserve">they </w:t>
      </w:r>
      <w:r w:rsidR="00324813" w:rsidRPr="00E86BD8">
        <w:t>can</w:t>
      </w:r>
      <w:r w:rsidR="00C70AD6" w:rsidRPr="00CA3B32">
        <w:t xml:space="preserve"> </w:t>
      </w:r>
      <w:r w:rsidR="00A7366E" w:rsidRPr="00CA3B32">
        <w:t>purchase a home</w:t>
      </w:r>
      <w:r w:rsidR="00677BF3">
        <w:t xml:space="preserve">, </w:t>
      </w:r>
      <w:r w:rsidR="00324813">
        <w:t xml:space="preserve">Black </w:t>
      </w:r>
      <w:r w:rsidR="002B5662">
        <w:t>Americans</w:t>
      </w:r>
      <w:r w:rsidR="00324813" w:rsidRPr="00CA3B32">
        <w:t xml:space="preserve"> </w:t>
      </w:r>
      <w:r w:rsidR="008E2DB4" w:rsidRPr="00CA3B32">
        <w:t>often pay</w:t>
      </w:r>
      <w:r w:rsidR="00150D5F">
        <w:t xml:space="preserve"> </w:t>
      </w:r>
      <w:r w:rsidR="00197205">
        <w:t xml:space="preserve">higher property </w:t>
      </w:r>
      <w:r w:rsidR="00451E45" w:rsidRPr="00CA3B32">
        <w:t>taxes</w:t>
      </w:r>
      <w:r w:rsidR="00C9071F">
        <w:t>.</w:t>
      </w:r>
      <w:r w:rsidR="000643AC">
        <w:rPr>
          <w:rStyle w:val="EndnoteReference"/>
        </w:rPr>
        <w:endnoteReference w:id="10"/>
      </w:r>
      <w:r w:rsidR="00C9071F">
        <w:t xml:space="preserve"> </w:t>
      </w:r>
      <w:r w:rsidR="008B6461">
        <w:t>Black Americans</w:t>
      </w:r>
      <w:r w:rsidR="008B6461" w:rsidRPr="00CA3B32">
        <w:t xml:space="preserve"> </w:t>
      </w:r>
      <w:r w:rsidR="00187B36" w:rsidRPr="00E86BD8">
        <w:t xml:space="preserve">are </w:t>
      </w:r>
      <w:r w:rsidR="00187B36" w:rsidRPr="00CA3B32">
        <w:t>also likely to experience</w:t>
      </w:r>
      <w:r w:rsidR="00481B75" w:rsidRPr="00CA3B32">
        <w:t xml:space="preserve"> greater</w:t>
      </w:r>
      <w:r w:rsidR="00172380">
        <w:t xml:space="preserve"> </w:t>
      </w:r>
      <w:r w:rsidR="00202FEA" w:rsidRPr="00CA3B32">
        <w:t>labor-market discrimination</w:t>
      </w:r>
      <w:r w:rsidR="00D860B3" w:rsidRPr="00E86BD8">
        <w:rPr>
          <w:rStyle w:val="EndnoteReference"/>
        </w:rPr>
        <w:endnoteReference w:id="11"/>
      </w:r>
      <w:r w:rsidR="00FF04B3" w:rsidRPr="00CA3B32">
        <w:t xml:space="preserve"> </w:t>
      </w:r>
      <w:r w:rsidR="00650117">
        <w:t xml:space="preserve">and </w:t>
      </w:r>
      <w:r w:rsidR="00FF04B3" w:rsidRPr="00CA3B32">
        <w:t>higher rates of unemployment</w:t>
      </w:r>
      <w:r w:rsidR="00D53B3E">
        <w:t>,</w:t>
      </w:r>
      <w:r w:rsidR="001416F7" w:rsidRPr="00E86BD8">
        <w:rPr>
          <w:rStyle w:val="EndnoteReference"/>
        </w:rPr>
        <w:endnoteReference w:id="12"/>
      </w:r>
      <w:r w:rsidR="00481B75" w:rsidRPr="00E86BD8">
        <w:t xml:space="preserve"> </w:t>
      </w:r>
      <w:r w:rsidR="00237125" w:rsidRPr="00E86BD8">
        <w:t>and</w:t>
      </w:r>
      <w:r w:rsidR="00106BCA" w:rsidRPr="00CA3B32">
        <w:t xml:space="preserve"> </w:t>
      </w:r>
      <w:r w:rsidR="008564B6">
        <w:t xml:space="preserve">receive </w:t>
      </w:r>
      <w:r w:rsidR="00106BCA" w:rsidRPr="00CA3B32">
        <w:t>lower wages than White Americans</w:t>
      </w:r>
      <w:r w:rsidR="00390BC0" w:rsidRPr="00CA3B32">
        <w:t xml:space="preserve"> for comparable work</w:t>
      </w:r>
      <w:r w:rsidR="000E1C85">
        <w:t>,</w:t>
      </w:r>
      <w:r w:rsidR="00D42E2F">
        <w:rPr>
          <w:rStyle w:val="EndnoteReference"/>
        </w:rPr>
        <w:endnoteReference w:id="13"/>
      </w:r>
      <w:r w:rsidR="000E1C85">
        <w:t xml:space="preserve"> </w:t>
      </w:r>
      <w:r w:rsidR="00150D5F">
        <w:t xml:space="preserve">impacting opportunities </w:t>
      </w:r>
      <w:r w:rsidR="00F10CE3">
        <w:t>for wealth building in the long</w:t>
      </w:r>
      <w:r w:rsidR="00C55A9D">
        <w:t xml:space="preserve"> </w:t>
      </w:r>
      <w:r w:rsidR="00F10CE3">
        <w:t>term through income and access to benefits through employment</w:t>
      </w:r>
      <w:r w:rsidR="12A12B19" w:rsidRPr="00E86BD8">
        <w:t>.</w:t>
      </w:r>
      <w:r w:rsidR="00106BCA" w:rsidRPr="00E86BD8">
        <w:t xml:space="preserve"> </w:t>
      </w:r>
    </w:p>
    <w:p w14:paraId="495F867E" w14:textId="77777777" w:rsidR="002A682C" w:rsidRDefault="002A682C" w:rsidP="004B1105">
      <w:pPr>
        <w:pStyle w:val="NoSpacing"/>
      </w:pPr>
    </w:p>
    <w:p w14:paraId="5AF1A7B1" w14:textId="018FECDE" w:rsidR="00386310" w:rsidRDefault="00857D76" w:rsidP="004B1105">
      <w:pPr>
        <w:pStyle w:val="NoSpacing"/>
      </w:pPr>
      <w:r>
        <w:t>Additionally, because f</w:t>
      </w:r>
      <w:r w:rsidR="00F977B4" w:rsidRPr="00EC6325">
        <w:t>amily wealth, unlike income, can be transferred from one generation to another</w:t>
      </w:r>
      <w:r w:rsidR="00A259B8">
        <w:t xml:space="preserve">, </w:t>
      </w:r>
      <w:r w:rsidR="0050619D">
        <w:t xml:space="preserve">so, too, can </w:t>
      </w:r>
      <w:r w:rsidR="0062581A">
        <w:t>racial wealth disparities.</w:t>
      </w:r>
      <w:r w:rsidR="00F977B4" w:rsidRPr="00EC6325">
        <w:t xml:space="preserve"> </w:t>
      </w:r>
      <w:r w:rsidR="0062581A">
        <w:t>N</w:t>
      </w:r>
      <w:r w:rsidR="00F977B4" w:rsidRPr="00EC6325">
        <w:t>ot only are</w:t>
      </w:r>
      <w:r w:rsidR="00F977B4" w:rsidRPr="00EC6325" w:rsidDel="00F13199">
        <w:t xml:space="preserve"> </w:t>
      </w:r>
      <w:r w:rsidR="00F13199">
        <w:t>people</w:t>
      </w:r>
      <w:r w:rsidR="00F13199" w:rsidRPr="00EC6325">
        <w:t xml:space="preserve"> </w:t>
      </w:r>
      <w:r w:rsidR="00F977B4" w:rsidRPr="00EC6325">
        <w:t xml:space="preserve">born into more affluent families likely to inherit </w:t>
      </w:r>
      <w:r w:rsidR="002944CB" w:rsidRPr="00EC6325">
        <w:t>wealth</w:t>
      </w:r>
      <w:r w:rsidR="00F977B4" w:rsidRPr="00EC6325">
        <w:t xml:space="preserve">, </w:t>
      </w:r>
      <w:proofErr w:type="gramStart"/>
      <w:r w:rsidR="00F977B4" w:rsidRPr="00EC6325">
        <w:t>they</w:t>
      </w:r>
      <w:proofErr w:type="gramEnd"/>
      <w:r w:rsidR="00F977B4" w:rsidRPr="00EC6325">
        <w:t xml:space="preserve"> </w:t>
      </w:r>
      <w:r w:rsidR="00DB6859">
        <w:t>also</w:t>
      </w:r>
      <w:r w:rsidR="00F977B4" w:rsidRPr="00EC6325">
        <w:t xml:space="preserve"> stand to inherit far more than</w:t>
      </w:r>
      <w:r w:rsidR="002944CB" w:rsidRPr="00EC6325">
        <w:t xml:space="preserve"> their</w:t>
      </w:r>
      <w:r w:rsidR="00F977B4" w:rsidRPr="00EC6325">
        <w:t xml:space="preserve"> less-affluent peers</w:t>
      </w:r>
      <w:r w:rsidR="00346635" w:rsidRPr="00EC6325">
        <w:t xml:space="preserve">—compounding </w:t>
      </w:r>
      <w:r w:rsidR="00F1556A" w:rsidRPr="00EC6325">
        <w:t>inequities from generation to generation</w:t>
      </w:r>
      <w:r w:rsidR="00F977B4" w:rsidRPr="00EC6325">
        <w:t>.</w:t>
      </w:r>
      <w:r w:rsidR="00F15832" w:rsidRPr="00EC6325">
        <w:t xml:space="preserve"> </w:t>
      </w:r>
      <w:r w:rsidR="009106A5">
        <w:t>Yet</w:t>
      </w:r>
      <w:r w:rsidR="00F977B4" w:rsidRPr="00EC6325">
        <w:t>, accumulati</w:t>
      </w:r>
      <w:r>
        <w:t>ng</w:t>
      </w:r>
      <w:r w:rsidR="00F977B4" w:rsidRPr="00EC6325">
        <w:t xml:space="preserve"> wealth </w:t>
      </w:r>
      <w:r w:rsidR="00B24255">
        <w:t>in one’s lifetime</w:t>
      </w:r>
      <w:r w:rsidR="00F977B4" w:rsidRPr="00EC6325">
        <w:t xml:space="preserve"> </w:t>
      </w:r>
      <w:r w:rsidR="00B0460F" w:rsidRPr="00EC6325">
        <w:t xml:space="preserve">does </w:t>
      </w:r>
      <w:r w:rsidR="00F977B4" w:rsidRPr="00EC6325">
        <w:t xml:space="preserve">not in itself guarantee that </w:t>
      </w:r>
      <w:r w:rsidR="00267178">
        <w:t>one is</w:t>
      </w:r>
      <w:r w:rsidR="00B0460F" w:rsidRPr="00EC6325">
        <w:t xml:space="preserve"> </w:t>
      </w:r>
      <w:r w:rsidR="00F977B4" w:rsidRPr="00042F12">
        <w:t>able</w:t>
      </w:r>
      <w:r w:rsidR="00F977B4" w:rsidRPr="00EC6325">
        <w:t xml:space="preserve"> to</w:t>
      </w:r>
      <w:r w:rsidR="00E667E5">
        <w:t xml:space="preserve"> easily</w:t>
      </w:r>
      <w:r w:rsidR="00F977B4" w:rsidRPr="00EC6325">
        <w:t xml:space="preserve"> transfer that wealth to </w:t>
      </w:r>
      <w:r w:rsidR="00E667E5">
        <w:t>one’s</w:t>
      </w:r>
      <w:r w:rsidR="00E667E5" w:rsidRPr="00EC6325">
        <w:t xml:space="preserve"> </w:t>
      </w:r>
      <w:r w:rsidR="00F977B4" w:rsidRPr="00EC6325">
        <w:t xml:space="preserve">children. </w:t>
      </w:r>
      <w:r w:rsidR="00FB5C7E">
        <w:t xml:space="preserve">Throughout </w:t>
      </w:r>
      <w:r w:rsidR="00AF04A0">
        <w:t>American</w:t>
      </w:r>
      <w:r w:rsidR="00FB5C7E">
        <w:t xml:space="preserve"> history, wealth</w:t>
      </w:r>
      <w:r w:rsidR="00F977B4" w:rsidRPr="00EC6325">
        <w:t xml:space="preserve"> transfer</w:t>
      </w:r>
      <w:r w:rsidR="00FB5C7E">
        <w:t>s</w:t>
      </w:r>
      <w:r w:rsidR="00F977B4" w:rsidRPr="00EC6325">
        <w:t xml:space="preserve"> </w:t>
      </w:r>
      <w:r w:rsidR="00083E65">
        <w:t>have been</w:t>
      </w:r>
      <w:r w:rsidR="00F977B4" w:rsidRPr="00EC6325">
        <w:t xml:space="preserve"> designed </w:t>
      </w:r>
      <w:r w:rsidR="00083E65">
        <w:t>and</w:t>
      </w:r>
      <w:r w:rsidR="00F977B4" w:rsidRPr="00EC6325">
        <w:t xml:space="preserve"> implemented in exclu</w:t>
      </w:r>
      <w:r w:rsidR="00B27EB5">
        <w:t xml:space="preserve">sionary </w:t>
      </w:r>
      <w:r w:rsidR="00C909D0" w:rsidRPr="00EC6325">
        <w:t>way</w:t>
      </w:r>
      <w:r w:rsidR="00C909D0">
        <w:t>s</w:t>
      </w:r>
      <w:r w:rsidR="00B27EB5">
        <w:t>, limiting the</w:t>
      </w:r>
      <w:r w:rsidR="00C909D0">
        <w:t xml:space="preserve"> ability of </w:t>
      </w:r>
      <w:r w:rsidR="00C909D0" w:rsidRPr="00EC6325">
        <w:t xml:space="preserve">Black </w:t>
      </w:r>
      <w:r w:rsidR="00C909D0">
        <w:lastRenderedPageBreak/>
        <w:t>families</w:t>
      </w:r>
      <w:r w:rsidR="00B27EB5">
        <w:t xml:space="preserve"> to </w:t>
      </w:r>
      <w:r w:rsidR="0035789E">
        <w:t xml:space="preserve">build and </w:t>
      </w:r>
      <w:r w:rsidR="00763A96">
        <w:t xml:space="preserve">transfer </w:t>
      </w:r>
      <w:r w:rsidR="00F977B4" w:rsidRPr="00EC6325">
        <w:t xml:space="preserve">wealth </w:t>
      </w:r>
      <w:r w:rsidR="00763A96">
        <w:t>to their children</w:t>
      </w:r>
      <w:r w:rsidR="00F977B4" w:rsidRPr="00EC6325">
        <w:t xml:space="preserve">. </w:t>
      </w:r>
      <w:r w:rsidR="00362B7F" w:rsidRPr="00EC6325">
        <w:t xml:space="preserve">For example, </w:t>
      </w:r>
      <w:r w:rsidR="394D86F7">
        <w:t>legislation</w:t>
      </w:r>
      <w:r w:rsidR="00362B7F" w:rsidRPr="00EC6325">
        <w:t xml:space="preserve"> such as the Homestead Acts of the 1860s</w:t>
      </w:r>
      <w:r w:rsidR="00923709" w:rsidRPr="00AF6386">
        <w:rPr>
          <w:rStyle w:val="EndnoteReference"/>
        </w:rPr>
        <w:endnoteReference w:id="14"/>
      </w:r>
      <w:r w:rsidR="00AF51D5" w:rsidRPr="00EC6325">
        <w:t xml:space="preserve"> </w:t>
      </w:r>
      <w:r w:rsidR="00DD4272" w:rsidRPr="00EC6325">
        <w:t>and the G</w:t>
      </w:r>
      <w:r w:rsidR="0042199B">
        <w:t>.</w:t>
      </w:r>
      <w:r w:rsidR="00DD4272" w:rsidRPr="00EC6325">
        <w:t>I</w:t>
      </w:r>
      <w:r w:rsidR="0042199B">
        <w:t>.</w:t>
      </w:r>
      <w:r w:rsidR="00DD4272" w:rsidRPr="00EC6325">
        <w:t xml:space="preserve"> Bill </w:t>
      </w:r>
      <w:r w:rsidR="00C10BFE" w:rsidRPr="00EC6325">
        <w:t xml:space="preserve">nearly a century later sought to provide access to wealth building </w:t>
      </w:r>
      <w:r w:rsidR="00BD4F51">
        <w:t>mechanisms</w:t>
      </w:r>
      <w:r w:rsidR="00BD4F51" w:rsidRPr="00EC6325">
        <w:t xml:space="preserve"> </w:t>
      </w:r>
      <w:r w:rsidR="00AE001B">
        <w:t>like</w:t>
      </w:r>
      <w:r w:rsidR="00AE001B" w:rsidRPr="00EC6325">
        <w:t xml:space="preserve"> </w:t>
      </w:r>
      <w:r w:rsidR="00307A70" w:rsidRPr="00EC6325">
        <w:t>home</w:t>
      </w:r>
      <w:r w:rsidR="00DA4F77">
        <w:t xml:space="preserve"> </w:t>
      </w:r>
      <w:r w:rsidR="00307A70" w:rsidRPr="00EC6325">
        <w:t xml:space="preserve">ownership </w:t>
      </w:r>
      <w:r w:rsidR="00C10BFE" w:rsidRPr="00EC6325">
        <w:t>and education</w:t>
      </w:r>
      <w:r w:rsidR="000A3398">
        <w:t>. But</w:t>
      </w:r>
      <w:r w:rsidR="00856116">
        <w:t xml:space="preserve"> </w:t>
      </w:r>
      <w:r w:rsidR="00AD17F6">
        <w:t xml:space="preserve">local </w:t>
      </w:r>
      <w:r w:rsidR="00333E7F">
        <w:t xml:space="preserve">implementation </w:t>
      </w:r>
      <w:r w:rsidR="00F412A2">
        <w:t>often obstructed</w:t>
      </w:r>
      <w:r w:rsidR="00AD17F6">
        <w:t xml:space="preserve"> these federal efforts</w:t>
      </w:r>
      <w:r w:rsidR="000A3398">
        <w:t xml:space="preserve">. </w:t>
      </w:r>
      <w:r w:rsidR="6EF8010D">
        <w:t>Under</w:t>
      </w:r>
      <w:r w:rsidR="00E33EF1">
        <w:t xml:space="preserve"> the G</w:t>
      </w:r>
      <w:r w:rsidR="008E35BB">
        <w:t>.</w:t>
      </w:r>
      <w:r w:rsidR="00E33EF1">
        <w:t>I</w:t>
      </w:r>
      <w:r w:rsidR="008E35BB">
        <w:t>.</w:t>
      </w:r>
      <w:r w:rsidR="00E33EF1">
        <w:t xml:space="preserve"> Bill,</w:t>
      </w:r>
      <w:r w:rsidR="007A7A7F">
        <w:t xml:space="preserve"> many</w:t>
      </w:r>
      <w:r w:rsidR="00E33EF1">
        <w:t xml:space="preserve"> returning Black veterans </w:t>
      </w:r>
      <w:r w:rsidR="007A7A7F">
        <w:t xml:space="preserve">seeking to pursue a college education </w:t>
      </w:r>
      <w:r w:rsidR="00637E9E">
        <w:t>faced</w:t>
      </w:r>
      <w:r w:rsidR="007A7A7F">
        <w:t xml:space="preserve"> </w:t>
      </w:r>
      <w:r w:rsidR="2442F1A3">
        <w:t>numerous barriers</w:t>
      </w:r>
      <w:r w:rsidR="00637E9E">
        <w:t xml:space="preserve"> </w:t>
      </w:r>
      <w:r w:rsidR="005A4DBA">
        <w:t xml:space="preserve">to </w:t>
      </w:r>
      <w:r w:rsidR="00B707F2">
        <w:t>claim</w:t>
      </w:r>
      <w:r w:rsidR="0A464CE8">
        <w:t>ing</w:t>
      </w:r>
      <w:r w:rsidR="00B707F2">
        <w:t xml:space="preserve"> their rightfully earned </w:t>
      </w:r>
      <w:r w:rsidR="009A2F56">
        <w:t xml:space="preserve">tuition </w:t>
      </w:r>
      <w:r w:rsidR="00637E9E">
        <w:t xml:space="preserve">and living </w:t>
      </w:r>
      <w:r w:rsidR="004D41A5">
        <w:t>benefits</w:t>
      </w:r>
      <w:r w:rsidR="00637E9E">
        <w:t>.</w:t>
      </w:r>
      <w:r w:rsidR="00392662">
        <w:rPr>
          <w:rStyle w:val="EndnoteReference"/>
        </w:rPr>
        <w:endnoteReference w:id="15"/>
      </w:r>
      <w:r w:rsidR="00392662" w:rsidRPr="00EC6325">
        <w:t xml:space="preserve"> </w:t>
      </w:r>
      <w:r w:rsidR="6BC84E0A">
        <w:t>Some faced</w:t>
      </w:r>
      <w:r w:rsidR="00637E9E">
        <w:t xml:space="preserve"> outright </w:t>
      </w:r>
      <w:r w:rsidR="001C6E80">
        <w:t>deni</w:t>
      </w:r>
      <w:r w:rsidR="02278686">
        <w:t>al of</w:t>
      </w:r>
      <w:r w:rsidR="00637E9E">
        <w:t xml:space="preserve"> mortgage loans</w:t>
      </w:r>
      <w:r w:rsidR="322F6C25">
        <w:t>,</w:t>
      </w:r>
      <w:r w:rsidR="003E7477">
        <w:rPr>
          <w:rStyle w:val="EndnoteReference"/>
        </w:rPr>
        <w:endnoteReference w:id="16"/>
      </w:r>
      <w:r w:rsidR="003E7477">
        <w:t xml:space="preserve"> </w:t>
      </w:r>
      <w:r w:rsidR="79D6581E">
        <w:t>while</w:t>
      </w:r>
      <w:r w:rsidR="00074E13">
        <w:t xml:space="preserve"> others </w:t>
      </w:r>
      <w:r w:rsidR="2CFE9C60">
        <w:t>were steered toward</w:t>
      </w:r>
      <w:r w:rsidR="6EF8010D" w:rsidDel="00E33EF1">
        <w:t xml:space="preserve"> </w:t>
      </w:r>
      <w:r w:rsidR="003E7477">
        <w:t xml:space="preserve">vocational training </w:t>
      </w:r>
      <w:r w:rsidR="00074E13">
        <w:t xml:space="preserve">programs </w:t>
      </w:r>
      <w:r w:rsidR="003E7477">
        <w:t>instead</w:t>
      </w:r>
      <w:r w:rsidR="1651E356">
        <w:t xml:space="preserve"> of four-year colleges</w:t>
      </w:r>
      <w:r w:rsidR="00074E13">
        <w:t>.</w:t>
      </w:r>
      <w:r w:rsidR="001C6E80">
        <w:rPr>
          <w:rStyle w:val="EndnoteReference"/>
        </w:rPr>
        <w:endnoteReference w:id="17"/>
      </w:r>
      <w:r w:rsidR="00202B6F">
        <w:t xml:space="preserve"> Even </w:t>
      </w:r>
      <w:r w:rsidR="00CF72AD">
        <w:t>when</w:t>
      </w:r>
      <w:r w:rsidR="00202B6F">
        <w:t xml:space="preserve"> </w:t>
      </w:r>
      <w:r w:rsidR="004019E9">
        <w:t xml:space="preserve">Black </w:t>
      </w:r>
      <w:r w:rsidR="4237D47C">
        <w:t xml:space="preserve">veterans </w:t>
      </w:r>
      <w:r w:rsidR="00350577">
        <w:t>could</w:t>
      </w:r>
      <w:r w:rsidR="00202B6F">
        <w:t xml:space="preserve"> access these benefits, many colleges</w:t>
      </w:r>
      <w:r w:rsidR="00CF72AD">
        <w:t xml:space="preserve"> across the South</w:t>
      </w:r>
      <w:r w:rsidR="00202B6F">
        <w:t xml:space="preserve"> </w:t>
      </w:r>
      <w:r w:rsidR="001437BB">
        <w:t>remained segregated and would not admit them</w:t>
      </w:r>
      <w:r w:rsidR="003E29D2">
        <w:t>. The</w:t>
      </w:r>
      <w:r w:rsidR="00CF72AD">
        <w:t xml:space="preserve"> resulting </w:t>
      </w:r>
      <w:r w:rsidR="00292B6D">
        <w:t xml:space="preserve">push towards </w:t>
      </w:r>
      <w:r w:rsidR="00882348">
        <w:t xml:space="preserve">historically </w:t>
      </w:r>
      <w:r w:rsidR="00292B6D">
        <w:t xml:space="preserve">Black </w:t>
      </w:r>
      <w:r w:rsidR="00882348">
        <w:t xml:space="preserve">colleges </w:t>
      </w:r>
      <w:r w:rsidR="00292B6D">
        <w:t xml:space="preserve">and </w:t>
      </w:r>
      <w:r w:rsidR="00882348">
        <w:t xml:space="preserve">universities </w:t>
      </w:r>
      <w:r w:rsidR="00292B6D">
        <w:t>(HBCUs)</w:t>
      </w:r>
      <w:r w:rsidR="00616935">
        <w:t xml:space="preserve"> </w:t>
      </w:r>
      <w:r w:rsidR="009E1AEE">
        <w:t>meant these schools became</w:t>
      </w:r>
      <w:r w:rsidR="00616935">
        <w:t xml:space="preserve"> overcrowded</w:t>
      </w:r>
      <w:r w:rsidR="0078073E">
        <w:t>.</w:t>
      </w:r>
      <w:r w:rsidR="00AC2A13">
        <w:rPr>
          <w:rStyle w:val="EndnoteReference"/>
        </w:rPr>
        <w:endnoteReference w:id="18"/>
      </w:r>
      <w:r w:rsidR="00E553E5">
        <w:t xml:space="preserve"> </w:t>
      </w:r>
      <w:r w:rsidR="6A90CBD0">
        <w:t>T</w:t>
      </w:r>
      <w:r w:rsidR="00AC2A13">
        <w:t>hese</w:t>
      </w:r>
      <w:r w:rsidR="00AC2A13" w:rsidDel="003F6D7B">
        <w:t xml:space="preserve"> </w:t>
      </w:r>
      <w:r w:rsidR="002D0C44">
        <w:t xml:space="preserve">discriminatory </w:t>
      </w:r>
      <w:r w:rsidR="00AC2A13">
        <w:t>efforts</w:t>
      </w:r>
      <w:r w:rsidR="0749C71A">
        <w:t xml:space="preserve"> </w:t>
      </w:r>
      <w:r w:rsidR="00712FE2">
        <w:t>meant</w:t>
      </w:r>
      <w:r w:rsidR="00AC2A13">
        <w:t xml:space="preserve"> many </w:t>
      </w:r>
      <w:r w:rsidR="00FD7A6F" w:rsidRPr="00EC6325">
        <w:t xml:space="preserve">Black Americans were </w:t>
      </w:r>
      <w:r w:rsidR="40AAEC59" w:rsidRPr="00AF6386">
        <w:t>barred from</w:t>
      </w:r>
      <w:r w:rsidR="00B5424F" w:rsidRPr="00EC6325">
        <w:t xml:space="preserve"> </w:t>
      </w:r>
      <w:r w:rsidR="00B5424F" w:rsidRPr="005C34FA">
        <w:t>opportunities to build wealth</w:t>
      </w:r>
      <w:r w:rsidR="006C171F">
        <w:t xml:space="preserve"> and pass </w:t>
      </w:r>
      <w:r w:rsidR="00712FE2">
        <w:t>that</w:t>
      </w:r>
      <w:r w:rsidR="006C171F">
        <w:t xml:space="preserve"> </w:t>
      </w:r>
      <w:r w:rsidR="006C1C43">
        <w:t>wealth</w:t>
      </w:r>
      <w:r w:rsidR="00712FE2">
        <w:t xml:space="preserve"> </w:t>
      </w:r>
      <w:r w:rsidR="006C1C43">
        <w:t>to future generations</w:t>
      </w:r>
      <w:r w:rsidR="36801B51" w:rsidRPr="00AF6386">
        <w:t>.</w:t>
      </w:r>
      <w:r w:rsidR="00B5424F" w:rsidRPr="005C34FA">
        <w:t xml:space="preserve"> </w:t>
      </w:r>
    </w:p>
    <w:p w14:paraId="3967F899" w14:textId="77777777" w:rsidR="00386310" w:rsidRDefault="00386310" w:rsidP="004B1105">
      <w:pPr>
        <w:pStyle w:val="NoSpacing"/>
      </w:pPr>
    </w:p>
    <w:p w14:paraId="5E5CC990" w14:textId="77777777" w:rsidR="00E26D23" w:rsidRDefault="00E26D23" w:rsidP="004B1105">
      <w:pPr>
        <w:pStyle w:val="NoSpacing"/>
      </w:pPr>
    </w:p>
    <w:p w14:paraId="60C106FE" w14:textId="77777777" w:rsidR="00324B08" w:rsidRDefault="00324B08" w:rsidP="004B1105">
      <w:pPr>
        <w:spacing w:after="160" w:line="259" w:lineRule="auto"/>
        <w:rPr>
          <w:rFonts w:asciiTheme="majorHAnsi" w:eastAsiaTheme="majorEastAsia" w:hAnsiTheme="majorHAnsi" w:cstheme="majorBidi"/>
          <w:color w:val="2F5496" w:themeColor="accent1" w:themeShade="BF"/>
          <w:sz w:val="32"/>
          <w:szCs w:val="32"/>
        </w:rPr>
      </w:pPr>
      <w:r>
        <w:br w:type="page"/>
      </w:r>
    </w:p>
    <w:p w14:paraId="6F63FC46" w14:textId="5EA86C16" w:rsidR="00E26D23" w:rsidRPr="005248F0" w:rsidRDefault="00BC1952" w:rsidP="004B1105">
      <w:pPr>
        <w:pStyle w:val="Heading1"/>
      </w:pPr>
      <w:bookmarkStart w:id="8" w:name="_Toc167901743"/>
      <w:r>
        <w:lastRenderedPageBreak/>
        <w:t xml:space="preserve">The </w:t>
      </w:r>
      <w:r w:rsidR="00E26D23" w:rsidRPr="009C7F18">
        <w:t>Cyclical Relationship Between</w:t>
      </w:r>
      <w:r w:rsidR="005248F0">
        <w:t xml:space="preserve"> </w:t>
      </w:r>
      <w:r w:rsidR="005248F0" w:rsidRPr="009C7F18">
        <w:t xml:space="preserve">Higher Education </w:t>
      </w:r>
      <w:proofErr w:type="gramStart"/>
      <w:r w:rsidR="00F607AB">
        <w:t>A</w:t>
      </w:r>
      <w:r w:rsidR="00F607AB" w:rsidRPr="009C7F18">
        <w:t>nd</w:t>
      </w:r>
      <w:proofErr w:type="gramEnd"/>
      <w:r w:rsidR="00F607AB" w:rsidRPr="009C7F18">
        <w:t xml:space="preserve"> </w:t>
      </w:r>
      <w:r w:rsidR="00F607AB">
        <w:t>T</w:t>
      </w:r>
      <w:r w:rsidR="00F607AB" w:rsidRPr="009C7F18">
        <w:t xml:space="preserve">he </w:t>
      </w:r>
      <w:r w:rsidR="005248F0" w:rsidRPr="009C7F18">
        <w:t>Racial Wealth Gap</w:t>
      </w:r>
      <w:bookmarkEnd w:id="8"/>
      <w:r w:rsidR="00E26D23" w:rsidRPr="009C7F18">
        <w:t xml:space="preserve"> </w:t>
      </w:r>
    </w:p>
    <w:p w14:paraId="54607B29" w14:textId="77777777" w:rsidR="00233B1A" w:rsidRDefault="00233B1A" w:rsidP="004B1105">
      <w:pPr>
        <w:pStyle w:val="NoSpacing"/>
      </w:pPr>
    </w:p>
    <w:p w14:paraId="0B6B4376" w14:textId="6E932D9F" w:rsidR="00175ECA" w:rsidRDefault="00C57C9A" w:rsidP="004B1105">
      <w:pPr>
        <w:pStyle w:val="NoSpacing"/>
        <w:tabs>
          <w:tab w:val="left" w:pos="1013"/>
        </w:tabs>
      </w:pPr>
      <w:r>
        <w:t>I</w:t>
      </w:r>
      <w:r w:rsidR="0034264A">
        <w:t>ndividuals</w:t>
      </w:r>
      <w:r>
        <w:t>’</w:t>
      </w:r>
      <w:r w:rsidR="0034264A">
        <w:t xml:space="preserve"> wealth</w:t>
      </w:r>
      <w:r w:rsidR="00343863">
        <w:t xml:space="preserve"> influences </w:t>
      </w:r>
      <w:r w:rsidR="00D3575E">
        <w:t xml:space="preserve">and is influenced by </w:t>
      </w:r>
      <w:r w:rsidR="006402A7">
        <w:t xml:space="preserve">their </w:t>
      </w:r>
      <w:r w:rsidR="007254BA">
        <w:t xml:space="preserve">higher education </w:t>
      </w:r>
      <w:r w:rsidR="006402A7">
        <w:t xml:space="preserve">experiences </w:t>
      </w:r>
      <w:r w:rsidR="00D3575E">
        <w:t>and outcomes</w:t>
      </w:r>
      <w:r w:rsidR="00EF62E2">
        <w:t>.</w:t>
      </w:r>
      <w:r w:rsidR="006E553E">
        <w:t xml:space="preserve"> </w:t>
      </w:r>
      <w:r w:rsidR="006A4288">
        <w:t>W</w:t>
      </w:r>
      <w:r w:rsidR="00D1064B" w:rsidRPr="00F3749E">
        <w:t xml:space="preserve">ealth </w:t>
      </w:r>
      <w:r w:rsidR="001E6A41" w:rsidRPr="00F3749E">
        <w:t xml:space="preserve">impacts </w:t>
      </w:r>
      <w:r w:rsidR="00433276" w:rsidRPr="00F3749E">
        <w:t xml:space="preserve">the resources and opportunities available, including </w:t>
      </w:r>
      <w:r w:rsidR="00AC16EC" w:rsidRPr="00F3749E">
        <w:t xml:space="preserve">whether </w:t>
      </w:r>
      <w:r w:rsidR="001A68C5" w:rsidRPr="00F3749E">
        <w:t xml:space="preserve">individuals </w:t>
      </w:r>
      <w:proofErr w:type="gramStart"/>
      <w:r w:rsidR="00AC65F9">
        <w:t>are able to</w:t>
      </w:r>
      <w:proofErr w:type="gramEnd"/>
      <w:r w:rsidR="00AC65F9">
        <w:t xml:space="preserve"> </w:t>
      </w:r>
      <w:r w:rsidR="00AC16EC" w:rsidRPr="00F3749E">
        <w:t xml:space="preserve">attend and complete </w:t>
      </w:r>
      <w:r w:rsidR="00CA7BBF" w:rsidRPr="00F3749E">
        <w:t>college</w:t>
      </w:r>
      <w:r w:rsidR="00B13F11">
        <w:t xml:space="preserve">. </w:t>
      </w:r>
      <w:r w:rsidR="007F667E">
        <w:t>For those who enroll in college, w</w:t>
      </w:r>
      <w:r w:rsidR="005B29FA">
        <w:t xml:space="preserve">ealth can </w:t>
      </w:r>
      <w:r w:rsidR="00E4268F">
        <w:t>affect</w:t>
      </w:r>
      <w:r w:rsidR="005B29FA">
        <w:t xml:space="preserve"> </w:t>
      </w:r>
      <w:r w:rsidR="000D2770">
        <w:t xml:space="preserve">their </w:t>
      </w:r>
      <w:r w:rsidR="005B29FA">
        <w:t>ability to pay for college costs</w:t>
      </w:r>
      <w:r w:rsidR="007F667E">
        <w:t xml:space="preserve"> and</w:t>
      </w:r>
      <w:r w:rsidR="00966269">
        <w:t xml:space="preserve"> whether they </w:t>
      </w:r>
      <w:r w:rsidR="003C3415">
        <w:t xml:space="preserve">take out </w:t>
      </w:r>
      <w:r w:rsidR="00966269">
        <w:t xml:space="preserve">student loans, </w:t>
      </w:r>
      <w:r w:rsidR="009A54D0">
        <w:t xml:space="preserve">which are </w:t>
      </w:r>
      <w:r w:rsidR="00966269">
        <w:t>a form of negative wealth.</w:t>
      </w:r>
      <w:r w:rsidR="0017235C">
        <w:t xml:space="preserve"> </w:t>
      </w:r>
      <w:r w:rsidR="00510B6E">
        <w:t xml:space="preserve">Students’ experiences with higher education and </w:t>
      </w:r>
      <w:r w:rsidR="003033F2">
        <w:t xml:space="preserve">their loan debt </w:t>
      </w:r>
      <w:r w:rsidR="008D6F0D">
        <w:t xml:space="preserve">can </w:t>
      </w:r>
      <w:r w:rsidR="007B24E5" w:rsidRPr="00F3749E">
        <w:t xml:space="preserve">influence whether and how </w:t>
      </w:r>
      <w:r w:rsidR="00186DC7" w:rsidDel="004644C1">
        <w:t xml:space="preserve">they </w:t>
      </w:r>
      <w:r w:rsidR="002E2C67">
        <w:t xml:space="preserve">are </w:t>
      </w:r>
      <w:r w:rsidR="007B24E5" w:rsidRPr="004F0D3F">
        <w:t>able to accumulate wealt</w:t>
      </w:r>
      <w:r w:rsidR="00C46599" w:rsidRPr="004F0D3F">
        <w:t>h</w:t>
      </w:r>
      <w:r w:rsidR="00891376" w:rsidRPr="004F0D3F" w:rsidDel="004644C1">
        <w:t xml:space="preserve"> </w:t>
      </w:r>
      <w:r w:rsidR="008D6F0D">
        <w:t>after college</w:t>
      </w:r>
      <w:r w:rsidR="009C3676">
        <w:t>. Since this accumulated wealth</w:t>
      </w:r>
      <w:r w:rsidR="00891376" w:rsidRPr="004F0D3F">
        <w:t xml:space="preserve"> </w:t>
      </w:r>
      <w:r w:rsidR="00D1542F">
        <w:t>can be passed to</w:t>
      </w:r>
      <w:r w:rsidR="00D1542F" w:rsidRPr="004F0D3F">
        <w:t xml:space="preserve"> </w:t>
      </w:r>
      <w:r w:rsidR="00891376" w:rsidRPr="004F0D3F">
        <w:t>children</w:t>
      </w:r>
      <w:r w:rsidR="00C46599" w:rsidRPr="004F0D3F">
        <w:t xml:space="preserve">, </w:t>
      </w:r>
      <w:r w:rsidR="0003583B" w:rsidRPr="004F0D3F">
        <w:t xml:space="preserve">the cycle continues </w:t>
      </w:r>
      <w:r w:rsidR="00786DB7" w:rsidRPr="004F0D3F">
        <w:t xml:space="preserve">with </w:t>
      </w:r>
      <w:r w:rsidR="00891376" w:rsidRPr="004F0D3F">
        <w:t>succeeding generations</w:t>
      </w:r>
      <w:r w:rsidR="00786DB7" w:rsidRPr="004F0D3F">
        <w:t xml:space="preserve">. </w:t>
      </w:r>
      <w:r w:rsidR="005B2F44">
        <w:t xml:space="preserve"> </w:t>
      </w:r>
    </w:p>
    <w:p w14:paraId="26A1D611" w14:textId="77777777" w:rsidR="00175ECA" w:rsidRDefault="00175ECA" w:rsidP="004B1105">
      <w:pPr>
        <w:pStyle w:val="NoSpacing"/>
        <w:tabs>
          <w:tab w:val="left" w:pos="1013"/>
        </w:tabs>
      </w:pPr>
    </w:p>
    <w:p w14:paraId="4773E8B1" w14:textId="6C28891F" w:rsidR="009A60EE" w:rsidRDefault="291CDDB7" w:rsidP="004B1105">
      <w:pPr>
        <w:pStyle w:val="NoSpacing"/>
      </w:pPr>
      <w:r>
        <w:t>H</w:t>
      </w:r>
      <w:r w:rsidR="7229C81B">
        <w:t>igher</w:t>
      </w:r>
      <w:r w:rsidR="0087420C">
        <w:t xml:space="preserve"> education alone has not created the racial wealth gap</w:t>
      </w:r>
      <w:r w:rsidR="003A3F7F">
        <w:t xml:space="preserve">, </w:t>
      </w:r>
      <w:r w:rsidR="0087420C">
        <w:t>nor can it alone eliminate the racial wealth gap.</w:t>
      </w:r>
      <w:r w:rsidR="7229C81B">
        <w:t xml:space="preserve"> </w:t>
      </w:r>
      <w:r w:rsidR="169275B3">
        <w:t>Recognizing and</w:t>
      </w:r>
      <w:r w:rsidR="0087420C">
        <w:t xml:space="preserve"> </w:t>
      </w:r>
      <w:r w:rsidR="00917261">
        <w:t xml:space="preserve">better understanding </w:t>
      </w:r>
      <w:r w:rsidR="000235E9">
        <w:t xml:space="preserve">the </w:t>
      </w:r>
      <w:r w:rsidR="00F205F8">
        <w:t>cyclical</w:t>
      </w:r>
      <w:r w:rsidR="000235E9">
        <w:t xml:space="preserve"> nature of </w:t>
      </w:r>
      <w:r w:rsidR="00285ABF">
        <w:t>this relationship</w:t>
      </w:r>
      <w:r w:rsidR="005D03B8">
        <w:t xml:space="preserve"> can </w:t>
      </w:r>
      <w:r w:rsidR="10FCCEA6">
        <w:t>illuminate</w:t>
      </w:r>
      <w:r w:rsidR="003304A3">
        <w:t xml:space="preserve"> </w:t>
      </w:r>
      <w:r w:rsidR="008D338E">
        <w:t xml:space="preserve">how </w:t>
      </w:r>
      <w:r w:rsidR="00BA2050">
        <w:t xml:space="preserve">higher education </w:t>
      </w:r>
      <w:r w:rsidR="00D53F65">
        <w:t xml:space="preserve">policies and practices can </w:t>
      </w:r>
      <w:r w:rsidR="4F40A124">
        <w:t xml:space="preserve">be designed to </w:t>
      </w:r>
      <w:r w:rsidR="00204C7E">
        <w:t>narrow</w:t>
      </w:r>
      <w:r w:rsidR="003A2050">
        <w:t xml:space="preserve"> rather than </w:t>
      </w:r>
      <w:r w:rsidR="4132C9F8">
        <w:t>exacerbat</w:t>
      </w:r>
      <w:r w:rsidR="44611B46">
        <w:t>e</w:t>
      </w:r>
      <w:r w:rsidR="003A2050">
        <w:t xml:space="preserve"> </w:t>
      </w:r>
      <w:r w:rsidR="001C5871">
        <w:t>racial wealth disparities</w:t>
      </w:r>
      <w:r w:rsidR="00122813">
        <w:t xml:space="preserve">. </w:t>
      </w:r>
    </w:p>
    <w:p w14:paraId="5AF31CFF" w14:textId="77777777" w:rsidR="004B3A1E" w:rsidRDefault="004B3A1E" w:rsidP="004B1105">
      <w:pPr>
        <w:pStyle w:val="NoSpacing"/>
      </w:pPr>
    </w:p>
    <w:p w14:paraId="77967E81" w14:textId="0E3E4CCE" w:rsidR="0022260A" w:rsidRPr="00826F41" w:rsidRDefault="00670F0D" w:rsidP="004B1105">
      <w:pPr>
        <w:pStyle w:val="Heading2"/>
      </w:pPr>
      <w:bookmarkStart w:id="9" w:name="_Toc167901744"/>
      <w:r>
        <w:t xml:space="preserve">How </w:t>
      </w:r>
      <w:r w:rsidR="001821A2" w:rsidRPr="005B5F94">
        <w:t xml:space="preserve">Wealth </w:t>
      </w:r>
      <w:r w:rsidR="00B3775B">
        <w:t>Affects</w:t>
      </w:r>
      <w:r w:rsidR="001821A2" w:rsidRPr="005B5F94">
        <w:t xml:space="preserve"> Higher Education</w:t>
      </w:r>
      <w:r w:rsidR="00787865">
        <w:t xml:space="preserve"> Experiences</w:t>
      </w:r>
      <w:r w:rsidR="000261F9">
        <w:t xml:space="preserve"> and Outcomes</w:t>
      </w:r>
      <w:bookmarkEnd w:id="9"/>
    </w:p>
    <w:p w14:paraId="43817999" w14:textId="77777777" w:rsidR="0022260A" w:rsidRDefault="0022260A" w:rsidP="004B1105">
      <w:pPr>
        <w:pStyle w:val="NoSpacing"/>
        <w:rPr>
          <w:b/>
          <w:highlight w:val="yellow"/>
        </w:rPr>
      </w:pPr>
    </w:p>
    <w:p w14:paraId="1EAF2180" w14:textId="65F9F8DA" w:rsidR="003A2A05" w:rsidRDefault="004E0F3D" w:rsidP="004B1105">
      <w:pPr>
        <w:pStyle w:val="NoSpacing"/>
        <w:rPr>
          <w:bCs/>
        </w:rPr>
      </w:pPr>
      <w:r>
        <w:rPr>
          <w:bCs/>
        </w:rPr>
        <w:t xml:space="preserve">Despite </w:t>
      </w:r>
      <w:r w:rsidR="304B8E94" w:rsidRPr="630D34D9">
        <w:t xml:space="preserve">a dearth of research on higher education and </w:t>
      </w:r>
      <w:r w:rsidR="21EDD677" w:rsidRPr="630D34D9">
        <w:t>wealth</w:t>
      </w:r>
      <w:r w:rsidR="0069158D">
        <w:rPr>
          <w:bCs/>
        </w:rPr>
        <w:t>,</w:t>
      </w:r>
      <w:r w:rsidR="00CD4749">
        <w:rPr>
          <w:bCs/>
        </w:rPr>
        <w:t xml:space="preserve"> </w:t>
      </w:r>
      <w:r w:rsidR="0060424F">
        <w:rPr>
          <w:bCs/>
        </w:rPr>
        <w:t>some</w:t>
      </w:r>
      <w:r w:rsidR="00192377">
        <w:rPr>
          <w:bCs/>
        </w:rPr>
        <w:t xml:space="preserve"> </w:t>
      </w:r>
      <w:r w:rsidR="2E2B0CF4" w:rsidRPr="630D34D9">
        <w:t>studies</w:t>
      </w:r>
      <w:r w:rsidR="00192377" w:rsidRPr="630D34D9">
        <w:t xml:space="preserve"> ha</w:t>
      </w:r>
      <w:r w:rsidR="71E70044" w:rsidRPr="630D34D9">
        <w:t>ve</w:t>
      </w:r>
      <w:r w:rsidR="00192377">
        <w:rPr>
          <w:bCs/>
        </w:rPr>
        <w:t xml:space="preserve"> examined how wealth </w:t>
      </w:r>
      <w:r w:rsidR="004F7279">
        <w:rPr>
          <w:bCs/>
        </w:rPr>
        <w:t xml:space="preserve">affects </w:t>
      </w:r>
      <w:r w:rsidR="00374ABB">
        <w:rPr>
          <w:bCs/>
        </w:rPr>
        <w:t>educational trajectories and attainment</w:t>
      </w:r>
      <w:r w:rsidR="009415C4">
        <w:rPr>
          <w:bCs/>
        </w:rPr>
        <w:t xml:space="preserve">. This small body of research has largely focused on </w:t>
      </w:r>
      <w:r w:rsidR="008D29CB">
        <w:rPr>
          <w:bCs/>
        </w:rPr>
        <w:t xml:space="preserve">differences in college-going </w:t>
      </w:r>
      <w:r w:rsidR="00C51917">
        <w:rPr>
          <w:bCs/>
        </w:rPr>
        <w:t xml:space="preserve">rates </w:t>
      </w:r>
      <w:r w:rsidR="008D29CB">
        <w:rPr>
          <w:bCs/>
        </w:rPr>
        <w:t xml:space="preserve">between </w:t>
      </w:r>
      <w:r w:rsidR="00BB3F4E">
        <w:rPr>
          <w:bCs/>
        </w:rPr>
        <w:t>more</w:t>
      </w:r>
      <w:r w:rsidR="00E6510A">
        <w:rPr>
          <w:bCs/>
        </w:rPr>
        <w:t xml:space="preserve"> and less wealthy students</w:t>
      </w:r>
      <w:r w:rsidR="000243AE">
        <w:rPr>
          <w:bCs/>
        </w:rPr>
        <w:t xml:space="preserve"> as well as</w:t>
      </w:r>
      <w:r w:rsidR="00E70AF5">
        <w:rPr>
          <w:bCs/>
        </w:rPr>
        <w:t xml:space="preserve"> differences </w:t>
      </w:r>
      <w:r w:rsidR="00403FE9">
        <w:rPr>
          <w:bCs/>
        </w:rPr>
        <w:t>in how these groups</w:t>
      </w:r>
      <w:r w:rsidR="00E70AF5">
        <w:rPr>
          <w:bCs/>
        </w:rPr>
        <w:t xml:space="preserve"> </w:t>
      </w:r>
      <w:r w:rsidR="008B2476">
        <w:rPr>
          <w:bCs/>
        </w:rPr>
        <w:t>financ</w:t>
      </w:r>
      <w:r w:rsidR="00403FE9">
        <w:rPr>
          <w:bCs/>
        </w:rPr>
        <w:t>e</w:t>
      </w:r>
      <w:r w:rsidR="00766BC3">
        <w:rPr>
          <w:bCs/>
        </w:rPr>
        <w:t xml:space="preserve"> their </w:t>
      </w:r>
      <w:r w:rsidR="00BA4AFD">
        <w:rPr>
          <w:bCs/>
        </w:rPr>
        <w:t xml:space="preserve">college </w:t>
      </w:r>
      <w:r w:rsidR="00766BC3">
        <w:rPr>
          <w:bCs/>
        </w:rPr>
        <w:t xml:space="preserve">educations, </w:t>
      </w:r>
      <w:r w:rsidR="00BA4AFD">
        <w:rPr>
          <w:bCs/>
        </w:rPr>
        <w:t>including through taking on student loan debt.</w:t>
      </w:r>
      <w:r w:rsidR="00766BC3">
        <w:rPr>
          <w:bCs/>
        </w:rPr>
        <w:t xml:space="preserve"> </w:t>
      </w:r>
    </w:p>
    <w:p w14:paraId="44A8C45E" w14:textId="77777777" w:rsidR="003A2A05" w:rsidRDefault="003A2A05" w:rsidP="004B1105">
      <w:pPr>
        <w:pStyle w:val="NoSpacing"/>
        <w:rPr>
          <w:bCs/>
        </w:rPr>
      </w:pPr>
    </w:p>
    <w:p w14:paraId="47D4AA6C" w14:textId="76095B32" w:rsidR="0068389F" w:rsidRDefault="6F66C2E4" w:rsidP="004B1105">
      <w:pPr>
        <w:pStyle w:val="NoSpacing"/>
        <w:rPr>
          <w:color w:val="000000"/>
        </w:rPr>
      </w:pPr>
      <w:r>
        <w:t>As with</w:t>
      </w:r>
      <w:r w:rsidR="00B70E10">
        <w:rPr>
          <w:bCs/>
        </w:rPr>
        <w:t xml:space="preserve"> income,</w:t>
      </w:r>
      <w:r w:rsidR="00650114" w:rsidDel="001D4940">
        <w:rPr>
          <w:bCs/>
        </w:rPr>
        <w:t xml:space="preserve"> </w:t>
      </w:r>
      <w:r w:rsidR="00F07175" w:rsidRPr="45302820">
        <w:rPr>
          <w:color w:val="000000"/>
        </w:rPr>
        <w:t>research suggests there is a positive relationship between wealth and college enrollment</w:t>
      </w:r>
      <w:r w:rsidR="00483A59" w:rsidRPr="45302820">
        <w:rPr>
          <w:color w:val="000000"/>
        </w:rPr>
        <w:t>,</w:t>
      </w:r>
      <w:r w:rsidR="009E16B4" w:rsidRPr="0067112E">
        <w:rPr>
          <w:rStyle w:val="EndnoteReference"/>
        </w:rPr>
        <w:endnoteReference w:id="19"/>
      </w:r>
      <w:r w:rsidR="00F07175" w:rsidRPr="34F723B3">
        <w:rPr>
          <w:color w:val="000000" w:themeColor="text1"/>
        </w:rPr>
        <w:t xml:space="preserve"> and</w:t>
      </w:r>
      <w:r w:rsidR="00F07175" w:rsidRPr="45302820">
        <w:rPr>
          <w:color w:val="000000"/>
        </w:rPr>
        <w:t xml:space="preserve"> especially </w:t>
      </w:r>
      <w:r w:rsidR="00F07175" w:rsidRPr="34F723B3">
        <w:rPr>
          <w:color w:val="000000" w:themeColor="text1"/>
        </w:rPr>
        <w:t>enrollment in</w:t>
      </w:r>
      <w:r w:rsidR="00F07175" w:rsidRPr="45302820">
        <w:rPr>
          <w:color w:val="000000"/>
        </w:rPr>
        <w:t xml:space="preserve"> selective four-year institutions.</w:t>
      </w:r>
      <w:r w:rsidR="009E16B4" w:rsidRPr="0067112E">
        <w:rPr>
          <w:rStyle w:val="EndnoteReference"/>
        </w:rPr>
        <w:endnoteReference w:id="20"/>
      </w:r>
      <w:r w:rsidR="00F07175" w:rsidRPr="45302820">
        <w:rPr>
          <w:color w:val="000000"/>
        </w:rPr>
        <w:t xml:space="preserve"> While </w:t>
      </w:r>
      <w:r w:rsidR="49E930E5" w:rsidRPr="34F723B3">
        <w:rPr>
          <w:color w:val="000000" w:themeColor="text1"/>
        </w:rPr>
        <w:t>part</w:t>
      </w:r>
      <w:r w:rsidR="00F07175" w:rsidRPr="45302820">
        <w:rPr>
          <w:color w:val="000000"/>
        </w:rPr>
        <w:t xml:space="preserve"> of this relationship can likely be attributed to the stronger academic preparation</w:t>
      </w:r>
      <w:r w:rsidR="00F07175" w:rsidRPr="34F723B3">
        <w:rPr>
          <w:color w:val="000000" w:themeColor="text1"/>
        </w:rPr>
        <w:t xml:space="preserve"> </w:t>
      </w:r>
      <w:r w:rsidR="00E80F12">
        <w:rPr>
          <w:color w:val="000000" w:themeColor="text1"/>
        </w:rPr>
        <w:t>offered</w:t>
      </w:r>
      <w:r w:rsidR="00DB6423">
        <w:rPr>
          <w:color w:val="000000" w:themeColor="text1"/>
        </w:rPr>
        <w:t xml:space="preserve"> in</w:t>
      </w:r>
      <w:r w:rsidR="59F8D590" w:rsidRPr="34F723B3">
        <w:rPr>
          <w:color w:val="000000" w:themeColor="text1"/>
        </w:rPr>
        <w:t xml:space="preserve"> </w:t>
      </w:r>
      <w:r w:rsidR="00954CB8">
        <w:rPr>
          <w:color w:val="000000" w:themeColor="text1"/>
        </w:rPr>
        <w:t>the</w:t>
      </w:r>
      <w:r w:rsidR="59F8D590" w:rsidRPr="34F723B3">
        <w:rPr>
          <w:color w:val="000000" w:themeColor="text1"/>
        </w:rPr>
        <w:t xml:space="preserve"> K</w:t>
      </w:r>
      <w:r w:rsidR="000869BC">
        <w:rPr>
          <w:color w:val="000000" w:themeColor="text1"/>
        </w:rPr>
        <w:t>–</w:t>
      </w:r>
      <w:r w:rsidR="59F8D590" w:rsidRPr="34F723B3">
        <w:rPr>
          <w:color w:val="000000" w:themeColor="text1"/>
        </w:rPr>
        <w:t>12 schools attended by children</w:t>
      </w:r>
      <w:r w:rsidR="0034617B" w:rsidRPr="45302820">
        <w:rPr>
          <w:color w:val="000000" w:themeColor="text1"/>
        </w:rPr>
        <w:t xml:space="preserve"> </w:t>
      </w:r>
      <w:r w:rsidR="00E71EED">
        <w:rPr>
          <w:color w:val="000000" w:themeColor="text1"/>
        </w:rPr>
        <w:t xml:space="preserve">from </w:t>
      </w:r>
      <w:r w:rsidR="006F2966" w:rsidRPr="45302820">
        <w:rPr>
          <w:color w:val="000000" w:themeColor="text1"/>
        </w:rPr>
        <w:t>higher</w:t>
      </w:r>
      <w:r w:rsidR="006F2966">
        <w:rPr>
          <w:color w:val="000000" w:themeColor="text1"/>
        </w:rPr>
        <w:t>-</w:t>
      </w:r>
      <w:r w:rsidR="0034617B" w:rsidRPr="45302820">
        <w:rPr>
          <w:color w:val="000000" w:themeColor="text1"/>
        </w:rPr>
        <w:t xml:space="preserve">wealth </w:t>
      </w:r>
      <w:r w:rsidR="007C5D7A" w:rsidRPr="45302820">
        <w:rPr>
          <w:color w:val="000000" w:themeColor="text1"/>
        </w:rPr>
        <w:t>families</w:t>
      </w:r>
      <w:r w:rsidR="00F07175" w:rsidRPr="45302820">
        <w:rPr>
          <w:color w:val="000000"/>
        </w:rPr>
        <w:t>, research indicates</w:t>
      </w:r>
      <w:r w:rsidR="00964A70">
        <w:rPr>
          <w:color w:val="000000"/>
        </w:rPr>
        <w:t xml:space="preserve"> that</w:t>
      </w:r>
      <w:r w:rsidR="00F07175" w:rsidRPr="45302820">
        <w:rPr>
          <w:color w:val="000000"/>
        </w:rPr>
        <w:t xml:space="preserve"> academic </w:t>
      </w:r>
      <w:r w:rsidR="00F07175" w:rsidRPr="45302820">
        <w:rPr>
          <w:color w:val="000000" w:themeColor="text1"/>
        </w:rPr>
        <w:t xml:space="preserve">preparation and </w:t>
      </w:r>
      <w:r w:rsidR="00F07175" w:rsidRPr="003E7E1B">
        <w:rPr>
          <w:color w:val="000000"/>
        </w:rPr>
        <w:t>achievement alone do not explain why wealthier students enroll at selective institutions at higher rates.</w:t>
      </w:r>
      <w:r w:rsidR="004A279A">
        <w:rPr>
          <w:rStyle w:val="EndnoteReference"/>
          <w:color w:val="000000"/>
        </w:rPr>
        <w:endnoteReference w:id="21"/>
      </w:r>
      <w:r w:rsidR="00F07175" w:rsidRPr="45302820">
        <w:rPr>
          <w:color w:val="000000"/>
        </w:rPr>
        <w:t xml:space="preserve"> </w:t>
      </w:r>
    </w:p>
    <w:p w14:paraId="42743C6A" w14:textId="77777777" w:rsidR="0068389F" w:rsidRDefault="0068389F" w:rsidP="004B1105">
      <w:pPr>
        <w:pStyle w:val="NoSpacing"/>
        <w:rPr>
          <w:rFonts w:cstheme="minorHAnsi"/>
          <w:color w:val="000000"/>
        </w:rPr>
      </w:pPr>
    </w:p>
    <w:p w14:paraId="74DD0B11" w14:textId="66E805F7" w:rsidR="001F11D3" w:rsidRPr="00480B8C" w:rsidRDefault="001D6025" w:rsidP="004B1105">
      <w:pPr>
        <w:pStyle w:val="NoSpacing"/>
        <w:rPr>
          <w:bCs/>
        </w:rPr>
      </w:pPr>
      <w:r w:rsidRPr="630D34D9">
        <w:rPr>
          <w:color w:val="000000"/>
        </w:rPr>
        <w:t xml:space="preserve">Decisions to enroll in college </w:t>
      </w:r>
      <w:r w:rsidRPr="630D34D9">
        <w:rPr>
          <w:color w:val="000000" w:themeColor="text1"/>
        </w:rPr>
        <w:t>can be</w:t>
      </w:r>
      <w:r w:rsidRPr="630D34D9">
        <w:rPr>
          <w:color w:val="000000"/>
        </w:rPr>
        <w:t xml:space="preserve"> shaped by students’ ability to finance college, </w:t>
      </w:r>
      <w:r w:rsidR="00B30B0F" w:rsidRPr="630D34D9">
        <w:rPr>
          <w:color w:val="000000"/>
        </w:rPr>
        <w:t xml:space="preserve">which can be influenced by family wealth. </w:t>
      </w:r>
      <w:r w:rsidR="00B225F5" w:rsidRPr="00C86351">
        <w:t xml:space="preserve">Several </w:t>
      </w:r>
      <w:r w:rsidR="00B225F5" w:rsidRPr="00E126B2">
        <w:t xml:space="preserve">studies have examined the impact of parental wealth </w:t>
      </w:r>
      <w:r w:rsidR="008D008F">
        <w:t>transfers</w:t>
      </w:r>
      <w:r w:rsidR="00D67A6C">
        <w:t>—parents providing their children direct financial assistance—</w:t>
      </w:r>
      <w:r w:rsidR="00B225F5" w:rsidRPr="00E126B2">
        <w:t>on students</w:t>
      </w:r>
      <w:r w:rsidR="00E53F7A" w:rsidRPr="00E126B2">
        <w:t>’</w:t>
      </w:r>
      <w:r w:rsidR="00B225F5" w:rsidRPr="00E126B2">
        <w:t xml:space="preserve"> ability to pay for college. The results consistently find</w:t>
      </w:r>
      <w:r w:rsidR="00E53F7A">
        <w:t xml:space="preserve"> that</w:t>
      </w:r>
      <w:r w:rsidR="00B225F5" w:rsidRPr="00E126B2">
        <w:t xml:space="preserve"> fewer Black students receive financial assistance from their families </w:t>
      </w:r>
      <w:r w:rsidR="00EF3572">
        <w:t>to pay</w:t>
      </w:r>
      <w:r w:rsidR="00B225F5" w:rsidRPr="00E126B2">
        <w:t xml:space="preserve"> for college than their White peers</w:t>
      </w:r>
      <w:r w:rsidR="0065296A">
        <w:t xml:space="preserve">. </w:t>
      </w:r>
      <w:r w:rsidR="00A67216">
        <w:t>This</w:t>
      </w:r>
      <w:r w:rsidR="00B71F44">
        <w:t xml:space="preserve"> is likely because Black families </w:t>
      </w:r>
      <w:r w:rsidR="00A67216">
        <w:t xml:space="preserve">have </w:t>
      </w:r>
      <w:r w:rsidR="00B225F5" w:rsidRPr="00E126B2">
        <w:t xml:space="preserve">limited financial resources </w:t>
      </w:r>
      <w:r w:rsidR="007377DF">
        <w:t xml:space="preserve">that can be used </w:t>
      </w:r>
      <w:r w:rsidR="00121024">
        <w:t xml:space="preserve">to </w:t>
      </w:r>
      <w:r w:rsidR="0014413B">
        <w:t xml:space="preserve">pay for college </w:t>
      </w:r>
      <w:r w:rsidR="00A67216">
        <w:t>when compared with White families</w:t>
      </w:r>
      <w:r w:rsidR="004854D3">
        <w:t>,</w:t>
      </w:r>
      <w:r w:rsidR="00B225F5" w:rsidRPr="00C86351">
        <w:rPr>
          <w:rStyle w:val="EndnoteReference"/>
        </w:rPr>
        <w:endnoteReference w:id="22"/>
      </w:r>
      <w:r w:rsidR="00B05B79">
        <w:t xml:space="preserve"> </w:t>
      </w:r>
      <w:r w:rsidR="00094F46">
        <w:t xml:space="preserve">since </w:t>
      </w:r>
      <w:r w:rsidR="1698B0C2">
        <w:t>Black families</w:t>
      </w:r>
      <w:r w:rsidR="1B13AE56">
        <w:t xml:space="preserve"> </w:t>
      </w:r>
      <w:r w:rsidR="05D80149">
        <w:t>tend to</w:t>
      </w:r>
      <w:r w:rsidR="00094F46">
        <w:t xml:space="preserve"> hold</w:t>
      </w:r>
      <w:r w:rsidR="00B37F7D">
        <w:t xml:space="preserve"> fewer liquid assets</w:t>
      </w:r>
      <w:r w:rsidR="007F3F7C">
        <w:t xml:space="preserve"> </w:t>
      </w:r>
      <w:r w:rsidR="00C402DC">
        <w:t xml:space="preserve">and </w:t>
      </w:r>
      <w:r w:rsidR="00755185">
        <w:t>less home equity</w:t>
      </w:r>
      <w:r w:rsidR="00676612">
        <w:t xml:space="preserve"> </w:t>
      </w:r>
      <w:r w:rsidR="0019508B">
        <w:t>than</w:t>
      </w:r>
      <w:r w:rsidR="00676612">
        <w:t xml:space="preserve"> similar White families</w:t>
      </w:r>
      <w:r w:rsidR="004854D3">
        <w:t>.</w:t>
      </w:r>
      <w:r w:rsidR="001F11D3">
        <w:rPr>
          <w:rStyle w:val="EndnoteReference"/>
        </w:rPr>
        <w:endnoteReference w:id="23"/>
      </w:r>
    </w:p>
    <w:p w14:paraId="64A92BD5" w14:textId="3C8C8AF8" w:rsidR="001F11D3" w:rsidRDefault="001F11D3" w:rsidP="004B1105">
      <w:pPr>
        <w:pStyle w:val="NoSpacing"/>
      </w:pPr>
    </w:p>
    <w:p w14:paraId="6BA7DB7B" w14:textId="5C8DA6FA" w:rsidR="004E5CAC" w:rsidRDefault="75E8270B" w:rsidP="004B1105">
      <w:pPr>
        <w:pStyle w:val="NoSpacing"/>
      </w:pPr>
      <w:r>
        <w:t>G</w:t>
      </w:r>
      <w:r w:rsidR="678B09E4">
        <w:t>enerational</w:t>
      </w:r>
      <w:r w:rsidR="00771302">
        <w:t xml:space="preserve"> </w:t>
      </w:r>
      <w:r w:rsidR="004E5CAC">
        <w:t xml:space="preserve">wealth-building in the </w:t>
      </w:r>
      <w:r w:rsidR="0067086F">
        <w:t xml:space="preserve">United States is also related </w:t>
      </w:r>
      <w:r w:rsidR="00111BED">
        <w:t xml:space="preserve">to </w:t>
      </w:r>
      <w:r w:rsidR="00C310EC">
        <w:t xml:space="preserve">the </w:t>
      </w:r>
      <w:r w:rsidR="004E5CAC">
        <w:t xml:space="preserve">ability to save for </w:t>
      </w:r>
      <w:r w:rsidR="73097DA0">
        <w:t>higher</w:t>
      </w:r>
      <w:r w:rsidR="004E5CAC">
        <w:t xml:space="preserve"> education </w:t>
      </w:r>
      <w:r w:rsidR="00C773AC">
        <w:t>and</w:t>
      </w:r>
      <w:r w:rsidR="004E5CAC">
        <w:t xml:space="preserve"> help defray college costs. </w:t>
      </w:r>
      <w:r w:rsidR="75B5B2E0">
        <w:t>R</w:t>
      </w:r>
      <w:r w:rsidR="004E5CAC">
        <w:t xml:space="preserve">esearch on the impact of parental saving for college attendance </w:t>
      </w:r>
      <w:r w:rsidR="003B7687">
        <w:t xml:space="preserve">has </w:t>
      </w:r>
      <w:r w:rsidR="004E5CAC">
        <w:t xml:space="preserve">produced mixed results. </w:t>
      </w:r>
      <w:r w:rsidR="004E5CAC" w:rsidRPr="00045C51">
        <w:t>Studies</w:t>
      </w:r>
      <w:r w:rsidR="004E5CAC" w:rsidRPr="00045C51" w:rsidDel="00722A18">
        <w:t xml:space="preserve"> </w:t>
      </w:r>
      <w:r w:rsidR="00722A18" w:rsidRPr="00045C51">
        <w:t xml:space="preserve">that </w:t>
      </w:r>
      <w:r w:rsidR="004E5CAC" w:rsidRPr="00045C51">
        <w:t xml:space="preserve">do not </w:t>
      </w:r>
      <w:r w:rsidR="56BB1F93" w:rsidRPr="00045C51">
        <w:t>con</w:t>
      </w:r>
      <w:r w:rsidR="004E5CAC" w:rsidRPr="00045C51">
        <w:t xml:space="preserve">trol for academic achievement have found </w:t>
      </w:r>
      <w:r w:rsidR="319BDB0E" w:rsidRPr="00045C51">
        <w:t>a signif</w:t>
      </w:r>
      <w:r w:rsidR="00DB2308" w:rsidRPr="00045C51">
        <w:t>ic</w:t>
      </w:r>
      <w:r w:rsidR="319BDB0E" w:rsidRPr="00045C51">
        <w:t>ant and positive link between</w:t>
      </w:r>
      <w:r w:rsidR="004E5CAC" w:rsidRPr="00045C51">
        <w:t xml:space="preserve"> dedicated </w:t>
      </w:r>
      <w:r w:rsidR="006858F1" w:rsidRPr="00045C51">
        <w:t xml:space="preserve">college savings </w:t>
      </w:r>
      <w:r w:rsidR="004E5CAC" w:rsidRPr="00045C51">
        <w:t xml:space="preserve">accounts </w:t>
      </w:r>
      <w:r w:rsidR="7248D9C6" w:rsidRPr="00045C51">
        <w:t xml:space="preserve">and college </w:t>
      </w:r>
      <w:r w:rsidR="56BB1F93" w:rsidRPr="00045C51">
        <w:t>enroll</w:t>
      </w:r>
      <w:r w:rsidR="4CF77F22" w:rsidRPr="00045C51">
        <w:t>ment</w:t>
      </w:r>
      <w:r w:rsidR="00BF4373" w:rsidRPr="00045C51">
        <w:t>,</w:t>
      </w:r>
      <w:r w:rsidR="004E5CAC" w:rsidRPr="00045C51">
        <w:rPr>
          <w:rStyle w:val="EndnoteReference"/>
        </w:rPr>
        <w:endnoteReference w:id="24"/>
      </w:r>
      <w:r w:rsidR="004E5CAC" w:rsidRPr="00045C51">
        <w:t xml:space="preserve"> while studies </w:t>
      </w:r>
      <w:r w:rsidR="00F8772F" w:rsidRPr="00045C51">
        <w:t>that</w:t>
      </w:r>
      <w:r w:rsidR="004E5CAC" w:rsidRPr="00045C51">
        <w:t xml:space="preserve"> control for achievement find </w:t>
      </w:r>
      <w:r w:rsidR="2E08B48F" w:rsidRPr="00045C51">
        <w:t xml:space="preserve">no </w:t>
      </w:r>
      <w:r w:rsidR="00DB2308" w:rsidRPr="00045C51">
        <w:t>significant</w:t>
      </w:r>
      <w:r w:rsidR="2E08B48F" w:rsidRPr="00045C51">
        <w:t xml:space="preserve"> relationship</w:t>
      </w:r>
      <w:r w:rsidR="004860DA" w:rsidRPr="00045C51">
        <w:t>.</w:t>
      </w:r>
      <w:r w:rsidR="004E5CAC" w:rsidRPr="00045C51">
        <w:rPr>
          <w:rStyle w:val="EndnoteReference"/>
        </w:rPr>
        <w:endnoteReference w:id="25"/>
      </w:r>
      <w:r w:rsidR="56BB1F93" w:rsidRPr="00045C51">
        <w:t xml:space="preserve"> </w:t>
      </w:r>
      <w:r w:rsidR="06FB67E9" w:rsidRPr="00045C51">
        <w:t>However,</w:t>
      </w:r>
      <w:r w:rsidR="004E5CAC" w:rsidRPr="00045C51">
        <w:t xml:space="preserve"> children of parents who create and contribute to </w:t>
      </w:r>
      <w:r w:rsidR="00E2103D" w:rsidRPr="00045C51">
        <w:t>education</w:t>
      </w:r>
      <w:r w:rsidR="00E2103D">
        <w:t>-</w:t>
      </w:r>
      <w:r w:rsidR="004E5CAC" w:rsidRPr="00045C51">
        <w:t>specific savings accounts are more likely to attain college degrees</w:t>
      </w:r>
      <w:r w:rsidR="004E5CAC" w:rsidRPr="00045C51">
        <w:rPr>
          <w:rStyle w:val="EndnoteReference"/>
        </w:rPr>
        <w:endnoteReference w:id="26"/>
      </w:r>
      <w:r w:rsidR="004E5CAC" w:rsidRPr="00045C51">
        <w:t xml:space="preserve"> and </w:t>
      </w:r>
      <w:r w:rsidR="7151A15E" w:rsidRPr="00045C51">
        <w:t>take on</w:t>
      </w:r>
      <w:r w:rsidR="00576B4E" w:rsidRPr="00045C51">
        <w:t xml:space="preserve"> less </w:t>
      </w:r>
      <w:r w:rsidR="004E5CAC" w:rsidRPr="00045C51">
        <w:t>student debt.</w:t>
      </w:r>
      <w:r w:rsidR="004E5CAC" w:rsidRPr="00045C51">
        <w:rPr>
          <w:rStyle w:val="EndnoteReference"/>
        </w:rPr>
        <w:endnoteReference w:id="27"/>
      </w:r>
      <w:r w:rsidR="00C20683" w:rsidRPr="00045C51">
        <w:t xml:space="preserve"> </w:t>
      </w:r>
    </w:p>
    <w:p w14:paraId="753763F0" w14:textId="77777777" w:rsidR="004E5CAC" w:rsidRDefault="004E5CAC" w:rsidP="004B1105">
      <w:pPr>
        <w:pStyle w:val="NoSpacing"/>
      </w:pPr>
    </w:p>
    <w:p w14:paraId="6CB14193" w14:textId="0E7372B5" w:rsidR="00597DA3" w:rsidRPr="009E79A4" w:rsidRDefault="0F92E8B4" w:rsidP="004B1105">
      <w:pPr>
        <w:pStyle w:val="NoSpacing"/>
        <w:rPr>
          <w:bCs/>
        </w:rPr>
      </w:pPr>
      <w:r>
        <w:lastRenderedPageBreak/>
        <w:t>Furthermore</w:t>
      </w:r>
      <w:r w:rsidR="00584F5F">
        <w:t xml:space="preserve">, students with higher-wealth parents </w:t>
      </w:r>
      <w:r w:rsidR="00E5454D">
        <w:t>have been shown to borrow less in student loans</w:t>
      </w:r>
      <w:r w:rsidR="003050D7" w:rsidRPr="004B6ABC">
        <w:t xml:space="preserve">, though this </w:t>
      </w:r>
      <w:r w:rsidR="00670939" w:rsidRPr="009C6BFD">
        <w:t>relationship</w:t>
      </w:r>
      <w:r w:rsidR="003050D7" w:rsidRPr="004B6ABC">
        <w:t xml:space="preserve"> is </w:t>
      </w:r>
      <w:r w:rsidR="00670939">
        <w:t>weaker for</w:t>
      </w:r>
      <w:r w:rsidR="003050D7" w:rsidRPr="004B6ABC">
        <w:t xml:space="preserve"> Black students </w:t>
      </w:r>
      <w:r w:rsidR="4461E6F2" w:rsidRPr="004B6ABC">
        <w:t xml:space="preserve">compared </w:t>
      </w:r>
      <w:r w:rsidR="008A4406">
        <w:t>with</w:t>
      </w:r>
      <w:r w:rsidR="003050D7" w:rsidRPr="004B6ABC">
        <w:t xml:space="preserve"> their White peers</w:t>
      </w:r>
      <w:r w:rsidR="004854D3">
        <w:t>.</w:t>
      </w:r>
      <w:r w:rsidR="003050D7" w:rsidRPr="003050D7">
        <w:rPr>
          <w:rStyle w:val="EndnoteReference"/>
        </w:rPr>
        <w:endnoteReference w:id="28"/>
      </w:r>
      <w:r w:rsidR="00E70DBF">
        <w:rPr>
          <w:bCs/>
        </w:rPr>
        <w:t xml:space="preserve"> </w:t>
      </w:r>
      <w:r w:rsidR="00476C9D">
        <w:rPr>
          <w:bCs/>
        </w:rPr>
        <w:t>Studies investigat</w:t>
      </w:r>
      <w:r w:rsidR="00DB3A3A">
        <w:rPr>
          <w:bCs/>
        </w:rPr>
        <w:t>ing</w:t>
      </w:r>
      <w:r w:rsidR="00476C9D">
        <w:rPr>
          <w:bCs/>
        </w:rPr>
        <w:t xml:space="preserve"> the relationship between student loan debt and </w:t>
      </w:r>
      <w:r w:rsidR="001242CD">
        <w:rPr>
          <w:bCs/>
        </w:rPr>
        <w:t>higher education outcomes</w:t>
      </w:r>
      <w:r w:rsidR="00DB3A3A">
        <w:rPr>
          <w:bCs/>
        </w:rPr>
        <w:t xml:space="preserve"> </w:t>
      </w:r>
      <w:r w:rsidR="004D314E">
        <w:rPr>
          <w:bCs/>
        </w:rPr>
        <w:t>shows</w:t>
      </w:r>
      <w:r w:rsidR="00DB3A3A">
        <w:rPr>
          <w:bCs/>
        </w:rPr>
        <w:t xml:space="preserve"> mixed results</w:t>
      </w:r>
      <w:r w:rsidR="001242CD">
        <w:rPr>
          <w:bCs/>
        </w:rPr>
        <w:t xml:space="preserve">. </w:t>
      </w:r>
      <w:r w:rsidR="007E00CD">
        <w:rPr>
          <w:bCs/>
        </w:rPr>
        <w:t>Evidence from a</w:t>
      </w:r>
      <w:r w:rsidR="001C18B7">
        <w:rPr>
          <w:bCs/>
        </w:rPr>
        <w:t xml:space="preserve">n </w:t>
      </w:r>
      <w:r w:rsidR="007E00CD">
        <w:rPr>
          <w:bCs/>
        </w:rPr>
        <w:t>experimental study</w:t>
      </w:r>
      <w:r w:rsidR="00EB3B58">
        <w:rPr>
          <w:bCs/>
        </w:rPr>
        <w:t xml:space="preserve"> </w:t>
      </w:r>
      <w:r w:rsidR="00793C43">
        <w:rPr>
          <w:bCs/>
        </w:rPr>
        <w:t>of loan offers</w:t>
      </w:r>
      <w:r w:rsidR="00B411C0">
        <w:rPr>
          <w:bCs/>
        </w:rPr>
        <w:t xml:space="preserve"> for community college students</w:t>
      </w:r>
      <w:r w:rsidR="008C0888">
        <w:rPr>
          <w:rStyle w:val="EndnoteReference"/>
          <w:bCs/>
        </w:rPr>
        <w:endnoteReference w:id="29"/>
      </w:r>
      <w:r w:rsidR="00793C43">
        <w:rPr>
          <w:bCs/>
        </w:rPr>
        <w:t xml:space="preserve"> </w:t>
      </w:r>
      <w:r w:rsidR="00EB3B58">
        <w:rPr>
          <w:bCs/>
        </w:rPr>
        <w:t>suggests</w:t>
      </w:r>
      <w:r w:rsidR="00621BDD">
        <w:rPr>
          <w:bCs/>
        </w:rPr>
        <w:t xml:space="preserve"> that</w:t>
      </w:r>
      <w:r w:rsidR="00EB3B58">
        <w:rPr>
          <w:bCs/>
        </w:rPr>
        <w:t xml:space="preserve"> having access to loan</w:t>
      </w:r>
      <w:r w:rsidR="00D310DE">
        <w:rPr>
          <w:bCs/>
        </w:rPr>
        <w:t xml:space="preserve">s </w:t>
      </w:r>
      <w:r w:rsidR="000C31EC">
        <w:rPr>
          <w:bCs/>
        </w:rPr>
        <w:t xml:space="preserve">may </w:t>
      </w:r>
      <w:r w:rsidR="00B411C0">
        <w:rPr>
          <w:bCs/>
        </w:rPr>
        <w:t>improve some academic outcomes</w:t>
      </w:r>
      <w:r w:rsidR="00621BDD">
        <w:rPr>
          <w:bCs/>
        </w:rPr>
        <w:t>,</w:t>
      </w:r>
      <w:r w:rsidR="00B411C0">
        <w:rPr>
          <w:bCs/>
        </w:rPr>
        <w:t xml:space="preserve"> including </w:t>
      </w:r>
      <w:r w:rsidR="00C65739">
        <w:rPr>
          <w:bCs/>
        </w:rPr>
        <w:t>GPA</w:t>
      </w:r>
      <w:r w:rsidR="004D6CC6">
        <w:rPr>
          <w:bCs/>
        </w:rPr>
        <w:t>, credits earned</w:t>
      </w:r>
      <w:r w:rsidR="00437FB4">
        <w:rPr>
          <w:bCs/>
        </w:rPr>
        <w:t xml:space="preserve">, and </w:t>
      </w:r>
      <w:r w:rsidR="007E00CD">
        <w:rPr>
          <w:bCs/>
        </w:rPr>
        <w:t>the likelihood of transferring</w:t>
      </w:r>
      <w:r w:rsidR="00C65739">
        <w:rPr>
          <w:bCs/>
        </w:rPr>
        <w:t xml:space="preserve"> to four-year institution</w:t>
      </w:r>
      <w:r w:rsidR="007E00CD">
        <w:rPr>
          <w:bCs/>
        </w:rPr>
        <w:t>s</w:t>
      </w:r>
      <w:r w:rsidR="00D41040">
        <w:rPr>
          <w:bCs/>
        </w:rPr>
        <w:t>, though not necessarily degree completion</w:t>
      </w:r>
      <w:r w:rsidR="40DF4BC5" w:rsidRPr="630D34D9">
        <w:t>,</w:t>
      </w:r>
      <w:r w:rsidR="00A907B6">
        <w:rPr>
          <w:rStyle w:val="EndnoteReference"/>
          <w:bCs/>
        </w:rPr>
        <w:endnoteReference w:id="30"/>
      </w:r>
      <w:r w:rsidR="00A93A36">
        <w:rPr>
          <w:bCs/>
        </w:rPr>
        <w:t xml:space="preserve"> </w:t>
      </w:r>
      <w:r w:rsidR="008D2620">
        <w:rPr>
          <w:bCs/>
        </w:rPr>
        <w:t>a finding</w:t>
      </w:r>
      <w:r w:rsidR="00A93A36">
        <w:rPr>
          <w:bCs/>
        </w:rPr>
        <w:t xml:space="preserve"> also </w:t>
      </w:r>
      <w:r w:rsidR="008D2620">
        <w:rPr>
          <w:bCs/>
        </w:rPr>
        <w:t>observed</w:t>
      </w:r>
      <w:r w:rsidR="00A93A36">
        <w:rPr>
          <w:bCs/>
        </w:rPr>
        <w:t xml:space="preserve"> in earlier </w:t>
      </w:r>
      <w:r w:rsidR="008D2620">
        <w:rPr>
          <w:bCs/>
        </w:rPr>
        <w:t>research</w:t>
      </w:r>
      <w:r w:rsidR="00A87F67">
        <w:rPr>
          <w:bCs/>
        </w:rPr>
        <w:t>.</w:t>
      </w:r>
      <w:r w:rsidR="00A93A36" w:rsidRPr="630D34D9">
        <w:rPr>
          <w:rStyle w:val="EndnoteReference"/>
        </w:rPr>
        <w:endnoteReference w:id="31"/>
      </w:r>
      <w:r w:rsidR="00C65739">
        <w:rPr>
          <w:bCs/>
        </w:rPr>
        <w:t xml:space="preserve"> </w:t>
      </w:r>
      <w:r w:rsidR="5211B692">
        <w:rPr>
          <w:bCs/>
        </w:rPr>
        <w:t>Research on</w:t>
      </w:r>
      <w:r w:rsidR="00863EFF">
        <w:rPr>
          <w:bCs/>
        </w:rPr>
        <w:t xml:space="preserve"> the impact of</w:t>
      </w:r>
      <w:r w:rsidR="5211B692">
        <w:rPr>
          <w:bCs/>
        </w:rPr>
        <w:t xml:space="preserve"> student loan debt on graduation rates</w:t>
      </w:r>
      <w:r w:rsidR="00610466">
        <w:rPr>
          <w:bCs/>
        </w:rPr>
        <w:t xml:space="preserve"> </w:t>
      </w:r>
      <w:r w:rsidR="004D22CE">
        <w:rPr>
          <w:bCs/>
        </w:rPr>
        <w:t>for</w:t>
      </w:r>
      <w:r w:rsidR="00584333">
        <w:rPr>
          <w:bCs/>
        </w:rPr>
        <w:t xml:space="preserve"> </w:t>
      </w:r>
      <w:r w:rsidR="00610466">
        <w:rPr>
          <w:bCs/>
        </w:rPr>
        <w:t>students at</w:t>
      </w:r>
      <w:r w:rsidR="004A560D">
        <w:rPr>
          <w:bCs/>
        </w:rPr>
        <w:t xml:space="preserve"> four-year institutions</w:t>
      </w:r>
      <w:r w:rsidR="1E0FD73A" w:rsidRPr="630D34D9">
        <w:t xml:space="preserve"> show</w:t>
      </w:r>
      <w:r w:rsidR="00683824">
        <w:t>s</w:t>
      </w:r>
      <w:r w:rsidR="1E0FD73A" w:rsidRPr="630D34D9">
        <w:t xml:space="preserve"> mixed results.</w:t>
      </w:r>
      <w:r w:rsidR="00F523C2" w:rsidRPr="630D34D9">
        <w:rPr>
          <w:rStyle w:val="EndnoteReference"/>
        </w:rPr>
        <w:endnoteReference w:id="32"/>
      </w:r>
      <w:r w:rsidR="00610466" w:rsidRPr="630D34D9">
        <w:t xml:space="preserve"> </w:t>
      </w:r>
      <w:r w:rsidR="01422BCF" w:rsidRPr="630D34D9">
        <w:t>Higher</w:t>
      </w:r>
      <w:r w:rsidR="00D92660">
        <w:rPr>
          <w:bCs/>
        </w:rPr>
        <w:t xml:space="preserve"> loan debt </w:t>
      </w:r>
      <w:r w:rsidR="00BD3153">
        <w:rPr>
          <w:bCs/>
        </w:rPr>
        <w:t xml:space="preserve">is associated with </w:t>
      </w:r>
      <w:r w:rsidR="00D92660">
        <w:rPr>
          <w:bCs/>
        </w:rPr>
        <w:t xml:space="preserve">significantly </w:t>
      </w:r>
      <w:r w:rsidR="00BD3153">
        <w:t>lower</w:t>
      </w:r>
      <w:r w:rsidR="00D92660">
        <w:rPr>
          <w:bCs/>
        </w:rPr>
        <w:t xml:space="preserve"> degree completion for Black </w:t>
      </w:r>
      <w:r w:rsidR="00216E66">
        <w:rPr>
          <w:bCs/>
        </w:rPr>
        <w:t xml:space="preserve">students </w:t>
      </w:r>
      <w:r w:rsidR="00BD3153">
        <w:rPr>
          <w:bCs/>
        </w:rPr>
        <w:t xml:space="preserve">and </w:t>
      </w:r>
      <w:r w:rsidR="00220FA3">
        <w:rPr>
          <w:bCs/>
        </w:rPr>
        <w:t xml:space="preserve">modestly </w:t>
      </w:r>
      <w:r w:rsidR="00BD3153">
        <w:rPr>
          <w:bCs/>
        </w:rPr>
        <w:t xml:space="preserve">higher </w:t>
      </w:r>
      <w:r w:rsidR="008E7FB1">
        <w:rPr>
          <w:bCs/>
        </w:rPr>
        <w:t>completion for</w:t>
      </w:r>
      <w:r w:rsidR="00220FA3">
        <w:rPr>
          <w:bCs/>
        </w:rPr>
        <w:t xml:space="preserve"> </w:t>
      </w:r>
      <w:r w:rsidR="00D92660">
        <w:rPr>
          <w:bCs/>
        </w:rPr>
        <w:t>White students</w:t>
      </w:r>
      <w:r w:rsidR="004854D3">
        <w:rPr>
          <w:bCs/>
        </w:rPr>
        <w:t>,</w:t>
      </w:r>
      <w:r w:rsidR="00F87399">
        <w:rPr>
          <w:rStyle w:val="EndnoteReference"/>
          <w:bCs/>
        </w:rPr>
        <w:endnoteReference w:id="33"/>
      </w:r>
      <w:r w:rsidR="00D92660">
        <w:rPr>
          <w:bCs/>
        </w:rPr>
        <w:t xml:space="preserve"> suggesting</w:t>
      </w:r>
      <w:r w:rsidR="00E21ECA">
        <w:rPr>
          <w:bCs/>
        </w:rPr>
        <w:t xml:space="preserve"> that</w:t>
      </w:r>
      <w:r w:rsidR="00D92660">
        <w:rPr>
          <w:bCs/>
        </w:rPr>
        <w:t xml:space="preserve"> these groups have different</w:t>
      </w:r>
      <w:r w:rsidR="003050D7">
        <w:rPr>
          <w:bCs/>
        </w:rPr>
        <w:t xml:space="preserve"> tolerances for this type of debt.</w:t>
      </w:r>
      <w:r w:rsidR="00106E31">
        <w:rPr>
          <w:bCs/>
        </w:rPr>
        <w:t xml:space="preserve"> </w:t>
      </w:r>
    </w:p>
    <w:p w14:paraId="6425238D" w14:textId="77777777" w:rsidR="006D6D56" w:rsidRDefault="006D6D56" w:rsidP="004B1105">
      <w:pPr>
        <w:pStyle w:val="NoSpacing"/>
        <w:rPr>
          <w:b/>
          <w:highlight w:val="yellow"/>
        </w:rPr>
      </w:pPr>
    </w:p>
    <w:p w14:paraId="3EE9D621" w14:textId="31B6F7D5" w:rsidR="00A03CE5" w:rsidRPr="004C0C85" w:rsidRDefault="00061826" w:rsidP="004B1105">
      <w:pPr>
        <w:pStyle w:val="NoSpacing"/>
        <w:rPr>
          <w:b/>
        </w:rPr>
      </w:pPr>
      <w:r w:rsidRPr="004C0C85">
        <w:t>Finally, research on</w:t>
      </w:r>
      <w:r w:rsidR="00A03CE5" w:rsidRPr="004C0C85">
        <w:t xml:space="preserve"> </w:t>
      </w:r>
      <w:r w:rsidR="00DD5256" w:rsidRPr="004C0C85">
        <w:t>the impacts of</w:t>
      </w:r>
      <w:r w:rsidR="00A03CE5" w:rsidRPr="004C0C85">
        <w:t xml:space="preserve"> wealth </w:t>
      </w:r>
      <w:r w:rsidR="00DD5256" w:rsidRPr="004C0C85">
        <w:t xml:space="preserve">on </w:t>
      </w:r>
      <w:r w:rsidR="00D72D6A" w:rsidRPr="004C0C85">
        <w:t xml:space="preserve">college completion </w:t>
      </w:r>
      <w:r w:rsidR="00142F24">
        <w:t>are</w:t>
      </w:r>
      <w:r w:rsidR="00D72D6A" w:rsidRPr="004C0C85">
        <w:t xml:space="preserve"> conflicting</w:t>
      </w:r>
      <w:r w:rsidR="00142F24">
        <w:t>,</w:t>
      </w:r>
      <w:r w:rsidR="00DD5256" w:rsidRPr="004C0C85">
        <w:t xml:space="preserve"> </w:t>
      </w:r>
      <w:r w:rsidR="0095102F" w:rsidRPr="004C0C85">
        <w:t xml:space="preserve">with </w:t>
      </w:r>
      <w:r w:rsidR="00A5386B" w:rsidRPr="004C0C85">
        <w:t xml:space="preserve">several </w:t>
      </w:r>
      <w:r w:rsidRPr="004C0C85">
        <w:t xml:space="preserve">studies </w:t>
      </w:r>
      <w:r w:rsidR="00A5386B" w:rsidRPr="004C0C85">
        <w:t>finding net worth to be significantly and positively related to completion</w:t>
      </w:r>
      <w:r w:rsidR="00A03CE5" w:rsidRPr="004C0C85">
        <w:rPr>
          <w:rStyle w:val="EndnoteReference"/>
        </w:rPr>
        <w:endnoteReference w:id="34"/>
      </w:r>
      <w:r w:rsidR="002562F5" w:rsidRPr="004C0C85">
        <w:t xml:space="preserve"> </w:t>
      </w:r>
      <w:r w:rsidR="00A630F9">
        <w:t>and</w:t>
      </w:r>
      <w:r w:rsidR="00A630F9" w:rsidRPr="004C0C85">
        <w:t xml:space="preserve"> </w:t>
      </w:r>
      <w:r w:rsidR="00534DB5" w:rsidRPr="004C0C85">
        <w:t>other</w:t>
      </w:r>
      <w:r w:rsidRPr="004C0C85">
        <w:t>s</w:t>
      </w:r>
      <w:r w:rsidR="00534DB5" w:rsidRPr="004C0C85">
        <w:t xml:space="preserve"> find</w:t>
      </w:r>
      <w:r w:rsidR="00A630F9">
        <w:t>ing</w:t>
      </w:r>
      <w:r w:rsidR="00534DB5" w:rsidRPr="004C0C85">
        <w:t xml:space="preserve"> no effect or relationship</w:t>
      </w:r>
      <w:r w:rsidR="00ED0820" w:rsidRPr="004C0C85">
        <w:t>.</w:t>
      </w:r>
      <w:r w:rsidR="00534DB5" w:rsidRPr="004C0C85">
        <w:rPr>
          <w:rStyle w:val="EndnoteReference"/>
        </w:rPr>
        <w:endnoteReference w:id="35"/>
      </w:r>
      <w:r w:rsidR="00CD105C" w:rsidRPr="004C0C85">
        <w:t xml:space="preserve"> </w:t>
      </w:r>
      <w:r w:rsidR="001E56A5" w:rsidRPr="004C0C85">
        <w:t>When examining the impact of assets</w:t>
      </w:r>
      <w:r w:rsidR="00B80FE4" w:rsidRPr="004C0C85">
        <w:t>, several studies</w:t>
      </w:r>
      <w:r w:rsidR="00CD105C" w:rsidRPr="004C0C85">
        <w:t xml:space="preserve"> find </w:t>
      </w:r>
      <w:r w:rsidR="00A56950" w:rsidRPr="004C0C85">
        <w:t xml:space="preserve">a significant relationship between </w:t>
      </w:r>
      <w:r w:rsidR="00CD105C" w:rsidRPr="004C0C85">
        <w:t xml:space="preserve">nonfinancial assets </w:t>
      </w:r>
      <w:r w:rsidR="00A56950" w:rsidRPr="004C0C85">
        <w:t>and completion</w:t>
      </w:r>
      <w:r w:rsidR="008756C2" w:rsidRPr="004C0C85">
        <w:rPr>
          <w:rStyle w:val="EndnoteReference"/>
        </w:rPr>
        <w:endnoteReference w:id="36"/>
      </w:r>
      <w:r w:rsidR="001E56A5" w:rsidRPr="004C0C85">
        <w:t xml:space="preserve"> as well as significant and negative impacts of unsecured debt.</w:t>
      </w:r>
      <w:r w:rsidR="00116F38" w:rsidRPr="004C0C85">
        <w:t xml:space="preserve"> </w:t>
      </w:r>
      <w:r w:rsidR="00CD3A0D" w:rsidRPr="004C0C85">
        <w:t xml:space="preserve">Moreover, </w:t>
      </w:r>
      <w:r w:rsidR="0019729F" w:rsidRPr="004C0C85">
        <w:t xml:space="preserve">factoring in household assets </w:t>
      </w:r>
      <w:r w:rsidR="00CD3A0D" w:rsidRPr="004C0C85">
        <w:t xml:space="preserve">is found to </w:t>
      </w:r>
      <w:r w:rsidR="0019729F" w:rsidRPr="004C0C85">
        <w:t>explain a substantial portion of the gap in college completion between Latinx and White, and Black and White students</w:t>
      </w:r>
      <w:r w:rsidR="0040449A" w:rsidRPr="004C0C85">
        <w:t>.</w:t>
      </w:r>
      <w:r w:rsidR="00CD3A0D" w:rsidRPr="004C0C85">
        <w:t xml:space="preserve"> </w:t>
      </w:r>
      <w:r w:rsidR="004955E1" w:rsidRPr="004C0C85">
        <w:t>One study</w:t>
      </w:r>
      <w:r w:rsidR="0010596A">
        <w:t>,</w:t>
      </w:r>
      <w:r w:rsidR="004955E1" w:rsidRPr="004C0C85">
        <w:t xml:space="preserve"> which conducts separate analyses by race and ethnicity</w:t>
      </w:r>
      <w:r w:rsidR="0010596A">
        <w:t>,</w:t>
      </w:r>
      <w:r w:rsidR="004955E1" w:rsidRPr="004C0C85">
        <w:t xml:space="preserve"> finds that financial assets are related to college completion </w:t>
      </w:r>
      <w:r w:rsidR="009074EE" w:rsidRPr="004C0C85">
        <w:t xml:space="preserve">only </w:t>
      </w:r>
      <w:r w:rsidR="004955E1" w:rsidRPr="004C0C85">
        <w:t>for White students,</w:t>
      </w:r>
      <w:r w:rsidR="009074EE" w:rsidRPr="004C0C85">
        <w:t xml:space="preserve"> while</w:t>
      </w:r>
      <w:r w:rsidR="004955E1" w:rsidRPr="004C0C85">
        <w:t xml:space="preserve"> </w:t>
      </w:r>
      <w:r w:rsidR="009074EE" w:rsidRPr="004C0C85">
        <w:t xml:space="preserve">nonfinancial assets and unsecured debt </w:t>
      </w:r>
      <w:r w:rsidR="004C0C85" w:rsidRPr="004C0C85">
        <w:t>are</w:t>
      </w:r>
      <w:r w:rsidR="009074EE" w:rsidRPr="004C0C85">
        <w:t xml:space="preserve"> </w:t>
      </w:r>
      <w:r w:rsidR="002F5D88">
        <w:t xml:space="preserve">negatively </w:t>
      </w:r>
      <w:r w:rsidR="009074EE" w:rsidRPr="004C0C85">
        <w:t xml:space="preserve">related to </w:t>
      </w:r>
      <w:r w:rsidR="004C0C85" w:rsidRPr="004C0C85">
        <w:t>college completion for Latinx and White students.</w:t>
      </w:r>
      <w:r w:rsidR="004C0C85" w:rsidRPr="004C0C85">
        <w:rPr>
          <w:rStyle w:val="EndnoteReference"/>
        </w:rPr>
        <w:endnoteReference w:id="37"/>
      </w:r>
    </w:p>
    <w:p w14:paraId="4739DD3D" w14:textId="77777777" w:rsidR="00A03CE5" w:rsidRPr="004C3627" w:rsidRDefault="00A03CE5" w:rsidP="004B1105">
      <w:pPr>
        <w:pStyle w:val="NoSpacing"/>
        <w:rPr>
          <w:b/>
          <w:highlight w:val="yellow"/>
        </w:rPr>
      </w:pPr>
    </w:p>
    <w:p w14:paraId="41AEAAC6" w14:textId="2C8BB0EE" w:rsidR="001821A2" w:rsidRPr="00546B01" w:rsidRDefault="009A7705" w:rsidP="004B1105">
      <w:pPr>
        <w:pStyle w:val="Heading2"/>
      </w:pPr>
      <w:bookmarkStart w:id="10" w:name="_Toc167901745"/>
      <w:r>
        <w:t xml:space="preserve">How </w:t>
      </w:r>
      <w:r w:rsidR="001821A2" w:rsidRPr="00826F41">
        <w:t xml:space="preserve">Wealth </w:t>
      </w:r>
      <w:r>
        <w:t>is Affected by</w:t>
      </w:r>
      <w:r w:rsidR="001821A2" w:rsidRPr="00826F41">
        <w:t xml:space="preserve"> Higher Education</w:t>
      </w:r>
      <w:r>
        <w:t xml:space="preserve"> Experiences and Outcomes</w:t>
      </w:r>
      <w:bookmarkEnd w:id="10"/>
    </w:p>
    <w:p w14:paraId="3ED5ED13" w14:textId="247369FC" w:rsidR="0005056D" w:rsidRDefault="0005056D" w:rsidP="004B1105">
      <w:pPr>
        <w:pStyle w:val="NoSpacing"/>
        <w:rPr>
          <w:b/>
          <w:highlight w:val="yellow"/>
        </w:rPr>
      </w:pPr>
    </w:p>
    <w:p w14:paraId="5F728E75" w14:textId="6AD7D962" w:rsidR="00D75A81" w:rsidRDefault="009C4D10" w:rsidP="004B1105">
      <w:pPr>
        <w:pStyle w:val="NoSpacing"/>
        <w:rPr>
          <w:bCs/>
        </w:rPr>
      </w:pPr>
      <w:r w:rsidRPr="5E154477">
        <w:t>To</w:t>
      </w:r>
      <w:r w:rsidR="288EE46A" w:rsidRPr="00F16A38">
        <w:t xml:space="preserve"> help institutional leaders, researchers, and policymakers</w:t>
      </w:r>
      <w:r w:rsidR="288EE46A">
        <w:t xml:space="preserve"> better</w:t>
      </w:r>
      <w:r>
        <w:rPr>
          <w:bCs/>
        </w:rPr>
        <w:t xml:space="preserve"> understand the economic </w:t>
      </w:r>
      <w:r w:rsidR="009A5595">
        <w:rPr>
          <w:bCs/>
        </w:rPr>
        <w:t>returns of a higher education,</w:t>
      </w:r>
      <w:r w:rsidR="00AB3B68" w:rsidRPr="00775048">
        <w:rPr>
          <w:rStyle w:val="EndnoteReference"/>
        </w:rPr>
        <w:t xml:space="preserve"> </w:t>
      </w:r>
      <w:r w:rsidR="00FB0BEF">
        <w:rPr>
          <w:bCs/>
        </w:rPr>
        <w:t xml:space="preserve">the Postsecondary Value Commission </w:t>
      </w:r>
      <w:r w:rsidR="0077093C">
        <w:rPr>
          <w:bCs/>
        </w:rPr>
        <w:t xml:space="preserve">developed </w:t>
      </w:r>
      <w:r w:rsidR="00A87B95">
        <w:rPr>
          <w:bCs/>
        </w:rPr>
        <w:t xml:space="preserve">a series of </w:t>
      </w:r>
      <w:r w:rsidR="61194E42">
        <w:t>six earnings</w:t>
      </w:r>
      <w:r w:rsidR="5256C8E1">
        <w:t xml:space="preserve"> and wealth</w:t>
      </w:r>
      <w:r w:rsidR="00FB0BEF">
        <w:rPr>
          <w:bCs/>
        </w:rPr>
        <w:t xml:space="preserve"> thresholds which </w:t>
      </w:r>
      <w:r w:rsidR="77B09DD4">
        <w:t xml:space="preserve">provide benchmarks </w:t>
      </w:r>
      <w:r w:rsidR="00FB0BEF">
        <w:rPr>
          <w:bCs/>
        </w:rPr>
        <w:t xml:space="preserve">to measure </w:t>
      </w:r>
      <w:r w:rsidR="2B72DFA1">
        <w:t>the value institutions deliver to students</w:t>
      </w:r>
      <w:r w:rsidR="00A87B95">
        <w:rPr>
          <w:bCs/>
        </w:rPr>
        <w:t>.</w:t>
      </w:r>
      <w:r w:rsidR="00E5526F">
        <w:rPr>
          <w:rStyle w:val="EndnoteReference"/>
          <w:bCs/>
        </w:rPr>
        <w:endnoteReference w:id="38"/>
      </w:r>
      <w:r w:rsidR="00A87B95">
        <w:rPr>
          <w:bCs/>
        </w:rPr>
        <w:t xml:space="preserve"> </w:t>
      </w:r>
      <w:r w:rsidR="00095FC9">
        <w:rPr>
          <w:bCs/>
        </w:rPr>
        <w:t>Two</w:t>
      </w:r>
      <w:r w:rsidR="00663459">
        <w:rPr>
          <w:bCs/>
        </w:rPr>
        <w:t xml:space="preserve"> of those</w:t>
      </w:r>
      <w:r w:rsidR="00A87B95">
        <w:rPr>
          <w:bCs/>
        </w:rPr>
        <w:t xml:space="preserve"> thresholds </w:t>
      </w:r>
      <w:r w:rsidR="00B1373F">
        <w:rPr>
          <w:bCs/>
        </w:rPr>
        <w:t xml:space="preserve">propose </w:t>
      </w:r>
      <w:r w:rsidR="00762955">
        <w:rPr>
          <w:bCs/>
        </w:rPr>
        <w:t xml:space="preserve">measuring </w:t>
      </w:r>
      <w:r w:rsidR="0077093C">
        <w:rPr>
          <w:bCs/>
        </w:rPr>
        <w:t>whether students are able to reach median levels of wealth and whether students of color, students from low-income backgrounds, and women reach the level</w:t>
      </w:r>
      <w:r w:rsidR="00095FC9">
        <w:rPr>
          <w:bCs/>
        </w:rPr>
        <w:t>s</w:t>
      </w:r>
      <w:r w:rsidR="0077093C">
        <w:rPr>
          <w:bCs/>
        </w:rPr>
        <w:t xml:space="preserve"> of wealth attained by their more privileged White, high-income, or male peers.</w:t>
      </w:r>
      <w:r w:rsidR="00762955">
        <w:rPr>
          <w:bCs/>
        </w:rPr>
        <w:t xml:space="preserve"> </w:t>
      </w:r>
      <w:r w:rsidR="0077093C">
        <w:rPr>
          <w:bCs/>
        </w:rPr>
        <w:t xml:space="preserve">Due </w:t>
      </w:r>
      <w:r w:rsidR="00105FE0">
        <w:rPr>
          <w:bCs/>
        </w:rPr>
        <w:t xml:space="preserve">in part to </w:t>
      </w:r>
      <w:r w:rsidR="00773915">
        <w:rPr>
          <w:bCs/>
        </w:rPr>
        <w:t>the</w:t>
      </w:r>
      <w:r w:rsidR="00105FE0">
        <w:rPr>
          <w:bCs/>
        </w:rPr>
        <w:t xml:space="preserve"> methodological challenges and</w:t>
      </w:r>
      <w:r w:rsidR="0077093C">
        <w:rPr>
          <w:bCs/>
        </w:rPr>
        <w:t xml:space="preserve"> data limitations</w:t>
      </w:r>
      <w:r w:rsidR="00587971">
        <w:rPr>
          <w:bCs/>
        </w:rPr>
        <w:t xml:space="preserve"> discussed in detail later</w:t>
      </w:r>
      <w:r w:rsidR="0077093C">
        <w:rPr>
          <w:bCs/>
        </w:rPr>
        <w:t xml:space="preserve">, these thresholds </w:t>
      </w:r>
      <w:r w:rsidR="00587971">
        <w:rPr>
          <w:bCs/>
        </w:rPr>
        <w:t xml:space="preserve">remain largely </w:t>
      </w:r>
      <w:r w:rsidR="00587971" w:rsidRPr="630D34D9">
        <w:t>un</w:t>
      </w:r>
      <w:r>
        <w:t>measured</w:t>
      </w:r>
      <w:r w:rsidR="00D75A81">
        <w:rPr>
          <w:bCs/>
        </w:rPr>
        <w:t>.</w:t>
      </w:r>
    </w:p>
    <w:p w14:paraId="2F2E596C" w14:textId="77777777" w:rsidR="00D75A81" w:rsidRDefault="00D75A81" w:rsidP="004B1105">
      <w:pPr>
        <w:pStyle w:val="NoSpacing"/>
        <w:rPr>
          <w:bCs/>
        </w:rPr>
      </w:pPr>
    </w:p>
    <w:p w14:paraId="36E7D7D3" w14:textId="0A18EFDD" w:rsidR="000C75D1" w:rsidRDefault="00D75A81" w:rsidP="004B1105">
      <w:pPr>
        <w:pStyle w:val="NoSpacing"/>
      </w:pPr>
      <w:r>
        <w:rPr>
          <w:bCs/>
        </w:rPr>
        <w:t>M</w:t>
      </w:r>
      <w:r w:rsidR="009845CB">
        <w:rPr>
          <w:bCs/>
        </w:rPr>
        <w:t xml:space="preserve">uch of the </w:t>
      </w:r>
      <w:r w:rsidR="009845CB">
        <w:t>r</w:t>
      </w:r>
      <w:r w:rsidR="00206540" w:rsidRPr="00546B01">
        <w:t>esearch</w:t>
      </w:r>
      <w:r w:rsidR="0076040D" w:rsidRPr="00546B01">
        <w:t xml:space="preserve"> </w:t>
      </w:r>
      <w:r w:rsidR="00582CF3">
        <w:t>o</w:t>
      </w:r>
      <w:r w:rsidR="000225F5">
        <w:t>n</w:t>
      </w:r>
      <w:r w:rsidR="009845CB">
        <w:t xml:space="preserve"> </w:t>
      </w:r>
      <w:r w:rsidR="001818EA">
        <w:t xml:space="preserve">higher education’s impact </w:t>
      </w:r>
      <w:r w:rsidR="00D87249">
        <w:t>on</w:t>
      </w:r>
      <w:r w:rsidR="001818EA">
        <w:t xml:space="preserve"> wealth </w:t>
      </w:r>
      <w:r w:rsidR="009845CB" w:rsidDel="00587971">
        <w:t>has focused</w:t>
      </w:r>
      <w:r w:rsidR="009845CB">
        <w:t xml:space="preserve"> on student debt.</w:t>
      </w:r>
      <w:r w:rsidR="00894E27">
        <w:t xml:space="preserve"> </w:t>
      </w:r>
      <w:r w:rsidR="00D56DFC">
        <w:t>Studies</w:t>
      </w:r>
      <w:r w:rsidR="007116D0" w:rsidRPr="007116D0">
        <w:t xml:space="preserve"> find</w:t>
      </w:r>
      <w:r w:rsidR="007116D0" w:rsidRPr="00F07175">
        <w:t xml:space="preserve"> </w:t>
      </w:r>
      <w:r w:rsidR="007263E3">
        <w:t>that</w:t>
      </w:r>
      <w:r w:rsidR="007116D0" w:rsidRPr="00F07175">
        <w:t xml:space="preserve"> </w:t>
      </w:r>
      <w:r w:rsidR="007116D0" w:rsidRPr="004F5FC3">
        <w:t>smaller shares of Asian and Latinx students borrow relative to</w:t>
      </w:r>
      <w:r w:rsidR="007116D0" w:rsidRPr="004F5FC3" w:rsidDel="00C93E4B">
        <w:t xml:space="preserve"> </w:t>
      </w:r>
      <w:r w:rsidR="007116D0" w:rsidRPr="004F5FC3">
        <w:t>their Black and White peers</w:t>
      </w:r>
      <w:r w:rsidR="00DF494B">
        <w:t>.</w:t>
      </w:r>
      <w:r w:rsidR="007116D0" w:rsidRPr="007116D0">
        <w:rPr>
          <w:rStyle w:val="EndnoteReference"/>
        </w:rPr>
        <w:endnoteReference w:id="39"/>
      </w:r>
      <w:r w:rsidR="00DF494B">
        <w:t xml:space="preserve"> </w:t>
      </w:r>
      <w:r w:rsidR="00BC6223">
        <w:t>Concerningly</w:t>
      </w:r>
      <w:r w:rsidR="00A02CB9">
        <w:t>,</w:t>
      </w:r>
      <w:r w:rsidR="0076040D" w:rsidRPr="004F5FC3">
        <w:t xml:space="preserve"> Black </w:t>
      </w:r>
      <w:r w:rsidR="00D66A4B" w:rsidRPr="004F5FC3">
        <w:t xml:space="preserve">students </w:t>
      </w:r>
      <w:r w:rsidR="00206540" w:rsidRPr="004F5FC3">
        <w:t xml:space="preserve">hold substantially more </w:t>
      </w:r>
      <w:r w:rsidR="00CE2448">
        <w:t xml:space="preserve">student </w:t>
      </w:r>
      <w:r w:rsidR="00206540" w:rsidRPr="004F5FC3">
        <w:t>debt than their peers</w:t>
      </w:r>
      <w:r w:rsidR="00896DE6" w:rsidRPr="00672E24">
        <w:rPr>
          <w:rStyle w:val="EndnoteReference"/>
        </w:rPr>
        <w:endnoteReference w:id="40"/>
      </w:r>
      <w:r w:rsidR="00D40FC8">
        <w:t>—</w:t>
      </w:r>
      <w:r w:rsidR="008D7731" w:rsidRPr="004F5FC3">
        <w:t xml:space="preserve">even </w:t>
      </w:r>
      <w:r w:rsidR="006356B4">
        <w:t xml:space="preserve">those </w:t>
      </w:r>
      <w:r w:rsidR="00F504F6" w:rsidRPr="004F5FC3">
        <w:t xml:space="preserve">with </w:t>
      </w:r>
      <w:r w:rsidR="008D7731" w:rsidRPr="004F5FC3">
        <w:t>similar income</w:t>
      </w:r>
      <w:r w:rsidR="006356B4">
        <w:t>s</w:t>
      </w:r>
      <w:r w:rsidR="00EB5546" w:rsidRPr="00672E24">
        <w:rPr>
          <w:rStyle w:val="EndnoteReference"/>
        </w:rPr>
        <w:endnoteReference w:id="41"/>
      </w:r>
      <w:r w:rsidR="00D40FC8">
        <w:t>—</w:t>
      </w:r>
      <w:r w:rsidR="00896DE6" w:rsidRPr="004F5FC3">
        <w:t>and face greater difficulty repaying their loans.</w:t>
      </w:r>
      <w:r w:rsidR="00D679B7" w:rsidRPr="004F5FC3">
        <w:t xml:space="preserve"> </w:t>
      </w:r>
      <w:r w:rsidR="00D40FC8">
        <w:t>This means</w:t>
      </w:r>
      <w:r w:rsidR="00104078">
        <w:t xml:space="preserve"> </w:t>
      </w:r>
      <w:r w:rsidR="00AF4E64">
        <w:t>Black students leave college with more negative wealth</w:t>
      </w:r>
      <w:r w:rsidR="00631ABD">
        <w:t xml:space="preserve"> than</w:t>
      </w:r>
      <w:r w:rsidR="00AF4E64">
        <w:t xml:space="preserve"> their peers</w:t>
      </w:r>
      <w:r w:rsidR="00074A4A">
        <w:t xml:space="preserve"> do</w:t>
      </w:r>
      <w:r w:rsidR="00AF4E64">
        <w:t xml:space="preserve">, </w:t>
      </w:r>
      <w:r w:rsidR="003B3B0B">
        <w:t>lowering</w:t>
      </w:r>
      <w:r w:rsidR="00690665">
        <w:t xml:space="preserve"> </w:t>
      </w:r>
      <w:r w:rsidR="00AF4E64">
        <w:t>their net worth</w:t>
      </w:r>
      <w:r w:rsidR="00A74D5A">
        <w:t xml:space="preserve">. </w:t>
      </w:r>
      <w:r w:rsidR="00104078">
        <w:t>A</w:t>
      </w:r>
      <w:r w:rsidR="00E74571" w:rsidRPr="004F5FC3">
        <w:t xml:space="preserve"> </w:t>
      </w:r>
      <w:r w:rsidR="00DE021F" w:rsidRPr="004F5FC3">
        <w:t>2017</w:t>
      </w:r>
      <w:r w:rsidR="00E74571" w:rsidRPr="004F5FC3">
        <w:t xml:space="preserve"> analysis of long-term </w:t>
      </w:r>
      <w:r w:rsidR="00741474" w:rsidRPr="004F5FC3">
        <w:t xml:space="preserve">outcomes of student loan borrowers </w:t>
      </w:r>
      <w:r w:rsidR="00F37652" w:rsidRPr="004F5FC3">
        <w:t xml:space="preserve">found that </w:t>
      </w:r>
      <w:r w:rsidR="00700E17" w:rsidRPr="004F5FC3">
        <w:t>typical Black borrower</w:t>
      </w:r>
      <w:r w:rsidR="0011443D">
        <w:t>s</w:t>
      </w:r>
      <w:r w:rsidR="00700E17" w:rsidRPr="004F5FC3">
        <w:t xml:space="preserve"> </w:t>
      </w:r>
      <w:r w:rsidR="00C4084D" w:rsidRPr="004F5FC3">
        <w:t xml:space="preserve">who started college in </w:t>
      </w:r>
      <w:r w:rsidR="00195D2A">
        <w:t xml:space="preserve">the </w:t>
      </w:r>
      <w:r w:rsidR="00C4084D" w:rsidRPr="004F5FC3">
        <w:t>2003</w:t>
      </w:r>
      <w:r w:rsidR="00195D2A">
        <w:t>-20</w:t>
      </w:r>
      <w:r w:rsidR="00C4084D" w:rsidRPr="004F5FC3">
        <w:t>04</w:t>
      </w:r>
      <w:r w:rsidR="00195D2A">
        <w:t xml:space="preserve"> academic year</w:t>
      </w:r>
      <w:r w:rsidR="00C4084D" w:rsidRPr="004F5FC3">
        <w:t xml:space="preserve"> owed </w:t>
      </w:r>
      <w:r w:rsidR="00462A33" w:rsidRPr="004F5FC3">
        <w:t xml:space="preserve">more </w:t>
      </w:r>
      <w:r w:rsidR="00462A33" w:rsidRPr="004F5FC3" w:rsidDel="00545302">
        <w:t>on their</w:t>
      </w:r>
      <w:r w:rsidR="00462A33" w:rsidDel="00545302">
        <w:t xml:space="preserve"> </w:t>
      </w:r>
      <w:r w:rsidR="00D037A3">
        <w:t>student loan</w:t>
      </w:r>
      <w:r w:rsidR="00462A33" w:rsidRPr="004F5FC3">
        <w:t xml:space="preserve"> than they originally borrowed. </w:t>
      </w:r>
      <w:r w:rsidR="00CA463F">
        <w:t>T</w:t>
      </w:r>
      <w:r w:rsidR="00462A33" w:rsidRPr="004F5FC3">
        <w:t xml:space="preserve">welve years after starting college, </w:t>
      </w:r>
      <w:r w:rsidR="007A3B6B">
        <w:t xml:space="preserve">nearly half of Black borrowers </w:t>
      </w:r>
      <w:r w:rsidR="007A3B6B" w:rsidDel="002248AC">
        <w:t xml:space="preserve">had </w:t>
      </w:r>
      <w:r w:rsidR="007A3B6B">
        <w:t xml:space="preserve">defaulted on their loans, and </w:t>
      </w:r>
      <w:r w:rsidR="00462A33" w:rsidRPr="004F5FC3">
        <w:t>typical Black borrower</w:t>
      </w:r>
      <w:r w:rsidR="0011443D">
        <w:t>s</w:t>
      </w:r>
      <w:r w:rsidR="006C2482" w:rsidRPr="004F5FC3">
        <w:t xml:space="preserve"> made no progress </w:t>
      </w:r>
      <w:r w:rsidR="004C206C" w:rsidRPr="004F5FC3">
        <w:t>paying down their student debt</w:t>
      </w:r>
      <w:r w:rsidR="00230EE9" w:rsidRPr="004F5FC3">
        <w:t xml:space="preserve">, the only </w:t>
      </w:r>
      <w:r w:rsidR="0023426B">
        <w:t xml:space="preserve">racial </w:t>
      </w:r>
      <w:r w:rsidR="00230EE9" w:rsidRPr="004F5FC3">
        <w:t>group for which this was the case</w:t>
      </w:r>
      <w:r w:rsidR="002E14A6">
        <w:t>.</w:t>
      </w:r>
      <w:r w:rsidR="00BC153B" w:rsidRPr="00672E24">
        <w:rPr>
          <w:rStyle w:val="EndnoteReference"/>
        </w:rPr>
        <w:endnoteReference w:id="42"/>
      </w:r>
      <w:r w:rsidR="00CB122F">
        <w:t xml:space="preserve"> </w:t>
      </w:r>
      <w:r w:rsidR="00E27A9A">
        <w:t>These outcomes</w:t>
      </w:r>
      <w:r w:rsidR="00E27A9A" w:rsidDel="002248AC">
        <w:t xml:space="preserve"> </w:t>
      </w:r>
      <w:r w:rsidR="009F3F8F">
        <w:t xml:space="preserve">may be driven by </w:t>
      </w:r>
      <w:r w:rsidR="00E35CCE" w:rsidRPr="004F5FC3">
        <w:t xml:space="preserve">the </w:t>
      </w:r>
      <w:r w:rsidR="70297BD4">
        <w:t>larg</w:t>
      </w:r>
      <w:r w:rsidR="00E35CCE" w:rsidRPr="004F5FC3">
        <w:t xml:space="preserve">er debt loads </w:t>
      </w:r>
      <w:r w:rsidR="00691695" w:rsidRPr="004F5FC3">
        <w:t xml:space="preserve">Black students </w:t>
      </w:r>
      <w:r w:rsidR="00E35CCE" w:rsidRPr="004F5FC3">
        <w:t>incur</w:t>
      </w:r>
      <w:r w:rsidR="00E35CCE" w:rsidRPr="004F5FC3" w:rsidDel="00691695">
        <w:t xml:space="preserve"> </w:t>
      </w:r>
      <w:r w:rsidR="00E35CCE" w:rsidRPr="004F5FC3">
        <w:t>to attend college</w:t>
      </w:r>
      <w:r w:rsidR="008600C4">
        <w:t>,</w:t>
      </w:r>
      <w:r w:rsidR="00E35CCE" w:rsidRPr="00672E24">
        <w:rPr>
          <w:rStyle w:val="EndnoteReference"/>
        </w:rPr>
        <w:endnoteReference w:id="43"/>
      </w:r>
      <w:r w:rsidR="009A5FD9">
        <w:t xml:space="preserve"> as well as </w:t>
      </w:r>
      <w:r w:rsidR="00D52406">
        <w:t xml:space="preserve">a diminished </w:t>
      </w:r>
      <w:r w:rsidR="00CE6B5B">
        <w:t>ability to repay their loans</w:t>
      </w:r>
      <w:r w:rsidR="00BC0EBF">
        <w:t xml:space="preserve">, </w:t>
      </w:r>
      <w:r w:rsidR="00364E33">
        <w:t xml:space="preserve">likely </w:t>
      </w:r>
      <w:r w:rsidR="0076674A">
        <w:t xml:space="preserve">due </w:t>
      </w:r>
      <w:r w:rsidR="00364E33">
        <w:t xml:space="preserve">to </w:t>
      </w:r>
      <w:r w:rsidR="0076674A">
        <w:t>lower incomes and wealth</w:t>
      </w:r>
      <w:r w:rsidR="00CA75A1">
        <w:t>.</w:t>
      </w:r>
      <w:r w:rsidR="00E35CCE" w:rsidRPr="00672E24">
        <w:rPr>
          <w:rStyle w:val="EndnoteReference"/>
        </w:rPr>
        <w:endnoteReference w:id="44"/>
      </w:r>
      <w:r w:rsidR="00E35CCE">
        <w:t xml:space="preserve"> </w:t>
      </w:r>
    </w:p>
    <w:p w14:paraId="7B6B006A" w14:textId="77777777" w:rsidR="000C75D1" w:rsidRDefault="000C75D1" w:rsidP="004B1105">
      <w:pPr>
        <w:pStyle w:val="NoSpacing"/>
      </w:pPr>
    </w:p>
    <w:p w14:paraId="15AC5963" w14:textId="3FAC5560" w:rsidR="00333B8F" w:rsidRDefault="0070683C" w:rsidP="004B1105">
      <w:pPr>
        <w:pStyle w:val="NoSpacing"/>
      </w:pPr>
      <w:r>
        <w:t>R</w:t>
      </w:r>
      <w:r w:rsidR="00152A0A" w:rsidRPr="00546B01">
        <w:t xml:space="preserve">esearchers </w:t>
      </w:r>
      <w:r>
        <w:t xml:space="preserve">also </w:t>
      </w:r>
      <w:r w:rsidR="00F624CC">
        <w:t xml:space="preserve">explored </w:t>
      </w:r>
      <w:r w:rsidR="008819BC">
        <w:t xml:space="preserve">how student loan debt contributes to the </w:t>
      </w:r>
      <w:r w:rsidR="00C42BC1">
        <w:t xml:space="preserve">racial </w:t>
      </w:r>
      <w:r w:rsidR="00D43F44">
        <w:t>wealth ga</w:t>
      </w:r>
      <w:r w:rsidR="00FD5974">
        <w:t xml:space="preserve">p </w:t>
      </w:r>
      <w:r w:rsidR="007C73D5">
        <w:t xml:space="preserve">over time. One study </w:t>
      </w:r>
      <w:r w:rsidR="00C42BC1">
        <w:t>found that</w:t>
      </w:r>
      <w:r w:rsidR="000C75D1">
        <w:t xml:space="preserve"> </w:t>
      </w:r>
      <w:r w:rsidR="00152A0A" w:rsidRPr="00546B01">
        <w:t>the share of the gap in wealth between Black and White students attributable to student loan debt starts small but increases throughout early adulthood</w:t>
      </w:r>
      <w:r w:rsidR="00A63FA2">
        <w:t>.</w:t>
      </w:r>
      <w:r w:rsidR="004A516D" w:rsidRPr="00672E24">
        <w:rPr>
          <w:rStyle w:val="EndnoteReference"/>
        </w:rPr>
        <w:endnoteReference w:id="45"/>
      </w:r>
      <w:r w:rsidR="00152A0A">
        <w:t xml:space="preserve"> </w:t>
      </w:r>
      <w:r w:rsidR="0051170B">
        <w:t xml:space="preserve">This is </w:t>
      </w:r>
      <w:r w:rsidR="36E8939D">
        <w:t>partly</w:t>
      </w:r>
      <w:r w:rsidR="0051170B">
        <w:t xml:space="preserve"> due to</w:t>
      </w:r>
      <w:r w:rsidR="00743404">
        <w:t xml:space="preserve"> the fact that</w:t>
      </w:r>
      <w:r w:rsidR="0051170B" w:rsidRPr="0003396B">
        <w:t xml:space="preserve"> loan repayment impact</w:t>
      </w:r>
      <w:r w:rsidR="00743404">
        <w:t>s</w:t>
      </w:r>
      <w:r w:rsidR="0051170B" w:rsidRPr="0003396B">
        <w:t xml:space="preserve"> other areas of wealth-building</w:t>
      </w:r>
      <w:r w:rsidR="79F0D396" w:rsidRPr="0003396B">
        <w:t xml:space="preserve"> opportunities like</w:t>
      </w:r>
      <w:r w:rsidR="0051170B" w:rsidRPr="00546B01">
        <w:t xml:space="preserve"> </w:t>
      </w:r>
      <w:r w:rsidR="0051170B" w:rsidRPr="0025776B">
        <w:t>homeownership</w:t>
      </w:r>
      <w:r w:rsidR="00485A88">
        <w:t>,</w:t>
      </w:r>
      <w:r w:rsidR="0051170B" w:rsidRPr="0003396B">
        <w:rPr>
          <w:rStyle w:val="EndnoteReference"/>
        </w:rPr>
        <w:endnoteReference w:id="46"/>
      </w:r>
      <w:r w:rsidR="0051170B" w:rsidRPr="0003396B">
        <w:t xml:space="preserve"> </w:t>
      </w:r>
      <w:r w:rsidR="00485A88">
        <w:t>t</w:t>
      </w:r>
      <w:r w:rsidR="0051170B" w:rsidRPr="0003396B">
        <w:t xml:space="preserve">hough </w:t>
      </w:r>
      <w:r w:rsidR="0051170B" w:rsidRPr="0003396B">
        <w:lastRenderedPageBreak/>
        <w:t>there is some evidence to suggest th</w:t>
      </w:r>
      <w:r w:rsidR="0051170B">
        <w:t>is</w:t>
      </w:r>
      <w:r w:rsidR="0051170B" w:rsidRPr="0003396B">
        <w:t xml:space="preserve"> </w:t>
      </w:r>
      <w:r w:rsidR="7D5FCE0E" w:rsidRPr="0003396B">
        <w:t xml:space="preserve">negative </w:t>
      </w:r>
      <w:r w:rsidR="0051170B" w:rsidRPr="0003396B">
        <w:t xml:space="preserve">effect may be </w:t>
      </w:r>
      <w:r w:rsidR="0051170B">
        <w:t xml:space="preserve">concentrated among </w:t>
      </w:r>
      <w:r w:rsidR="0001216E">
        <w:t>borrowers who</w:t>
      </w:r>
      <w:r w:rsidR="0051170B">
        <w:t xml:space="preserve"> </w:t>
      </w:r>
      <w:r w:rsidR="0051170B" w:rsidRPr="0003396B">
        <w:t>do not complete a degree</w:t>
      </w:r>
      <w:r w:rsidR="282289DE" w:rsidRPr="0003396B">
        <w:t>.</w:t>
      </w:r>
      <w:r w:rsidR="00717B9D">
        <w:rPr>
          <w:rStyle w:val="EndnoteReference"/>
        </w:rPr>
        <w:endnoteReference w:id="47"/>
      </w:r>
      <w:r w:rsidR="0051170B" w:rsidRPr="00546B01">
        <w:t xml:space="preserve"> </w:t>
      </w:r>
      <w:r w:rsidR="00FC68D5">
        <w:t>Researchers</w:t>
      </w:r>
      <w:r w:rsidR="004A516D" w:rsidRPr="00546B01">
        <w:t xml:space="preserve"> </w:t>
      </w:r>
      <w:r w:rsidR="00D00640">
        <w:t xml:space="preserve">emphasize the importance of </w:t>
      </w:r>
      <w:r w:rsidR="0056641D">
        <w:t>examining</w:t>
      </w:r>
      <w:r w:rsidR="00E35CCE" w:rsidRPr="00546B01">
        <w:t xml:space="preserve"> </w:t>
      </w:r>
      <w:r w:rsidR="004A516D" w:rsidRPr="00546B01">
        <w:t xml:space="preserve">longer-term </w:t>
      </w:r>
      <w:r w:rsidR="00E35CCE" w:rsidRPr="00546B01">
        <w:t>debt trajectories</w:t>
      </w:r>
      <w:r w:rsidR="00672E24" w:rsidRPr="00672E24">
        <w:t xml:space="preserve"> rather than</w:t>
      </w:r>
      <w:r w:rsidR="00E64585" w:rsidRPr="00672E24">
        <w:t xml:space="preserve"> singular</w:t>
      </w:r>
      <w:r w:rsidR="004A516D" w:rsidRPr="00546B01">
        <w:t xml:space="preserve"> </w:t>
      </w:r>
      <w:r w:rsidR="00E35CCE" w:rsidRPr="00546B01">
        <w:t xml:space="preserve">point-in-time estimates </w:t>
      </w:r>
      <w:r w:rsidR="00D00640">
        <w:t>to understand</w:t>
      </w:r>
      <w:r w:rsidR="00E35CCE" w:rsidRPr="00546B01">
        <w:t xml:space="preserve"> how student debt accrued in one generation may contribute to wealth inequality for the next</w:t>
      </w:r>
      <w:r w:rsidR="00A63FA2">
        <w:t>.</w:t>
      </w:r>
      <w:r w:rsidR="00E35CCE" w:rsidRPr="00672E24">
        <w:rPr>
          <w:rStyle w:val="EndnoteReference"/>
        </w:rPr>
        <w:endnoteReference w:id="48"/>
      </w:r>
      <w:r w:rsidR="00E35CCE">
        <w:t xml:space="preserve"> </w:t>
      </w:r>
    </w:p>
    <w:p w14:paraId="37F7E01A" w14:textId="05E2DC31" w:rsidR="005B6CF2" w:rsidRPr="00D3363E" w:rsidRDefault="005B6CF2" w:rsidP="004B1105">
      <w:pPr>
        <w:pStyle w:val="NoSpacing"/>
      </w:pPr>
    </w:p>
    <w:p w14:paraId="18F98B9E" w14:textId="799CB0AD" w:rsidR="005B6CF2" w:rsidRDefault="00BD471D" w:rsidP="004B1105">
      <w:pPr>
        <w:pStyle w:val="Heading2"/>
      </w:pPr>
      <w:bookmarkStart w:id="15" w:name="_Toc167901746"/>
      <w:r>
        <w:t>Research Questions</w:t>
      </w:r>
      <w:r w:rsidR="00956A17">
        <w:t xml:space="preserve"> on Higher Education </w:t>
      </w:r>
      <w:r w:rsidR="0048544E">
        <w:t>and Wealth</w:t>
      </w:r>
      <w:bookmarkEnd w:id="15"/>
      <w:r w:rsidR="00956A17">
        <w:t xml:space="preserve"> </w:t>
      </w:r>
    </w:p>
    <w:p w14:paraId="41EBBD14" w14:textId="77777777" w:rsidR="005B6CF2" w:rsidRDefault="005B6CF2" w:rsidP="004B1105"/>
    <w:p w14:paraId="20A08AA3" w14:textId="2F3F6106" w:rsidR="00D77011" w:rsidRDefault="003D6303" w:rsidP="004B1105">
      <w:pPr>
        <w:rPr>
          <w:rFonts w:cstheme="minorBidi"/>
        </w:rPr>
      </w:pPr>
      <w:r w:rsidRPr="00925470">
        <w:rPr>
          <w:rFonts w:cstheme="minorBidi"/>
        </w:rPr>
        <w:t>To better understand the cyclical relationship between higher education and the racial wealth gap, research</w:t>
      </w:r>
      <w:r w:rsidR="005D14F0" w:rsidRPr="00925470">
        <w:rPr>
          <w:rFonts w:cstheme="minorBidi"/>
        </w:rPr>
        <w:t xml:space="preserve">ers should explore </w:t>
      </w:r>
      <w:r w:rsidR="006A1E63" w:rsidRPr="00925470">
        <w:rPr>
          <w:rFonts w:cstheme="minorBidi"/>
        </w:rPr>
        <w:t xml:space="preserve">specific ways that </w:t>
      </w:r>
      <w:r w:rsidR="003309F4" w:rsidRPr="00925470">
        <w:rPr>
          <w:rFonts w:cstheme="minorBidi"/>
        </w:rPr>
        <w:t xml:space="preserve">wealth </w:t>
      </w:r>
      <w:r w:rsidR="00236DBC" w:rsidRPr="00925470">
        <w:rPr>
          <w:rFonts w:cstheme="minorBidi"/>
        </w:rPr>
        <w:t>affects college-going decisions and students’ experiences during</w:t>
      </w:r>
      <w:r w:rsidR="002B0D9D" w:rsidRPr="00925470">
        <w:rPr>
          <w:rFonts w:cstheme="minorBidi"/>
        </w:rPr>
        <w:t xml:space="preserve"> and after</w:t>
      </w:r>
      <w:r w:rsidR="00236DBC" w:rsidRPr="00925470">
        <w:rPr>
          <w:rFonts w:cstheme="minorBidi"/>
        </w:rPr>
        <w:t xml:space="preserve"> college, as well as how </w:t>
      </w:r>
      <w:r w:rsidR="0090124C" w:rsidRPr="00925470">
        <w:rPr>
          <w:rFonts w:cstheme="minorBidi"/>
        </w:rPr>
        <w:t xml:space="preserve">higher education experiences </w:t>
      </w:r>
      <w:r w:rsidR="00410812" w:rsidRPr="00925470">
        <w:rPr>
          <w:rFonts w:cstheme="minorBidi"/>
        </w:rPr>
        <w:t>affect wealth-building.</w:t>
      </w:r>
      <w:r w:rsidR="00AA01DA" w:rsidRPr="00925470">
        <w:rPr>
          <w:rFonts w:cstheme="minorBidi"/>
        </w:rPr>
        <w:t xml:space="preserve"> </w:t>
      </w:r>
      <w:r w:rsidR="003A17EA" w:rsidRPr="00925470">
        <w:rPr>
          <w:rFonts w:cstheme="minorBidi"/>
        </w:rPr>
        <w:fldChar w:fldCharType="begin"/>
      </w:r>
      <w:r w:rsidR="003A17EA" w:rsidRPr="00925470">
        <w:rPr>
          <w:rFonts w:cstheme="minorBidi"/>
        </w:rPr>
        <w:instrText xml:space="preserve"> REF _Ref157008254 \h </w:instrText>
      </w:r>
      <w:r w:rsidR="0035647F" w:rsidRPr="00925470">
        <w:rPr>
          <w:rFonts w:cstheme="minorBidi"/>
        </w:rPr>
        <w:instrText xml:space="preserve"> \* MERGEFORMAT </w:instrText>
      </w:r>
      <w:r w:rsidR="003A17EA" w:rsidRPr="00925470">
        <w:rPr>
          <w:rFonts w:cstheme="minorBidi"/>
        </w:rPr>
      </w:r>
      <w:r w:rsidR="003A17EA" w:rsidRPr="00925470">
        <w:rPr>
          <w:rFonts w:cstheme="minorBidi"/>
        </w:rPr>
        <w:fldChar w:fldCharType="separate"/>
      </w:r>
      <w:r w:rsidR="00932B97" w:rsidRPr="0047583A">
        <w:rPr>
          <w:b/>
          <w:bCs/>
        </w:rPr>
        <w:t xml:space="preserve">Table </w:t>
      </w:r>
      <w:r w:rsidR="00932B97">
        <w:rPr>
          <w:b/>
          <w:bCs/>
        </w:rPr>
        <w:t>1</w:t>
      </w:r>
      <w:r w:rsidR="003A17EA" w:rsidRPr="00925470">
        <w:rPr>
          <w:rFonts w:cstheme="minorBidi"/>
        </w:rPr>
        <w:fldChar w:fldCharType="end"/>
      </w:r>
      <w:r w:rsidR="00A36E3C" w:rsidRPr="00925470">
        <w:rPr>
          <w:rFonts w:cstheme="minorBidi"/>
          <w:b/>
        </w:rPr>
        <w:t xml:space="preserve"> </w:t>
      </w:r>
      <w:r w:rsidR="0025776B" w:rsidRPr="00925470">
        <w:rPr>
          <w:rFonts w:cstheme="minorBidi"/>
        </w:rPr>
        <w:t xml:space="preserve">outlines </w:t>
      </w:r>
      <w:r w:rsidR="00BE42AF" w:rsidRPr="00925470">
        <w:rPr>
          <w:rFonts w:cstheme="minorBidi"/>
        </w:rPr>
        <w:t xml:space="preserve">these areas of inquiry, </w:t>
      </w:r>
      <w:r w:rsidR="004B201A" w:rsidRPr="00925470">
        <w:rPr>
          <w:rFonts w:cstheme="minorBidi"/>
        </w:rPr>
        <w:t xml:space="preserve">only </w:t>
      </w:r>
      <w:r w:rsidR="00BE42AF" w:rsidRPr="00925470">
        <w:rPr>
          <w:rFonts w:cstheme="minorBidi"/>
        </w:rPr>
        <w:t>some</w:t>
      </w:r>
      <w:r w:rsidR="00C3036F" w:rsidRPr="00925470">
        <w:rPr>
          <w:rFonts w:cstheme="minorBidi"/>
        </w:rPr>
        <w:t xml:space="preserve"> </w:t>
      </w:r>
      <w:r w:rsidR="00373189" w:rsidRPr="00925470">
        <w:rPr>
          <w:rFonts w:cstheme="minorBidi"/>
        </w:rPr>
        <w:t xml:space="preserve">of which have been covered in existing research. The asterisks indicate the four </w:t>
      </w:r>
      <w:r w:rsidR="00604759" w:rsidRPr="00925470">
        <w:rPr>
          <w:rFonts w:cstheme="minorBidi"/>
        </w:rPr>
        <w:t xml:space="preserve">policy-relevant </w:t>
      </w:r>
      <w:r w:rsidR="00373189" w:rsidRPr="00925470">
        <w:rPr>
          <w:rFonts w:cstheme="minorBidi"/>
        </w:rPr>
        <w:t xml:space="preserve">research questions that </w:t>
      </w:r>
      <w:r w:rsidR="00851352" w:rsidRPr="00925470">
        <w:rPr>
          <w:rFonts w:cstheme="minorBidi"/>
        </w:rPr>
        <w:t>are the focus of</w:t>
      </w:r>
      <w:r w:rsidR="00373189" w:rsidRPr="00925470">
        <w:rPr>
          <w:rFonts w:cstheme="minorBidi"/>
        </w:rPr>
        <w:t xml:space="preserve"> this paper. </w:t>
      </w:r>
    </w:p>
    <w:p w14:paraId="14BF8D10" w14:textId="77777777" w:rsidR="00D77011" w:rsidRDefault="00D77011" w:rsidP="004B1105">
      <w:pPr>
        <w:rPr>
          <w:rFonts w:cstheme="minorHAnsi"/>
          <w:szCs w:val="22"/>
        </w:rPr>
      </w:pPr>
    </w:p>
    <w:p w14:paraId="59E2F831" w14:textId="61FB831B" w:rsidR="0025776B" w:rsidRPr="00A7173A" w:rsidRDefault="009A6AA9" w:rsidP="004B1105">
      <w:pPr>
        <w:rPr>
          <w:rFonts w:cstheme="minorBidi"/>
        </w:rPr>
      </w:pPr>
      <w:r w:rsidRPr="630D34D9">
        <w:rPr>
          <w:rFonts w:cstheme="minorBidi"/>
        </w:rPr>
        <w:t>Many of th</w:t>
      </w:r>
      <w:r w:rsidR="0017002F" w:rsidRPr="630D34D9">
        <w:rPr>
          <w:rFonts w:cstheme="minorBidi"/>
        </w:rPr>
        <w:t>e questions below</w:t>
      </w:r>
      <w:r w:rsidRPr="630D34D9">
        <w:rPr>
          <w:rFonts w:cstheme="minorBidi"/>
        </w:rPr>
        <w:t xml:space="preserve"> have been explored</w:t>
      </w:r>
      <w:r w:rsidR="00923026">
        <w:rPr>
          <w:rFonts w:cstheme="minorBidi"/>
        </w:rPr>
        <w:t xml:space="preserve"> by researchers who are</w:t>
      </w:r>
      <w:r w:rsidRPr="630D34D9">
        <w:rPr>
          <w:rFonts w:cstheme="minorBidi"/>
        </w:rPr>
        <w:t xml:space="preserve"> </w:t>
      </w:r>
      <w:r w:rsidR="00AB25FE">
        <w:rPr>
          <w:rFonts w:cstheme="minorBidi"/>
        </w:rPr>
        <w:t>considering</w:t>
      </w:r>
      <w:r w:rsidR="00AB25FE" w:rsidRPr="630D34D9">
        <w:rPr>
          <w:rFonts w:cstheme="minorBidi"/>
        </w:rPr>
        <w:t xml:space="preserve"> </w:t>
      </w:r>
      <w:r w:rsidR="00B32CB5" w:rsidRPr="630D34D9">
        <w:rPr>
          <w:rFonts w:cstheme="minorBidi"/>
        </w:rPr>
        <w:t xml:space="preserve">income, but not wealth. </w:t>
      </w:r>
      <w:r w:rsidR="00B833AC" w:rsidRPr="630D34D9">
        <w:rPr>
          <w:rFonts w:cstheme="minorBidi"/>
        </w:rPr>
        <w:t xml:space="preserve">Examining </w:t>
      </w:r>
      <w:r w:rsidR="008D4A81" w:rsidRPr="630D34D9">
        <w:rPr>
          <w:rFonts w:cstheme="minorBidi"/>
        </w:rPr>
        <w:t xml:space="preserve">the </w:t>
      </w:r>
      <w:r w:rsidR="00461197" w:rsidRPr="630D34D9">
        <w:rPr>
          <w:rFonts w:cstheme="minorBidi"/>
        </w:rPr>
        <w:t>effects of</w:t>
      </w:r>
      <w:r w:rsidR="00B833AC" w:rsidRPr="630D34D9">
        <w:rPr>
          <w:rFonts w:cstheme="minorBidi"/>
        </w:rPr>
        <w:t xml:space="preserve"> wealth</w:t>
      </w:r>
      <w:r w:rsidR="00461197" w:rsidRPr="630D34D9">
        <w:rPr>
          <w:rFonts w:cstheme="minorBidi"/>
        </w:rPr>
        <w:t xml:space="preserve"> </w:t>
      </w:r>
      <w:r w:rsidR="008D4A81" w:rsidRPr="630D34D9">
        <w:rPr>
          <w:rFonts w:cstheme="minorBidi"/>
        </w:rPr>
        <w:t xml:space="preserve">on higher education experiences </w:t>
      </w:r>
      <w:r w:rsidR="00461197" w:rsidRPr="630D34D9">
        <w:rPr>
          <w:rFonts w:cstheme="minorBidi"/>
        </w:rPr>
        <w:t xml:space="preserve">and </w:t>
      </w:r>
      <w:r w:rsidR="008D4A81" w:rsidRPr="630D34D9">
        <w:rPr>
          <w:rFonts w:cstheme="minorBidi"/>
        </w:rPr>
        <w:t xml:space="preserve">the </w:t>
      </w:r>
      <w:r w:rsidR="00461197" w:rsidRPr="630D34D9">
        <w:rPr>
          <w:rFonts w:cstheme="minorBidi"/>
        </w:rPr>
        <w:t>effects o</w:t>
      </w:r>
      <w:r w:rsidR="008D4A81" w:rsidRPr="630D34D9">
        <w:rPr>
          <w:rFonts w:cstheme="minorBidi"/>
        </w:rPr>
        <w:t>f higher education o</w:t>
      </w:r>
      <w:r w:rsidR="00461197" w:rsidRPr="630D34D9">
        <w:rPr>
          <w:rFonts w:cstheme="minorBidi"/>
        </w:rPr>
        <w:t>n wealth</w:t>
      </w:r>
      <w:r w:rsidR="00B833AC" w:rsidRPr="630D34D9">
        <w:rPr>
          <w:rFonts w:cstheme="minorBidi"/>
        </w:rPr>
        <w:t xml:space="preserve"> </w:t>
      </w:r>
      <w:r w:rsidR="00BF6ACD">
        <w:rPr>
          <w:rFonts w:cstheme="minorBidi"/>
        </w:rPr>
        <w:t xml:space="preserve">will help </w:t>
      </w:r>
      <w:r w:rsidR="000F547D">
        <w:rPr>
          <w:rFonts w:cstheme="minorBidi"/>
        </w:rPr>
        <w:t>researchers, practitioners, and policymakers</w:t>
      </w:r>
      <w:r w:rsidR="0025776B" w:rsidRPr="630D34D9">
        <w:rPr>
          <w:rFonts w:cstheme="minorBidi"/>
        </w:rPr>
        <w:t xml:space="preserve"> identify and design </w:t>
      </w:r>
      <w:r w:rsidRPr="630D34D9">
        <w:rPr>
          <w:rFonts w:cstheme="minorBidi"/>
        </w:rPr>
        <w:t>postsecondary</w:t>
      </w:r>
      <w:r w:rsidR="0025776B" w:rsidRPr="630D34D9">
        <w:rPr>
          <w:rFonts w:cstheme="minorBidi"/>
        </w:rPr>
        <w:t xml:space="preserve"> policies and practices that </w:t>
      </w:r>
      <w:r w:rsidR="1797DFCA" w:rsidRPr="630D34D9">
        <w:rPr>
          <w:rFonts w:cstheme="minorBidi"/>
        </w:rPr>
        <w:t xml:space="preserve">create a more just and equitable system where all students </w:t>
      </w:r>
      <w:proofErr w:type="gramStart"/>
      <w:r w:rsidR="1797DFCA" w:rsidRPr="630D34D9">
        <w:rPr>
          <w:rFonts w:cstheme="minorBidi"/>
        </w:rPr>
        <w:t>have the opportunity to</w:t>
      </w:r>
      <w:proofErr w:type="gramEnd"/>
      <w:r w:rsidR="1797DFCA" w:rsidRPr="630D34D9">
        <w:rPr>
          <w:rFonts w:cstheme="minorBidi"/>
        </w:rPr>
        <w:t xml:space="preserve"> build wealth.</w:t>
      </w:r>
    </w:p>
    <w:p w14:paraId="271F0469" w14:textId="77777777" w:rsidR="008E1914" w:rsidRDefault="008E1914" w:rsidP="004B1105"/>
    <w:p w14:paraId="5D4AC921" w14:textId="77777777" w:rsidR="007460B7" w:rsidRDefault="007460B7" w:rsidP="004B1105">
      <w:pPr>
        <w:sectPr w:rsidR="007460B7" w:rsidSect="001A7A59">
          <w:footnotePr>
            <w:numFmt w:val="lowerRoman"/>
          </w:footnotePr>
          <w:endnotePr>
            <w:numFmt w:val="decimal"/>
          </w:endnotePr>
          <w:pgSz w:w="12240" w:h="15840"/>
          <w:pgMar w:top="1440" w:right="1440" w:bottom="1440" w:left="1440" w:header="720" w:footer="720" w:gutter="0"/>
          <w:cols w:space="720"/>
          <w:docGrid w:linePitch="360"/>
        </w:sectPr>
      </w:pPr>
    </w:p>
    <w:tbl>
      <w:tblPr>
        <w:tblStyle w:val="TableGrid"/>
        <w:tblW w:w="9630" w:type="dxa"/>
        <w:tblLayout w:type="fixed"/>
        <w:tblLook w:val="04A0" w:firstRow="1" w:lastRow="0" w:firstColumn="1" w:lastColumn="0" w:noHBand="0" w:noVBand="1"/>
      </w:tblPr>
      <w:tblGrid>
        <w:gridCol w:w="2070"/>
        <w:gridCol w:w="7560"/>
      </w:tblGrid>
      <w:tr w:rsidR="00830A1F" w:rsidRPr="00491635" w14:paraId="6E013848" w14:textId="77777777" w:rsidTr="00F12147">
        <w:trPr>
          <w:trHeight w:val="270"/>
        </w:trPr>
        <w:tc>
          <w:tcPr>
            <w:tcW w:w="9630" w:type="dxa"/>
            <w:gridSpan w:val="2"/>
            <w:tcBorders>
              <w:top w:val="nil"/>
              <w:left w:val="nil"/>
              <w:bottom w:val="single" w:sz="4" w:space="0" w:color="auto"/>
              <w:right w:val="nil"/>
            </w:tcBorders>
          </w:tcPr>
          <w:p w14:paraId="003E3844" w14:textId="086FD761" w:rsidR="007B1CD1" w:rsidRPr="00830A1F" w:rsidRDefault="00830A1F" w:rsidP="004B1105">
            <w:bookmarkStart w:id="16" w:name="_Ref157008254"/>
            <w:r w:rsidRPr="0047583A">
              <w:rPr>
                <w:b/>
                <w:bCs/>
              </w:rPr>
              <w:lastRenderedPageBreak/>
              <w:t xml:space="preserve">Table </w:t>
            </w:r>
            <w:r w:rsidRPr="0047583A">
              <w:rPr>
                <w:b/>
                <w:bCs/>
              </w:rPr>
              <w:fldChar w:fldCharType="begin"/>
            </w:r>
            <w:r w:rsidRPr="0047583A">
              <w:rPr>
                <w:b/>
                <w:bCs/>
              </w:rPr>
              <w:instrText xml:space="preserve"> SEQ Table \* ARABIC </w:instrText>
            </w:r>
            <w:r w:rsidRPr="0047583A">
              <w:rPr>
                <w:b/>
                <w:bCs/>
              </w:rPr>
              <w:fldChar w:fldCharType="separate"/>
            </w:r>
            <w:r w:rsidR="00773B59">
              <w:rPr>
                <w:b/>
                <w:bCs/>
                <w:noProof/>
              </w:rPr>
              <w:t>1</w:t>
            </w:r>
            <w:r w:rsidRPr="0047583A">
              <w:rPr>
                <w:b/>
                <w:bCs/>
              </w:rPr>
              <w:fldChar w:fldCharType="end"/>
            </w:r>
            <w:bookmarkEnd w:id="16"/>
            <w:r w:rsidR="007B1CD1">
              <w:rPr>
                <w:b/>
                <w:bCs/>
              </w:rPr>
              <w:t xml:space="preserve">. </w:t>
            </w:r>
            <w:r w:rsidRPr="007B1CD1">
              <w:rPr>
                <w:b/>
                <w:bCs/>
              </w:rPr>
              <w:t>Research Questions on the Cyclical Relationship Between Higher Education</w:t>
            </w:r>
            <w:r w:rsidR="0048544E">
              <w:rPr>
                <w:b/>
                <w:bCs/>
              </w:rPr>
              <w:t xml:space="preserve"> and </w:t>
            </w:r>
            <w:r w:rsidRPr="007B1CD1">
              <w:rPr>
                <w:b/>
                <w:bCs/>
              </w:rPr>
              <w:t>Wealth</w:t>
            </w:r>
          </w:p>
        </w:tc>
      </w:tr>
      <w:tr w:rsidR="00C435C9" w:rsidRPr="00491635" w14:paraId="22D42B87" w14:textId="77777777" w:rsidTr="00F12147">
        <w:trPr>
          <w:trHeight w:val="300"/>
        </w:trPr>
        <w:tc>
          <w:tcPr>
            <w:tcW w:w="2070" w:type="dxa"/>
            <w:tcBorders>
              <w:top w:val="single" w:sz="4" w:space="0" w:color="auto"/>
            </w:tcBorders>
          </w:tcPr>
          <w:p w14:paraId="3A6B1672" w14:textId="77777777" w:rsidR="00491635" w:rsidRDefault="00491635" w:rsidP="004B1105">
            <w:pPr>
              <w:pStyle w:val="NoSpacing"/>
              <w:rPr>
                <w:rFonts w:cstheme="minorHAnsi"/>
                <w:b/>
                <w:bCs/>
              </w:rPr>
            </w:pPr>
            <w:r>
              <w:rPr>
                <w:rFonts w:cstheme="minorHAnsi"/>
                <w:b/>
                <w:bCs/>
              </w:rPr>
              <w:t>How is wealth associated with college-going decisions?</w:t>
            </w:r>
          </w:p>
        </w:tc>
        <w:tc>
          <w:tcPr>
            <w:tcW w:w="7560" w:type="dxa"/>
            <w:tcBorders>
              <w:top w:val="single" w:sz="4" w:space="0" w:color="auto"/>
            </w:tcBorders>
          </w:tcPr>
          <w:p w14:paraId="3948F8F1" w14:textId="5B5B89D7" w:rsidR="00491635" w:rsidRPr="0047583A" w:rsidRDefault="00491635" w:rsidP="00FB60EF">
            <w:pPr>
              <w:pStyle w:val="NoSpacing"/>
              <w:numPr>
                <w:ilvl w:val="0"/>
                <w:numId w:val="5"/>
              </w:numPr>
              <w:ind w:left="374" w:hanging="270"/>
              <w:rPr>
                <w:b/>
              </w:rPr>
            </w:pPr>
            <w:r w:rsidRPr="49C41001">
              <w:t xml:space="preserve">Does the </w:t>
            </w:r>
            <w:r w:rsidRPr="1FD6526C">
              <w:t>individual</w:t>
            </w:r>
            <w:r w:rsidRPr="49C41001">
              <w:t xml:space="preserve"> aspire to go to college?</w:t>
            </w:r>
          </w:p>
          <w:p w14:paraId="3F83141C" w14:textId="56397708" w:rsidR="00491635" w:rsidRPr="004832EC" w:rsidRDefault="00491635" w:rsidP="00FB60EF">
            <w:pPr>
              <w:pStyle w:val="NoSpacing"/>
              <w:numPr>
                <w:ilvl w:val="0"/>
                <w:numId w:val="5"/>
              </w:numPr>
              <w:ind w:left="374" w:right="-110" w:hanging="270"/>
            </w:pPr>
            <w:r w:rsidRPr="1FD6526C">
              <w:t>What college preparatory resources, opportunities, and activities are available to and undertaken by the individual (and/or their family)?</w:t>
            </w:r>
          </w:p>
          <w:p w14:paraId="22A758DB" w14:textId="616EE8AA" w:rsidR="00491635" w:rsidRPr="0047583A" w:rsidRDefault="00491635" w:rsidP="00FB60EF">
            <w:pPr>
              <w:pStyle w:val="NoSpacing"/>
              <w:numPr>
                <w:ilvl w:val="0"/>
                <w:numId w:val="5"/>
              </w:numPr>
              <w:ind w:left="374" w:hanging="270"/>
              <w:rPr>
                <w:rFonts w:cstheme="minorHAnsi"/>
              </w:rPr>
            </w:pPr>
            <w:r w:rsidRPr="0047583A">
              <w:rPr>
                <w:rFonts w:cstheme="minorHAnsi"/>
              </w:rPr>
              <w:t xml:space="preserve">Does the individual enroll in </w:t>
            </w:r>
            <w:proofErr w:type="gramStart"/>
            <w:r w:rsidRPr="0047583A">
              <w:rPr>
                <w:rFonts w:cstheme="minorHAnsi"/>
              </w:rPr>
              <w:t>college?</w:t>
            </w:r>
            <w:r w:rsidRPr="00F12147">
              <w:rPr>
                <w:rFonts w:cstheme="minorHAnsi"/>
                <w:b/>
                <w:bCs/>
              </w:rPr>
              <w:t>*</w:t>
            </w:r>
            <w:proofErr w:type="gramEnd"/>
          </w:p>
          <w:p w14:paraId="40051F25" w14:textId="77777777" w:rsidR="007D5155" w:rsidRDefault="00491635" w:rsidP="00FB60EF">
            <w:pPr>
              <w:pStyle w:val="NoSpacing"/>
              <w:numPr>
                <w:ilvl w:val="0"/>
                <w:numId w:val="5"/>
              </w:numPr>
              <w:ind w:left="374" w:hanging="270"/>
              <w:rPr>
                <w:rFonts w:cstheme="minorHAnsi"/>
              </w:rPr>
            </w:pPr>
            <w:r w:rsidRPr="004832EC">
              <w:rPr>
                <w:rFonts w:cstheme="minorHAnsi"/>
              </w:rPr>
              <w:t xml:space="preserve">What type of institution does the student attend? </w:t>
            </w:r>
          </w:p>
          <w:p w14:paraId="6C4AB229" w14:textId="77777777" w:rsidR="007D5155" w:rsidRDefault="00491635" w:rsidP="00FB60EF">
            <w:pPr>
              <w:pStyle w:val="NoSpacing"/>
              <w:numPr>
                <w:ilvl w:val="0"/>
                <w:numId w:val="5"/>
              </w:numPr>
              <w:ind w:left="374" w:hanging="270"/>
              <w:rPr>
                <w:rFonts w:cstheme="minorHAnsi"/>
              </w:rPr>
            </w:pPr>
            <w:r w:rsidRPr="004832EC">
              <w:rPr>
                <w:rFonts w:cstheme="minorHAnsi"/>
              </w:rPr>
              <w:t xml:space="preserve">What type of credential does the student pursue? </w:t>
            </w:r>
          </w:p>
          <w:p w14:paraId="09088581" w14:textId="2085B0C3" w:rsidR="00491635" w:rsidRPr="0047583A" w:rsidRDefault="00491635" w:rsidP="00FB60EF">
            <w:pPr>
              <w:pStyle w:val="NoSpacing"/>
              <w:numPr>
                <w:ilvl w:val="0"/>
                <w:numId w:val="5"/>
              </w:numPr>
              <w:ind w:left="374" w:hanging="270"/>
              <w:rPr>
                <w:rFonts w:cstheme="minorHAnsi"/>
              </w:rPr>
            </w:pPr>
            <w:r w:rsidRPr="004832EC">
              <w:rPr>
                <w:rFonts w:cstheme="minorHAnsi"/>
              </w:rPr>
              <w:t>What field of study does the student pursue</w:t>
            </w:r>
            <w:r w:rsidR="007D5155">
              <w:rPr>
                <w:rFonts w:cstheme="minorHAnsi"/>
              </w:rPr>
              <w:t>?</w:t>
            </w:r>
          </w:p>
        </w:tc>
      </w:tr>
      <w:tr w:rsidR="00C435C9" w14:paraId="779462E7" w14:textId="77777777" w:rsidTr="00F12147">
        <w:trPr>
          <w:trHeight w:val="300"/>
        </w:trPr>
        <w:tc>
          <w:tcPr>
            <w:tcW w:w="2070" w:type="dxa"/>
          </w:tcPr>
          <w:p w14:paraId="559A1B96" w14:textId="77777777" w:rsidR="00491635" w:rsidRDefault="00491635" w:rsidP="004B1105">
            <w:pPr>
              <w:pStyle w:val="NoSpacing"/>
              <w:rPr>
                <w:rFonts w:cstheme="minorHAnsi"/>
                <w:b/>
                <w:bCs/>
              </w:rPr>
            </w:pPr>
            <w:r>
              <w:rPr>
                <w:rFonts w:cstheme="minorHAnsi"/>
                <w:b/>
                <w:bCs/>
              </w:rPr>
              <w:t>How is wealth associated with students’ experiences and outcomes while enrolled in college?</w:t>
            </w:r>
          </w:p>
        </w:tc>
        <w:tc>
          <w:tcPr>
            <w:tcW w:w="7560" w:type="dxa"/>
          </w:tcPr>
          <w:p w14:paraId="14211BB1" w14:textId="64295E2A" w:rsidR="00491635" w:rsidRPr="0047583A" w:rsidRDefault="00491635" w:rsidP="00FB60EF">
            <w:pPr>
              <w:pStyle w:val="NoSpacing"/>
              <w:numPr>
                <w:ilvl w:val="0"/>
                <w:numId w:val="5"/>
              </w:numPr>
              <w:ind w:left="374" w:hanging="270"/>
              <w:rPr>
                <w:b/>
              </w:rPr>
            </w:pPr>
            <w:r w:rsidRPr="630D34D9">
              <w:t>Are students able to meet basic needs</w:t>
            </w:r>
            <w:r w:rsidR="00DC6CD1">
              <w:t xml:space="preserve"> (e.g., food and housing)</w:t>
            </w:r>
            <w:r w:rsidRPr="630D34D9">
              <w:t>?</w:t>
            </w:r>
          </w:p>
          <w:p w14:paraId="7C48D43C" w14:textId="77777777" w:rsidR="00491635" w:rsidRPr="0047583A" w:rsidRDefault="00491635" w:rsidP="00FB60EF">
            <w:pPr>
              <w:pStyle w:val="NoSpacing"/>
              <w:numPr>
                <w:ilvl w:val="0"/>
                <w:numId w:val="5"/>
              </w:numPr>
              <w:ind w:left="374" w:hanging="270"/>
              <w:rPr>
                <w:b/>
              </w:rPr>
            </w:pPr>
            <w:r w:rsidRPr="763D2F7F">
              <w:t>How do students finance their education?</w:t>
            </w:r>
          </w:p>
          <w:p w14:paraId="3C32CD2B" w14:textId="5D9D222E" w:rsidR="00003C6E" w:rsidRPr="0047583A" w:rsidRDefault="00491635" w:rsidP="00FB60EF">
            <w:pPr>
              <w:pStyle w:val="NoSpacing"/>
              <w:numPr>
                <w:ilvl w:val="0"/>
                <w:numId w:val="5"/>
              </w:numPr>
              <w:ind w:left="374" w:hanging="270"/>
              <w:rPr>
                <w:b/>
              </w:rPr>
            </w:pPr>
            <w:r w:rsidRPr="630D34D9">
              <w:t>How much unmet financial need do students have?</w:t>
            </w:r>
            <w:r w:rsidR="004E1DCC">
              <w:rPr>
                <w:rStyle w:val="EndnoteReference"/>
              </w:rPr>
              <w:endnoteReference w:id="49"/>
            </w:r>
          </w:p>
          <w:p w14:paraId="3C250723" w14:textId="64364AD5" w:rsidR="008312D8" w:rsidRPr="004832EC" w:rsidRDefault="008312D8" w:rsidP="00FB60EF">
            <w:pPr>
              <w:pStyle w:val="NoSpacing"/>
              <w:numPr>
                <w:ilvl w:val="0"/>
                <w:numId w:val="5"/>
              </w:numPr>
              <w:ind w:left="374" w:hanging="270"/>
            </w:pPr>
            <w:r w:rsidRPr="630D34D9">
              <w:t xml:space="preserve">Are </w:t>
            </w:r>
            <w:r w:rsidR="00022C27">
              <w:t>parents of the student</w:t>
            </w:r>
            <w:r w:rsidR="00022C27" w:rsidRPr="630D34D9">
              <w:t xml:space="preserve"> </w:t>
            </w:r>
            <w:r w:rsidRPr="630D34D9">
              <w:t xml:space="preserve">able to provide financial support </w:t>
            </w:r>
            <w:r w:rsidR="00364857">
              <w:t>for</w:t>
            </w:r>
            <w:r w:rsidR="00364857" w:rsidRPr="630D34D9">
              <w:t xml:space="preserve"> </w:t>
            </w:r>
            <w:r w:rsidRPr="630D34D9">
              <w:t xml:space="preserve">their </w:t>
            </w:r>
            <w:r w:rsidR="00364857">
              <w:t>college</w:t>
            </w:r>
            <w:r w:rsidR="00364857" w:rsidRPr="630D34D9">
              <w:t xml:space="preserve"> </w:t>
            </w:r>
            <w:proofErr w:type="gramStart"/>
            <w:r w:rsidRPr="630D34D9">
              <w:t>education?</w:t>
            </w:r>
            <w:r w:rsidRPr="00F12147">
              <w:rPr>
                <w:b/>
                <w:bCs/>
              </w:rPr>
              <w:t>*</w:t>
            </w:r>
            <w:proofErr w:type="gramEnd"/>
            <w:r w:rsidRPr="00F12147">
              <w:rPr>
                <w:b/>
                <w:bCs/>
              </w:rPr>
              <w:t xml:space="preserve"> </w:t>
            </w:r>
          </w:p>
          <w:p w14:paraId="7BB7771D" w14:textId="1B7A3E6C" w:rsidR="00003C6E" w:rsidRPr="0047583A" w:rsidRDefault="00003C6E" w:rsidP="00FB60EF">
            <w:pPr>
              <w:pStyle w:val="NoSpacing"/>
              <w:numPr>
                <w:ilvl w:val="0"/>
                <w:numId w:val="5"/>
              </w:numPr>
              <w:ind w:left="374" w:hanging="270"/>
            </w:pPr>
            <w:r w:rsidRPr="24897D0A">
              <w:t xml:space="preserve">Do students </w:t>
            </w:r>
            <w:r w:rsidR="00FD5ADF">
              <w:t>need</w:t>
            </w:r>
            <w:r w:rsidR="00FD5ADF" w:rsidRPr="24897D0A">
              <w:t xml:space="preserve"> to</w:t>
            </w:r>
            <w:r w:rsidRPr="24897D0A">
              <w:t xml:space="preserve"> provide support </w:t>
            </w:r>
            <w:r w:rsidRPr="009E657C">
              <w:t>to</w:t>
            </w:r>
            <w:r w:rsidRPr="24897D0A">
              <w:t xml:space="preserve"> their families</w:t>
            </w:r>
            <w:r w:rsidR="00FD5ADF" w:rsidRPr="24897D0A">
              <w:t xml:space="preserve"> while enrolled</w:t>
            </w:r>
            <w:r w:rsidRPr="24897D0A">
              <w:t xml:space="preserve">? </w:t>
            </w:r>
          </w:p>
          <w:p w14:paraId="225521AE" w14:textId="77777777" w:rsidR="00526532" w:rsidRDefault="00003C6E" w:rsidP="00FB60EF">
            <w:pPr>
              <w:pStyle w:val="NoSpacing"/>
              <w:numPr>
                <w:ilvl w:val="0"/>
                <w:numId w:val="5"/>
              </w:numPr>
              <w:ind w:left="374" w:hanging="270"/>
            </w:pPr>
            <w:r w:rsidRPr="24897D0A">
              <w:t xml:space="preserve">Do students work at a job and/or internship? </w:t>
            </w:r>
            <w:r w:rsidR="00154747" w:rsidRPr="24897D0A">
              <w:t>If so</w:t>
            </w:r>
            <w:r w:rsidR="00631CDF" w:rsidRPr="24897D0A">
              <w:t>:</w:t>
            </w:r>
            <w:r w:rsidRPr="24897D0A">
              <w:t xml:space="preserve"> </w:t>
            </w:r>
          </w:p>
          <w:p w14:paraId="497F020C" w14:textId="66EDFD50" w:rsidR="00526532" w:rsidRDefault="00526532" w:rsidP="00FB60EF">
            <w:pPr>
              <w:pStyle w:val="NoSpacing"/>
              <w:numPr>
                <w:ilvl w:val="1"/>
                <w:numId w:val="5"/>
              </w:numPr>
              <w:ind w:left="734"/>
              <w:rPr>
                <w:rFonts w:cstheme="minorHAnsi"/>
              </w:rPr>
            </w:pPr>
            <w:r>
              <w:rPr>
                <w:rFonts w:cstheme="minorHAnsi"/>
              </w:rPr>
              <w:t>How many</w:t>
            </w:r>
            <w:r w:rsidR="00003C6E" w:rsidRPr="0047583A">
              <w:rPr>
                <w:rFonts w:cstheme="minorHAnsi"/>
              </w:rPr>
              <w:t xml:space="preserve"> </w:t>
            </w:r>
            <w:r>
              <w:rPr>
                <w:rFonts w:cstheme="minorHAnsi"/>
              </w:rPr>
              <w:t>jobs/</w:t>
            </w:r>
            <w:r w:rsidR="00003C6E" w:rsidRPr="0047583A">
              <w:rPr>
                <w:rFonts w:cstheme="minorHAnsi"/>
              </w:rPr>
              <w:t>hours per week</w:t>
            </w:r>
            <w:r>
              <w:rPr>
                <w:rFonts w:cstheme="minorHAnsi"/>
              </w:rPr>
              <w:t xml:space="preserve"> do they work?</w:t>
            </w:r>
            <w:r w:rsidR="00003C6E" w:rsidRPr="0047583A">
              <w:rPr>
                <w:rFonts w:cstheme="minorHAnsi"/>
              </w:rPr>
              <w:t xml:space="preserve"> </w:t>
            </w:r>
          </w:p>
          <w:p w14:paraId="003AC0D8" w14:textId="77777777" w:rsidR="00526532" w:rsidRDefault="00526532" w:rsidP="00FB60EF">
            <w:pPr>
              <w:pStyle w:val="NoSpacing"/>
              <w:numPr>
                <w:ilvl w:val="1"/>
                <w:numId w:val="5"/>
              </w:numPr>
              <w:ind w:left="734"/>
              <w:rPr>
                <w:rFonts w:cstheme="minorHAnsi"/>
              </w:rPr>
            </w:pPr>
            <w:r>
              <w:rPr>
                <w:rFonts w:cstheme="minorHAnsi"/>
              </w:rPr>
              <w:t>Are they</w:t>
            </w:r>
            <w:r w:rsidR="00003C6E" w:rsidRPr="0047583A">
              <w:rPr>
                <w:rFonts w:cstheme="minorHAnsi"/>
              </w:rPr>
              <w:t xml:space="preserve"> paid or unpaid</w:t>
            </w:r>
            <w:r>
              <w:rPr>
                <w:rFonts w:cstheme="minorHAnsi"/>
              </w:rPr>
              <w:t>?</w:t>
            </w:r>
            <w:r w:rsidR="00003C6E" w:rsidRPr="0047583A">
              <w:rPr>
                <w:rFonts w:cstheme="minorHAnsi"/>
              </w:rPr>
              <w:t xml:space="preserve">  </w:t>
            </w:r>
          </w:p>
          <w:p w14:paraId="5474BFB0" w14:textId="5D91F559" w:rsidR="00FA4ECF" w:rsidRDefault="00526532" w:rsidP="00FB60EF">
            <w:pPr>
              <w:pStyle w:val="NoSpacing"/>
              <w:numPr>
                <w:ilvl w:val="1"/>
                <w:numId w:val="5"/>
              </w:numPr>
              <w:ind w:left="734"/>
              <w:rPr>
                <w:rFonts w:cstheme="minorHAnsi"/>
              </w:rPr>
            </w:pPr>
            <w:r>
              <w:rPr>
                <w:rFonts w:cstheme="minorHAnsi"/>
              </w:rPr>
              <w:t>Are they employed</w:t>
            </w:r>
            <w:r w:rsidR="00003C6E" w:rsidRPr="0047583A">
              <w:rPr>
                <w:rFonts w:cstheme="minorHAnsi"/>
              </w:rPr>
              <w:t xml:space="preserve"> on or off</w:t>
            </w:r>
            <w:r w:rsidR="00E93EFC">
              <w:rPr>
                <w:rFonts w:cstheme="minorHAnsi"/>
              </w:rPr>
              <w:t xml:space="preserve"> </w:t>
            </w:r>
            <w:r w:rsidR="00003C6E" w:rsidRPr="0047583A">
              <w:rPr>
                <w:rFonts w:cstheme="minorHAnsi"/>
              </w:rPr>
              <w:t>campus</w:t>
            </w:r>
            <w:r>
              <w:rPr>
                <w:rFonts w:cstheme="minorHAnsi"/>
              </w:rPr>
              <w:t>?</w:t>
            </w:r>
            <w:r w:rsidR="00003C6E" w:rsidRPr="0047583A">
              <w:rPr>
                <w:rFonts w:cstheme="minorHAnsi"/>
              </w:rPr>
              <w:t xml:space="preserve"> </w:t>
            </w:r>
          </w:p>
          <w:p w14:paraId="3E78D8C5" w14:textId="124D94E9" w:rsidR="00003C6E" w:rsidRPr="0047583A" w:rsidRDefault="00FA4ECF" w:rsidP="00FB60EF">
            <w:pPr>
              <w:pStyle w:val="NoSpacing"/>
              <w:numPr>
                <w:ilvl w:val="1"/>
                <w:numId w:val="5"/>
              </w:numPr>
              <w:ind w:left="734"/>
              <w:rPr>
                <w:rFonts w:cstheme="minorHAnsi"/>
              </w:rPr>
            </w:pPr>
            <w:r>
              <w:rPr>
                <w:rFonts w:cstheme="minorHAnsi"/>
              </w:rPr>
              <w:t>Are they</w:t>
            </w:r>
            <w:r w:rsidR="00003C6E" w:rsidRPr="0047583A">
              <w:rPr>
                <w:rFonts w:cstheme="minorHAnsi"/>
              </w:rPr>
              <w:t xml:space="preserve"> working in a position related to their field</w:t>
            </w:r>
            <w:r>
              <w:rPr>
                <w:rFonts w:cstheme="minorHAnsi"/>
              </w:rPr>
              <w:t>?</w:t>
            </w:r>
          </w:p>
          <w:p w14:paraId="6CB6F680" w14:textId="57FA766B" w:rsidR="00491635" w:rsidRPr="0047583A" w:rsidRDefault="00003C6E" w:rsidP="00FB60EF">
            <w:pPr>
              <w:pStyle w:val="NoSpacing"/>
              <w:numPr>
                <w:ilvl w:val="0"/>
                <w:numId w:val="5"/>
              </w:numPr>
              <w:ind w:left="374" w:hanging="270"/>
              <w:rPr>
                <w:rFonts w:cstheme="minorHAnsi"/>
              </w:rPr>
            </w:pPr>
            <w:r w:rsidRPr="24897D0A">
              <w:t>What is the student’s enrollment intensity (e.g., part</w:t>
            </w:r>
            <w:r w:rsidR="00CF72F6">
              <w:t xml:space="preserve"> </w:t>
            </w:r>
            <w:r w:rsidRPr="24897D0A">
              <w:t>time vs. full</w:t>
            </w:r>
            <w:r w:rsidR="00CF72F6">
              <w:t xml:space="preserve"> </w:t>
            </w:r>
            <w:r w:rsidRPr="24897D0A">
              <w:t>time, number of credits attempted)?</w:t>
            </w:r>
          </w:p>
          <w:p w14:paraId="1025143C" w14:textId="77777777" w:rsidR="00925B52" w:rsidRDefault="00B9614A" w:rsidP="00FB60EF">
            <w:pPr>
              <w:pStyle w:val="NoSpacing"/>
              <w:numPr>
                <w:ilvl w:val="0"/>
                <w:numId w:val="5"/>
              </w:numPr>
              <w:ind w:left="374" w:hanging="270"/>
              <w:rPr>
                <w:rFonts w:cstheme="minorHAnsi"/>
              </w:rPr>
            </w:pPr>
            <w:r w:rsidRPr="24897D0A">
              <w:t xml:space="preserve">What are students’ academic achievement outcomes (e.g., GPA)? </w:t>
            </w:r>
          </w:p>
          <w:p w14:paraId="1D59F674" w14:textId="0DFF173C" w:rsidR="00B9614A" w:rsidRPr="0047583A" w:rsidRDefault="00B9614A" w:rsidP="00FB60EF">
            <w:pPr>
              <w:pStyle w:val="NoSpacing"/>
              <w:numPr>
                <w:ilvl w:val="0"/>
                <w:numId w:val="5"/>
              </w:numPr>
              <w:ind w:left="374" w:hanging="270"/>
            </w:pPr>
            <w:r w:rsidRPr="630D34D9">
              <w:t>At what level do students engage in campus activities and groups</w:t>
            </w:r>
            <w:r>
              <w:t>?</w:t>
            </w:r>
            <w:r w:rsidRPr="630D34D9">
              <w:t xml:space="preserve"> </w:t>
            </w:r>
          </w:p>
          <w:p w14:paraId="0E59E6F3" w14:textId="77777777" w:rsidR="00B9614A" w:rsidRPr="0047583A" w:rsidRDefault="00B9614A" w:rsidP="00FB60EF">
            <w:pPr>
              <w:pStyle w:val="NoSpacing"/>
              <w:numPr>
                <w:ilvl w:val="0"/>
                <w:numId w:val="5"/>
              </w:numPr>
              <w:ind w:left="374" w:hanging="270"/>
              <w:rPr>
                <w:rFonts w:cstheme="minorHAnsi"/>
              </w:rPr>
            </w:pPr>
            <w:r w:rsidRPr="24897D0A">
              <w:t xml:space="preserve">Do students persist in college or stop out? </w:t>
            </w:r>
          </w:p>
          <w:p w14:paraId="5726F7F3" w14:textId="77777777" w:rsidR="00B9614A" w:rsidRPr="0047583A" w:rsidRDefault="00B9614A" w:rsidP="00FB60EF">
            <w:pPr>
              <w:pStyle w:val="NoSpacing"/>
              <w:numPr>
                <w:ilvl w:val="0"/>
                <w:numId w:val="5"/>
              </w:numPr>
              <w:ind w:left="374" w:hanging="270"/>
              <w:rPr>
                <w:rFonts w:cstheme="minorHAnsi"/>
              </w:rPr>
            </w:pPr>
            <w:r w:rsidRPr="24897D0A">
              <w:t xml:space="preserve">Do students transfer to other colleges? </w:t>
            </w:r>
          </w:p>
          <w:p w14:paraId="0DA5F827" w14:textId="77777777" w:rsidR="00BB75CF" w:rsidRDefault="00B9614A" w:rsidP="00FB60EF">
            <w:pPr>
              <w:pStyle w:val="NoSpacing"/>
              <w:numPr>
                <w:ilvl w:val="0"/>
                <w:numId w:val="5"/>
              </w:numPr>
              <w:ind w:left="374" w:hanging="270"/>
              <w:rPr>
                <w:rFonts w:cstheme="minorHAnsi"/>
              </w:rPr>
            </w:pPr>
            <w:r w:rsidRPr="24897D0A">
              <w:t xml:space="preserve">Do students complete a credential or </w:t>
            </w:r>
            <w:proofErr w:type="gramStart"/>
            <w:r w:rsidRPr="24897D0A">
              <w:t>degree?</w:t>
            </w:r>
            <w:r w:rsidRPr="00F12147">
              <w:rPr>
                <w:b/>
                <w:bCs/>
              </w:rPr>
              <w:t>*</w:t>
            </w:r>
            <w:proofErr w:type="gramEnd"/>
            <w:r w:rsidRPr="24897D0A">
              <w:t xml:space="preserve"> If so</w:t>
            </w:r>
            <w:r w:rsidR="00BB75CF" w:rsidRPr="24897D0A">
              <w:t xml:space="preserve">: </w:t>
            </w:r>
          </w:p>
          <w:p w14:paraId="304BDAC4" w14:textId="2317B273" w:rsidR="00491635" w:rsidRPr="0047583A" w:rsidRDefault="00BB75CF" w:rsidP="00FB60EF">
            <w:pPr>
              <w:pStyle w:val="NoSpacing"/>
              <w:numPr>
                <w:ilvl w:val="1"/>
                <w:numId w:val="5"/>
              </w:numPr>
              <w:ind w:left="374" w:hanging="8"/>
              <w:rPr>
                <w:rFonts w:cstheme="minorHAnsi"/>
              </w:rPr>
            </w:pPr>
            <w:r>
              <w:rPr>
                <w:rFonts w:cstheme="minorHAnsi"/>
              </w:rPr>
              <w:t>H</w:t>
            </w:r>
            <w:r w:rsidR="00B9614A" w:rsidRPr="0047583A">
              <w:rPr>
                <w:rFonts w:cstheme="minorHAnsi"/>
              </w:rPr>
              <w:t>ow long does it take them to complete?</w:t>
            </w:r>
          </w:p>
        </w:tc>
      </w:tr>
      <w:tr w:rsidR="00C435C9" w:rsidRPr="00491635" w14:paraId="4230389F" w14:textId="77777777" w:rsidTr="00F12147">
        <w:tc>
          <w:tcPr>
            <w:tcW w:w="2070" w:type="dxa"/>
          </w:tcPr>
          <w:p w14:paraId="4DA38A74" w14:textId="658251BA" w:rsidR="00491635" w:rsidRDefault="00491635" w:rsidP="004B1105">
            <w:pPr>
              <w:pStyle w:val="NoSpacing"/>
              <w:rPr>
                <w:rFonts w:cstheme="minorHAnsi"/>
                <w:b/>
                <w:bCs/>
              </w:rPr>
            </w:pPr>
            <w:r>
              <w:rPr>
                <w:rFonts w:cstheme="minorHAnsi"/>
                <w:b/>
                <w:bCs/>
              </w:rPr>
              <w:t>How do higher education experiences affect the wealth of students and their families?</w:t>
            </w:r>
          </w:p>
        </w:tc>
        <w:tc>
          <w:tcPr>
            <w:tcW w:w="7560" w:type="dxa"/>
          </w:tcPr>
          <w:p w14:paraId="4DC33E05" w14:textId="35F847C7" w:rsidR="00B9614A" w:rsidRPr="004832EC" w:rsidRDefault="00B9614A" w:rsidP="00FB60EF">
            <w:pPr>
              <w:pStyle w:val="NoSpacing"/>
              <w:numPr>
                <w:ilvl w:val="0"/>
                <w:numId w:val="5"/>
              </w:numPr>
              <w:ind w:left="374" w:hanging="270"/>
            </w:pPr>
            <w:r w:rsidRPr="24897D0A">
              <w:t xml:space="preserve">Do students or their parents take out loans for </w:t>
            </w:r>
            <w:proofErr w:type="gramStart"/>
            <w:r w:rsidRPr="24897D0A">
              <w:t>college?</w:t>
            </w:r>
            <w:r w:rsidRPr="00F12147">
              <w:rPr>
                <w:b/>
                <w:bCs/>
              </w:rPr>
              <w:t>*</w:t>
            </w:r>
            <w:proofErr w:type="gramEnd"/>
            <w:r w:rsidRPr="24897D0A">
              <w:t xml:space="preserve"> If so: </w:t>
            </w:r>
          </w:p>
          <w:p w14:paraId="30CBB515" w14:textId="4F724700" w:rsidR="00B9614A" w:rsidRPr="004832EC" w:rsidRDefault="00B9614A" w:rsidP="00FB60EF">
            <w:pPr>
              <w:pStyle w:val="NoSpacing"/>
              <w:numPr>
                <w:ilvl w:val="0"/>
                <w:numId w:val="9"/>
              </w:numPr>
            </w:pPr>
            <w:r w:rsidRPr="763D2F7F">
              <w:t>How much student</w:t>
            </w:r>
            <w:r w:rsidR="00D763AC" w:rsidRPr="763D2F7F">
              <w:t xml:space="preserve"> </w:t>
            </w:r>
            <w:r w:rsidRPr="763D2F7F">
              <w:t xml:space="preserve">loan debt was incurred? </w:t>
            </w:r>
          </w:p>
          <w:p w14:paraId="7EE6291F" w14:textId="768843DD" w:rsidR="00B9614A" w:rsidRPr="004832EC" w:rsidRDefault="00B9614A" w:rsidP="00FB60EF">
            <w:pPr>
              <w:pStyle w:val="NoSpacing"/>
              <w:numPr>
                <w:ilvl w:val="0"/>
                <w:numId w:val="9"/>
              </w:numPr>
            </w:pPr>
            <w:r w:rsidRPr="763D2F7F">
              <w:t xml:space="preserve">What type of loans did they </w:t>
            </w:r>
            <w:r w:rsidR="00617892">
              <w:t>take out</w:t>
            </w:r>
            <w:r w:rsidRPr="763D2F7F">
              <w:t xml:space="preserve">? </w:t>
            </w:r>
            <w:r>
              <w:tab/>
            </w:r>
          </w:p>
          <w:p w14:paraId="51F87685" w14:textId="77777777" w:rsidR="00B9614A" w:rsidRPr="004832EC" w:rsidRDefault="00B9614A" w:rsidP="00FB60EF">
            <w:pPr>
              <w:pStyle w:val="NoSpacing"/>
              <w:numPr>
                <w:ilvl w:val="0"/>
                <w:numId w:val="9"/>
              </w:numPr>
            </w:pPr>
            <w:r w:rsidRPr="763D2F7F">
              <w:t xml:space="preserve">What are their repayment outcomes? </w:t>
            </w:r>
          </w:p>
          <w:p w14:paraId="0C67FA74" w14:textId="15EF87A7" w:rsidR="00370AC9" w:rsidRPr="004832EC" w:rsidRDefault="00B9614A" w:rsidP="00FB60EF">
            <w:pPr>
              <w:pStyle w:val="NoSpacing"/>
              <w:numPr>
                <w:ilvl w:val="0"/>
                <w:numId w:val="5"/>
              </w:numPr>
              <w:ind w:left="374" w:hanging="270"/>
            </w:pPr>
            <w:r w:rsidRPr="630D34D9">
              <w:t xml:space="preserve">Are </w:t>
            </w:r>
            <w:r w:rsidR="00156155">
              <w:t>graduates</w:t>
            </w:r>
            <w:r w:rsidR="00CA3ECB">
              <w:t xml:space="preserve"> and </w:t>
            </w:r>
            <w:r w:rsidR="00156155">
              <w:t>non-completers</w:t>
            </w:r>
            <w:r w:rsidRPr="630D34D9">
              <w:t xml:space="preserve"> working at jobs that provide retirement benefits</w:t>
            </w:r>
            <w:r w:rsidR="66694D9D" w:rsidRPr="630D34D9">
              <w:t xml:space="preserve"> after college</w:t>
            </w:r>
            <w:r w:rsidRPr="630D34D9">
              <w:t xml:space="preserve">? </w:t>
            </w:r>
          </w:p>
          <w:p w14:paraId="1C6EC0DF" w14:textId="3562B3E2" w:rsidR="00370AC9" w:rsidRPr="004832EC" w:rsidRDefault="00B9614A" w:rsidP="00FB60EF">
            <w:pPr>
              <w:pStyle w:val="NoSpacing"/>
              <w:numPr>
                <w:ilvl w:val="0"/>
                <w:numId w:val="5"/>
              </w:numPr>
              <w:ind w:left="374" w:hanging="270"/>
            </w:pPr>
            <w:r w:rsidRPr="24897D0A">
              <w:t xml:space="preserve">Are </w:t>
            </w:r>
            <w:r w:rsidR="0053786D">
              <w:t>graduates</w:t>
            </w:r>
            <w:r w:rsidR="00CA3ECB">
              <w:t xml:space="preserve"> and </w:t>
            </w:r>
            <w:r w:rsidR="0053786D">
              <w:t>non-completers</w:t>
            </w:r>
            <w:r>
              <w:t xml:space="preserve"> </w:t>
            </w:r>
            <w:r w:rsidRPr="24897D0A">
              <w:t xml:space="preserve">able to purchase homes after college? </w:t>
            </w:r>
          </w:p>
          <w:p w14:paraId="721068ED" w14:textId="002D1996" w:rsidR="00370AC9" w:rsidRPr="004832EC" w:rsidRDefault="00B9614A" w:rsidP="00FB60EF">
            <w:pPr>
              <w:pStyle w:val="NoSpacing"/>
              <w:numPr>
                <w:ilvl w:val="0"/>
                <w:numId w:val="5"/>
              </w:numPr>
              <w:ind w:left="374" w:hanging="270"/>
            </w:pPr>
            <w:r w:rsidRPr="24897D0A">
              <w:t xml:space="preserve">What </w:t>
            </w:r>
            <w:r w:rsidR="00AF6A18">
              <w:t>are</w:t>
            </w:r>
            <w:r w:rsidRPr="24897D0A">
              <w:t xml:space="preserve"> </w:t>
            </w:r>
            <w:r w:rsidR="006F315C">
              <w:t>graduate</w:t>
            </w:r>
            <w:r w:rsidR="00AF6A18">
              <w:t>s’</w:t>
            </w:r>
            <w:r w:rsidR="00CA3ECB">
              <w:t xml:space="preserve"> and </w:t>
            </w:r>
            <w:r w:rsidR="006F315C">
              <w:t>non-completers</w:t>
            </w:r>
            <w:r w:rsidR="00AF6A18">
              <w:t>’</w:t>
            </w:r>
            <w:r w:rsidR="006F315C">
              <w:t xml:space="preserve"> </w:t>
            </w:r>
            <w:r w:rsidR="0047188F" w:rsidRPr="24897D0A">
              <w:t>wealth</w:t>
            </w:r>
            <w:r w:rsidRPr="24897D0A">
              <w:t xml:space="preserve"> after college, over time? How does </w:t>
            </w:r>
            <w:r w:rsidR="008845E4" w:rsidRPr="24897D0A">
              <w:t xml:space="preserve">it </w:t>
            </w:r>
            <w:r w:rsidRPr="24897D0A">
              <w:t xml:space="preserve">compare with the </w:t>
            </w:r>
            <w:r w:rsidR="008845E4" w:rsidRPr="24897D0A">
              <w:t>wealth</w:t>
            </w:r>
            <w:r w:rsidRPr="24897D0A">
              <w:t xml:space="preserve"> of their parents? </w:t>
            </w:r>
          </w:p>
          <w:p w14:paraId="08987B97" w14:textId="5D4F5322" w:rsidR="001C22C6" w:rsidRDefault="00B9614A" w:rsidP="00FB60EF">
            <w:pPr>
              <w:pStyle w:val="NoSpacing"/>
              <w:numPr>
                <w:ilvl w:val="0"/>
                <w:numId w:val="5"/>
              </w:numPr>
              <w:ind w:left="374" w:hanging="270"/>
            </w:pPr>
            <w:r w:rsidRPr="24897D0A">
              <w:t xml:space="preserve">Do </w:t>
            </w:r>
            <w:r w:rsidR="006F315C">
              <w:t>graduates</w:t>
            </w:r>
            <w:r w:rsidR="00CA3ECB">
              <w:t xml:space="preserve"> and </w:t>
            </w:r>
            <w:r w:rsidR="006F315C">
              <w:t>non-completers</w:t>
            </w:r>
            <w:r>
              <w:t xml:space="preserve"> </w:t>
            </w:r>
            <w:r w:rsidRPr="24897D0A">
              <w:t xml:space="preserve">accumulate wealth after leaving college at levels comparable to the broader population? </w:t>
            </w:r>
          </w:p>
          <w:p w14:paraId="19D06839" w14:textId="41944D5D" w:rsidR="00B9614A" w:rsidRPr="0047583A" w:rsidRDefault="00B9614A" w:rsidP="00FB60EF">
            <w:pPr>
              <w:pStyle w:val="NoSpacing"/>
              <w:numPr>
                <w:ilvl w:val="0"/>
                <w:numId w:val="5"/>
              </w:numPr>
              <w:ind w:left="374" w:hanging="270"/>
            </w:pPr>
            <w:r w:rsidRPr="24897D0A">
              <w:t xml:space="preserve">Do </w:t>
            </w:r>
            <w:r w:rsidR="006F315C">
              <w:t>graduates</w:t>
            </w:r>
            <w:r w:rsidR="00CA3ECB">
              <w:t xml:space="preserve"> and </w:t>
            </w:r>
            <w:r w:rsidR="006F315C">
              <w:t>non-completers</w:t>
            </w:r>
            <w:r>
              <w:t xml:space="preserve"> of color,</w:t>
            </w:r>
            <w:r w:rsidRPr="24897D0A">
              <w:t xml:space="preserve"> from low-income backgrounds, and women reach the level of wealth attained by their more privileged White, high-income, or male peers?</w:t>
            </w:r>
            <w:r w:rsidR="00956207" w:rsidRPr="24897D0A">
              <w:rPr>
                <w:rStyle w:val="EndnoteReference"/>
                <w:sz w:val="20"/>
                <w:szCs w:val="20"/>
              </w:rPr>
              <w:t xml:space="preserve"> </w:t>
            </w:r>
          </w:p>
        </w:tc>
      </w:tr>
      <w:tr w:rsidR="00956207" w:rsidRPr="00491635" w14:paraId="291B3621" w14:textId="77777777" w:rsidTr="00F12147">
        <w:tc>
          <w:tcPr>
            <w:tcW w:w="9630" w:type="dxa"/>
            <w:gridSpan w:val="2"/>
          </w:tcPr>
          <w:p w14:paraId="6AB12667" w14:textId="694D021E" w:rsidR="00956207" w:rsidRPr="004832EC" w:rsidRDefault="006E2562" w:rsidP="004B1105">
            <w:pPr>
              <w:pStyle w:val="NoSpacing"/>
              <w:rPr>
                <w:rFonts w:cstheme="minorHAnsi"/>
              </w:rPr>
            </w:pPr>
            <w:r w:rsidRPr="6236C2B9">
              <w:rPr>
                <w:sz w:val="20"/>
                <w:szCs w:val="20"/>
              </w:rPr>
              <w:t xml:space="preserve">Questions </w:t>
            </w:r>
            <w:r w:rsidRPr="58DB94FD">
              <w:rPr>
                <w:sz w:val="20"/>
                <w:szCs w:val="20"/>
              </w:rPr>
              <w:t>marked</w:t>
            </w:r>
            <w:r w:rsidRPr="332EA3D9">
              <w:rPr>
                <w:sz w:val="20"/>
                <w:szCs w:val="20"/>
              </w:rPr>
              <w:t xml:space="preserve"> with</w:t>
            </w:r>
            <w:r w:rsidRPr="58DB94FD">
              <w:rPr>
                <w:sz w:val="20"/>
                <w:szCs w:val="20"/>
              </w:rPr>
              <w:t xml:space="preserve"> </w:t>
            </w:r>
            <w:r w:rsidRPr="306B5568">
              <w:rPr>
                <w:sz w:val="20"/>
                <w:szCs w:val="20"/>
              </w:rPr>
              <w:t xml:space="preserve">asterisks (*) </w:t>
            </w:r>
            <w:r w:rsidRPr="6BE3667B">
              <w:rPr>
                <w:sz w:val="20"/>
                <w:szCs w:val="20"/>
              </w:rPr>
              <w:t xml:space="preserve">are the </w:t>
            </w:r>
            <w:r w:rsidRPr="3864C6D4">
              <w:rPr>
                <w:sz w:val="20"/>
                <w:szCs w:val="20"/>
              </w:rPr>
              <w:t xml:space="preserve">subject of further </w:t>
            </w:r>
            <w:r w:rsidRPr="583D6D53">
              <w:rPr>
                <w:sz w:val="20"/>
                <w:szCs w:val="20"/>
              </w:rPr>
              <w:t xml:space="preserve">analysis presented later in the </w:t>
            </w:r>
            <w:r w:rsidRPr="67561B37">
              <w:rPr>
                <w:sz w:val="20"/>
                <w:szCs w:val="20"/>
              </w:rPr>
              <w:t>report.</w:t>
            </w:r>
          </w:p>
        </w:tc>
      </w:tr>
    </w:tbl>
    <w:p w14:paraId="2F8076DF" w14:textId="77777777" w:rsidR="00966A0C" w:rsidRDefault="00966A0C" w:rsidP="004B1105">
      <w:pPr>
        <w:sectPr w:rsidR="00966A0C" w:rsidSect="001A7A59">
          <w:footnotePr>
            <w:numFmt w:val="lowerRoman"/>
          </w:footnotePr>
          <w:endnotePr>
            <w:numFmt w:val="decimal"/>
          </w:endnotePr>
          <w:pgSz w:w="12240" w:h="15840"/>
          <w:pgMar w:top="1440" w:right="1440" w:bottom="1440" w:left="1440" w:header="720" w:footer="720" w:gutter="0"/>
          <w:cols w:space="720"/>
          <w:docGrid w:linePitch="360"/>
        </w:sectPr>
      </w:pPr>
    </w:p>
    <w:p w14:paraId="362C84E8" w14:textId="3C14B8AE" w:rsidR="00393AEB" w:rsidRDefault="09AED18A" w:rsidP="004B1105">
      <w:pPr>
        <w:pStyle w:val="Heading1"/>
      </w:pPr>
      <w:bookmarkStart w:id="17" w:name="_Toc167901747"/>
      <w:r w:rsidRPr="00802036">
        <w:lastRenderedPageBreak/>
        <w:t>What</w:t>
      </w:r>
      <w:r w:rsidR="006006CC">
        <w:t xml:space="preserve"> </w:t>
      </w:r>
      <w:r w:rsidR="008D2260">
        <w:t xml:space="preserve">Data </w:t>
      </w:r>
      <w:r w:rsidR="00C824FA">
        <w:t xml:space="preserve">Are </w:t>
      </w:r>
      <w:r w:rsidR="006006CC">
        <w:t xml:space="preserve">Available </w:t>
      </w:r>
      <w:proofErr w:type="gramStart"/>
      <w:r w:rsidR="001A2846">
        <w:t>On</w:t>
      </w:r>
      <w:proofErr w:type="gramEnd"/>
      <w:r w:rsidR="001A2846">
        <w:t xml:space="preserve"> </w:t>
      </w:r>
      <w:r w:rsidR="008D2260">
        <w:t xml:space="preserve">Wealth </w:t>
      </w:r>
      <w:r w:rsidR="001A2846">
        <w:t xml:space="preserve">And </w:t>
      </w:r>
      <w:r w:rsidR="008D2260">
        <w:t>Higher Education</w:t>
      </w:r>
      <w:r w:rsidR="599EA228" w:rsidRPr="00802036">
        <w:t>?</w:t>
      </w:r>
      <w:bookmarkEnd w:id="17"/>
    </w:p>
    <w:p w14:paraId="0994BCFD" w14:textId="77777777" w:rsidR="002064EB" w:rsidRDefault="002064EB" w:rsidP="004B1105">
      <w:pPr>
        <w:pStyle w:val="NoSpacing"/>
      </w:pPr>
    </w:p>
    <w:p w14:paraId="583E78B2" w14:textId="6B9EAE94" w:rsidR="00D77011" w:rsidRDefault="000D0F0A" w:rsidP="004B1105">
      <w:pPr>
        <w:pStyle w:val="NoSpacing"/>
      </w:pPr>
      <w:r>
        <w:t xml:space="preserve">To </w:t>
      </w:r>
      <w:r w:rsidR="52CD9C0E">
        <w:t>explore the</w:t>
      </w:r>
      <w:r w:rsidR="4E7B6D0A">
        <w:t xml:space="preserve"> answers to these</w:t>
      </w:r>
      <w:r w:rsidR="52CD9C0E">
        <w:t xml:space="preserve"> </w:t>
      </w:r>
      <w:r w:rsidR="3254A160">
        <w:t xml:space="preserve">critical </w:t>
      </w:r>
      <w:r w:rsidR="52CD9C0E">
        <w:t xml:space="preserve">questions and </w:t>
      </w:r>
      <w:r w:rsidR="00A95DF0">
        <w:t>inform</w:t>
      </w:r>
      <w:r w:rsidR="1126101E">
        <w:t xml:space="preserve"> </w:t>
      </w:r>
      <w:r w:rsidR="0EAA1072">
        <w:t>equity-focused, evidence-based</w:t>
      </w:r>
      <w:r w:rsidR="1126101E">
        <w:t xml:space="preserve"> policy and practice changes</w:t>
      </w:r>
      <w:r w:rsidR="00E43798">
        <w:t xml:space="preserve">, </w:t>
      </w:r>
      <w:r w:rsidR="0067117C">
        <w:t>policymakers</w:t>
      </w:r>
      <w:r>
        <w:t xml:space="preserve"> need </w:t>
      </w:r>
      <w:r w:rsidR="00B73444">
        <w:t>comprehensiv</w:t>
      </w:r>
      <w:r w:rsidR="0071426D">
        <w:t xml:space="preserve">e </w:t>
      </w:r>
      <w:r w:rsidR="00080D80">
        <w:t xml:space="preserve">and comparable </w:t>
      </w:r>
      <w:r w:rsidR="0071426D">
        <w:t>data</w:t>
      </w:r>
      <w:r w:rsidR="00037D0D">
        <w:t xml:space="preserve"> on </w:t>
      </w:r>
      <w:r w:rsidR="00406F57">
        <w:t xml:space="preserve">both </w:t>
      </w:r>
      <w:r w:rsidR="00993CB7">
        <w:t>postsecondary</w:t>
      </w:r>
      <w:r w:rsidR="00DF11D9">
        <w:t xml:space="preserve"> outcomes </w:t>
      </w:r>
      <w:r w:rsidR="005E05F0">
        <w:t>and measures of wealt</w:t>
      </w:r>
      <w:r w:rsidR="00442C03">
        <w:t>h</w:t>
      </w:r>
      <w:r w:rsidR="004C7DE8">
        <w:t>,</w:t>
      </w:r>
      <w:r w:rsidR="00E35C8B">
        <w:t xml:space="preserve"> as well as </w:t>
      </w:r>
      <w:r w:rsidR="00680E81">
        <w:t>detailed data on race</w:t>
      </w:r>
      <w:r w:rsidR="107E7707">
        <w:t xml:space="preserve"> and </w:t>
      </w:r>
      <w:r w:rsidR="00680E81">
        <w:t>ethnicity</w:t>
      </w:r>
      <w:r w:rsidR="003162D0">
        <w:t xml:space="preserve">. </w:t>
      </w:r>
      <w:r w:rsidR="009801B3">
        <w:t xml:space="preserve">However, </w:t>
      </w:r>
      <w:r w:rsidR="00B562EB">
        <w:t xml:space="preserve">many </w:t>
      </w:r>
      <w:r w:rsidR="00D95F75">
        <w:t>datasets</w:t>
      </w:r>
      <w:r w:rsidR="00181671">
        <w:t xml:space="preserve"> capture detailed information on </w:t>
      </w:r>
      <w:r w:rsidR="00181671" w:rsidRPr="002F78D2">
        <w:rPr>
          <w:iCs/>
        </w:rPr>
        <w:t>either</w:t>
      </w:r>
      <w:r w:rsidR="00181671">
        <w:t xml:space="preserve"> </w:t>
      </w:r>
      <w:r w:rsidR="00FE5F3B">
        <w:t>higher</w:t>
      </w:r>
      <w:r w:rsidR="00D63318">
        <w:t xml:space="preserve"> education or </w:t>
      </w:r>
      <w:r w:rsidR="009A7502">
        <w:t>wealth</w:t>
      </w:r>
      <w:r w:rsidR="00C94A73">
        <w:t>—not both</w:t>
      </w:r>
      <w:r w:rsidR="0042568C">
        <w:t xml:space="preserve">. </w:t>
      </w:r>
      <w:r w:rsidRPr="00680E81">
        <w:rPr>
          <w:b/>
        </w:rPr>
        <w:t>Figure 1</w:t>
      </w:r>
      <w:r w:rsidR="001C0AF5">
        <w:rPr>
          <w:b/>
        </w:rPr>
        <w:t xml:space="preserve"> </w:t>
      </w:r>
      <w:r w:rsidR="001C0AF5">
        <w:rPr>
          <w:bCs/>
        </w:rPr>
        <w:t xml:space="preserve">illustrates </w:t>
      </w:r>
      <w:r w:rsidR="002B3633">
        <w:rPr>
          <w:bCs/>
        </w:rPr>
        <w:t xml:space="preserve">the </w:t>
      </w:r>
      <w:r w:rsidR="00203836">
        <w:rPr>
          <w:bCs/>
        </w:rPr>
        <w:t xml:space="preserve">needed </w:t>
      </w:r>
      <w:r w:rsidR="00FC73A5">
        <w:rPr>
          <w:bCs/>
        </w:rPr>
        <w:t xml:space="preserve">overlap between </w:t>
      </w:r>
      <w:r w:rsidR="00E67C09">
        <w:rPr>
          <w:bCs/>
        </w:rPr>
        <w:t xml:space="preserve">these </w:t>
      </w:r>
      <w:r w:rsidR="005D4ACD">
        <w:rPr>
          <w:bCs/>
        </w:rPr>
        <w:t>measures</w:t>
      </w:r>
      <w:r w:rsidR="001A23EB">
        <w:t>.</w:t>
      </w:r>
      <w:r w:rsidR="00DD6BD0" w:rsidDel="00FE7C1C">
        <w:t xml:space="preserve"> </w:t>
      </w:r>
    </w:p>
    <w:p w14:paraId="26DB91D3" w14:textId="77777777" w:rsidR="00477BE1" w:rsidRDefault="00477BE1" w:rsidP="004B1105"/>
    <w:p w14:paraId="0AC2A896" w14:textId="77777777" w:rsidR="00527BA1" w:rsidRDefault="00527BA1" w:rsidP="004B1105"/>
    <w:p w14:paraId="622F0E68" w14:textId="5633F244" w:rsidR="00992696" w:rsidRDefault="00951BEC" w:rsidP="004B1105">
      <w:r w:rsidRPr="00951BEC">
        <w:rPr>
          <w:b/>
          <w:bCs/>
        </w:rPr>
        <w:t xml:space="preserve">Figure </w:t>
      </w:r>
      <w:r w:rsidRPr="00951BEC">
        <w:rPr>
          <w:b/>
          <w:bCs/>
        </w:rPr>
        <w:fldChar w:fldCharType="begin"/>
      </w:r>
      <w:r w:rsidRPr="00951BEC">
        <w:rPr>
          <w:b/>
          <w:bCs/>
        </w:rPr>
        <w:instrText xml:space="preserve"> SEQ Figure \* ARABIC </w:instrText>
      </w:r>
      <w:r w:rsidRPr="00951BEC">
        <w:rPr>
          <w:b/>
          <w:bCs/>
        </w:rPr>
        <w:fldChar w:fldCharType="separate"/>
      </w:r>
      <w:r w:rsidR="00932B97">
        <w:rPr>
          <w:b/>
          <w:bCs/>
          <w:noProof/>
        </w:rPr>
        <w:t>1</w:t>
      </w:r>
      <w:r w:rsidRPr="00951BEC">
        <w:rPr>
          <w:b/>
          <w:bCs/>
        </w:rPr>
        <w:fldChar w:fldCharType="end"/>
      </w:r>
      <w:r w:rsidR="000D4D5D">
        <w:t xml:space="preserve">. </w:t>
      </w:r>
      <w:r w:rsidR="00BB53A1">
        <w:rPr>
          <w:b/>
          <w:bCs/>
        </w:rPr>
        <w:t xml:space="preserve">Identifying </w:t>
      </w:r>
      <w:r w:rsidR="00644EC8">
        <w:rPr>
          <w:b/>
          <w:bCs/>
        </w:rPr>
        <w:t xml:space="preserve">the Overlap </w:t>
      </w:r>
      <w:r w:rsidR="007858CD">
        <w:rPr>
          <w:b/>
          <w:bCs/>
        </w:rPr>
        <w:t>Between Wealth and Higher Education Measures in Existing Datasets</w:t>
      </w:r>
    </w:p>
    <w:p w14:paraId="1C13FE49" w14:textId="1D0C0D5E" w:rsidR="000D38E1" w:rsidRDefault="00DC6FF2" w:rsidP="004B1105">
      <w:r>
        <w:rPr>
          <w:noProof/>
        </w:rPr>
        <w:drawing>
          <wp:inline distT="0" distB="0" distL="0" distR="0" wp14:anchorId="72698FF5" wp14:editId="14F0DF53">
            <wp:extent cx="4524595" cy="2555310"/>
            <wp:effectExtent l="0" t="0" r="0" b="0"/>
            <wp:docPr id="1476100150" name="Picture 1" descr="A diagram of a landsc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100150" name="Picture 1" descr="A diagram of a landscape&#10;&#10;Description automatically generated"/>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4710" r="12378"/>
                    <a:stretch/>
                  </pic:blipFill>
                  <pic:spPr bwMode="auto">
                    <a:xfrm>
                      <a:off x="0" y="0"/>
                      <a:ext cx="4544656" cy="2566640"/>
                    </a:xfrm>
                    <a:prstGeom prst="rect">
                      <a:avLst/>
                    </a:prstGeom>
                    <a:noFill/>
                    <a:ln>
                      <a:noFill/>
                    </a:ln>
                    <a:extLst>
                      <a:ext uri="{53640926-AAD7-44D8-BBD7-CCE9431645EC}">
                        <a14:shadowObscured xmlns:a14="http://schemas.microsoft.com/office/drawing/2010/main"/>
                      </a:ext>
                    </a:extLst>
                  </pic:spPr>
                </pic:pic>
              </a:graphicData>
            </a:graphic>
          </wp:inline>
        </w:drawing>
      </w:r>
    </w:p>
    <w:p w14:paraId="25C3E958" w14:textId="508B7AAC" w:rsidR="003F32A0" w:rsidRDefault="003F32A0" w:rsidP="004B1105"/>
    <w:p w14:paraId="479B2E75" w14:textId="0D6C4A3F" w:rsidR="00C918EF" w:rsidRDefault="00C918EF" w:rsidP="004B1105">
      <w:pPr>
        <w:pStyle w:val="NoSpacing"/>
      </w:pPr>
    </w:p>
    <w:bookmarkStart w:id="18" w:name="OLE_LINK17"/>
    <w:bookmarkStart w:id="19" w:name="OLE_LINK18"/>
    <w:p w14:paraId="6099875E" w14:textId="33597238" w:rsidR="00FD7A05" w:rsidRDefault="003E2E78" w:rsidP="004B1105">
      <w:pPr>
        <w:pStyle w:val="NoSpacing"/>
      </w:pPr>
      <w:r w:rsidRPr="00F920B5">
        <w:fldChar w:fldCharType="begin"/>
      </w:r>
      <w:r w:rsidRPr="00F920B5">
        <w:instrText xml:space="preserve"> REF _Ref160095743 \h </w:instrText>
      </w:r>
      <w:r w:rsidR="00541C1E" w:rsidRPr="00F920B5">
        <w:instrText xml:space="preserve"> \* MERGEFORMAT </w:instrText>
      </w:r>
      <w:r w:rsidRPr="00F920B5">
        <w:fldChar w:fldCharType="separate"/>
      </w:r>
      <w:r w:rsidR="00932B97" w:rsidRPr="00F12147">
        <w:rPr>
          <w:b/>
        </w:rPr>
        <w:t>Table 2</w:t>
      </w:r>
      <w:r w:rsidRPr="00F920B5">
        <w:fldChar w:fldCharType="end"/>
      </w:r>
      <w:r w:rsidR="16CF4D6C" w:rsidRPr="00F920B5">
        <w:rPr>
          <w:sz w:val="24"/>
          <w:szCs w:val="24"/>
        </w:rPr>
        <w:t xml:space="preserve"> </w:t>
      </w:r>
      <w:r w:rsidR="00A52481" w:rsidRPr="00A24089">
        <w:t>(</w:t>
      </w:r>
      <w:r w:rsidR="00B61AD8">
        <w:t>beginning on</w:t>
      </w:r>
      <w:r w:rsidR="00B61AD8" w:rsidRPr="00A24089">
        <w:t xml:space="preserve"> </w:t>
      </w:r>
      <w:r w:rsidR="00A52481" w:rsidRPr="00A24089">
        <w:t xml:space="preserve">page </w:t>
      </w:r>
      <w:r w:rsidR="00D778D7">
        <w:t>15</w:t>
      </w:r>
      <w:r w:rsidR="00A52481" w:rsidRPr="00A24089">
        <w:t>)</w:t>
      </w:r>
      <w:r w:rsidR="16CF4D6C">
        <w:t xml:space="preserve"> </w:t>
      </w:r>
      <w:r w:rsidR="000D400B">
        <w:t>provides</w:t>
      </w:r>
      <w:r w:rsidR="00C2798F" w:rsidRPr="005D60AD">
        <w:t xml:space="preserve"> a</w:t>
      </w:r>
      <w:r w:rsidR="00EC59CD" w:rsidRPr="005D60AD">
        <w:t>n inventory</w:t>
      </w:r>
      <w:r w:rsidR="00CC7342">
        <w:t xml:space="preserve"> </w:t>
      </w:r>
      <w:r w:rsidR="00CC7342" w:rsidRPr="005D60AD">
        <w:t>of datasets</w:t>
      </w:r>
      <w:r w:rsidR="1BD11C6B">
        <w:t xml:space="preserve"> </w:t>
      </w:r>
      <w:r w:rsidR="00C918EF" w:rsidRPr="005D60AD">
        <w:t>that</w:t>
      </w:r>
      <w:r w:rsidR="009D7D50" w:rsidRPr="005D60AD">
        <w:t xml:space="preserve"> include measures of family and individual wealth </w:t>
      </w:r>
      <w:r w:rsidR="009D7D50" w:rsidRPr="00E33D0E">
        <w:t>and</w:t>
      </w:r>
      <w:r w:rsidR="009D7D50" w:rsidRPr="005D60AD">
        <w:rPr>
          <w:i/>
        </w:rPr>
        <w:t xml:space="preserve"> </w:t>
      </w:r>
      <w:r w:rsidR="009D7D50" w:rsidRPr="005D60AD">
        <w:t>college outcomes</w:t>
      </w:r>
      <w:r w:rsidR="0000036F">
        <w:t>; these</w:t>
      </w:r>
      <w:r w:rsidR="009D7D50" w:rsidRPr="005D60AD" w:rsidDel="00411283">
        <w:t xml:space="preserve"> </w:t>
      </w:r>
      <w:r w:rsidR="00BB2E1A" w:rsidRPr="0084627A">
        <w:t>could be</w:t>
      </w:r>
      <w:r w:rsidR="00C918EF" w:rsidRPr="005D60AD">
        <w:t xml:space="preserve"> well</w:t>
      </w:r>
      <w:r w:rsidR="00B44EAA">
        <w:t xml:space="preserve"> </w:t>
      </w:r>
      <w:r w:rsidR="00C918EF" w:rsidRPr="005D60AD">
        <w:t xml:space="preserve">positioned to help answer </w:t>
      </w:r>
      <w:r w:rsidR="008164A3">
        <w:t xml:space="preserve">some of </w:t>
      </w:r>
      <w:r w:rsidR="00C918EF" w:rsidRPr="005D60AD">
        <w:t>the research questions presented in</w:t>
      </w:r>
      <w:r w:rsidR="00B45081">
        <w:t xml:space="preserve"> </w:t>
      </w:r>
      <w:r w:rsidR="003A17EA">
        <w:fldChar w:fldCharType="begin"/>
      </w:r>
      <w:r w:rsidR="003A17EA">
        <w:instrText xml:space="preserve"> REF _Ref157008254 \h </w:instrText>
      </w:r>
      <w:r w:rsidR="004B1105">
        <w:instrText xml:space="preserve"> \* MERGEFORMAT </w:instrText>
      </w:r>
      <w:r w:rsidR="003A17EA">
        <w:fldChar w:fldCharType="separate"/>
      </w:r>
      <w:r w:rsidR="00932B97" w:rsidRPr="0047583A">
        <w:rPr>
          <w:b/>
          <w:bCs/>
        </w:rPr>
        <w:t xml:space="preserve">Table </w:t>
      </w:r>
      <w:r w:rsidR="00932B97">
        <w:rPr>
          <w:b/>
          <w:bCs/>
          <w:noProof/>
        </w:rPr>
        <w:t>1</w:t>
      </w:r>
      <w:r w:rsidR="003A17EA">
        <w:fldChar w:fldCharType="end"/>
      </w:r>
      <w:r w:rsidR="00B70C4C">
        <w:t>.</w:t>
      </w:r>
      <w:r w:rsidR="000D400B">
        <w:rPr>
          <w:rStyle w:val="EndnoteReference"/>
        </w:rPr>
        <w:endnoteReference w:id="50"/>
      </w:r>
      <w:r w:rsidR="00B72F42" w:rsidRPr="005D60AD">
        <w:t xml:space="preserve"> </w:t>
      </w:r>
      <w:r w:rsidR="009D7D50" w:rsidRPr="005D60AD">
        <w:t>T</w:t>
      </w:r>
      <w:r w:rsidR="00927217" w:rsidRPr="005D60AD">
        <w:t xml:space="preserve">his data inventory </w:t>
      </w:r>
      <w:r w:rsidR="00854895" w:rsidRPr="005D60AD">
        <w:t>identifies</w:t>
      </w:r>
      <w:r w:rsidR="00927217" w:rsidRPr="005D60AD">
        <w:t xml:space="preserve"> </w:t>
      </w:r>
      <w:r w:rsidR="00C159BD" w:rsidRPr="005D60AD">
        <w:t>select</w:t>
      </w:r>
      <w:r w:rsidR="0035111B" w:rsidRPr="005D60AD">
        <w:t xml:space="preserve"> data source</w:t>
      </w:r>
      <w:r w:rsidR="00C159BD" w:rsidRPr="005D60AD">
        <w:t>s</w:t>
      </w:r>
      <w:r w:rsidR="005D77E4">
        <w:t>,</w:t>
      </w:r>
      <w:r w:rsidR="0AE77DB3" w:rsidDel="005D77E4">
        <w:t xml:space="preserve"> </w:t>
      </w:r>
      <w:r w:rsidR="0AE77DB3">
        <w:t>details their</w:t>
      </w:r>
      <w:r w:rsidR="0035111B" w:rsidRPr="005D60AD">
        <w:t xml:space="preserve"> design</w:t>
      </w:r>
      <w:r w:rsidR="005F66D7">
        <w:t>,</w:t>
      </w:r>
      <w:r w:rsidR="0035111B" w:rsidRPr="005D60AD">
        <w:t xml:space="preserve"> </w:t>
      </w:r>
      <w:r w:rsidR="00F12DAE" w:rsidRPr="005D60AD">
        <w:t>and</w:t>
      </w:r>
      <w:r w:rsidR="0035111B" w:rsidRPr="005D60AD">
        <w:t xml:space="preserve"> </w:t>
      </w:r>
      <w:r w:rsidR="007C0F45">
        <w:t xml:space="preserve">lists </w:t>
      </w:r>
      <w:r w:rsidR="3928D6EF">
        <w:t xml:space="preserve">the </w:t>
      </w:r>
      <w:r w:rsidR="00927217" w:rsidRPr="005D60AD">
        <w:t>specific measures of wealth and college</w:t>
      </w:r>
      <w:r w:rsidR="00F12DAE" w:rsidRPr="005D60AD">
        <w:t xml:space="preserve"> </w:t>
      </w:r>
      <w:r w:rsidR="0039041C" w:rsidRPr="005D60AD">
        <w:t xml:space="preserve">outcomes </w:t>
      </w:r>
      <w:r w:rsidR="052F409F">
        <w:t>offer</w:t>
      </w:r>
      <w:r w:rsidR="00D56116">
        <w:t>ed by each</w:t>
      </w:r>
      <w:r w:rsidR="2211E8ED" w:rsidRPr="005D60AD">
        <w:t>.</w:t>
      </w:r>
      <w:r w:rsidR="007422A8" w:rsidRPr="005D60AD">
        <w:t xml:space="preserve"> </w:t>
      </w:r>
      <w:r w:rsidR="00B4753E">
        <w:t>W</w:t>
      </w:r>
      <w:r w:rsidR="005C5D46" w:rsidRPr="005D60AD">
        <w:t>hile</w:t>
      </w:r>
      <w:r w:rsidR="00C64836" w:rsidRPr="005D60AD">
        <w:t xml:space="preserve"> most datasets </w:t>
      </w:r>
      <w:r w:rsidR="0093018A" w:rsidRPr="005D60AD">
        <w:t>do not include comprehensive information on both wealth and college outcomes</w:t>
      </w:r>
      <w:r w:rsidR="005C5D46" w:rsidRPr="005D60AD">
        <w:t xml:space="preserve">, </w:t>
      </w:r>
      <w:r w:rsidR="00B4753E" w:rsidRPr="00722D50">
        <w:t xml:space="preserve">the data inventory </w:t>
      </w:r>
      <w:r w:rsidR="00BE2B9C" w:rsidRPr="00722D50">
        <w:t>reveals</w:t>
      </w:r>
      <w:r w:rsidR="13FC4E53" w:rsidRPr="00722D50">
        <w:t xml:space="preserve"> the feasibility of conducting</w:t>
      </w:r>
      <w:r w:rsidR="005E19EC" w:rsidRPr="00722D50">
        <w:t xml:space="preserve"> </w:t>
      </w:r>
      <w:r w:rsidR="004E3B57" w:rsidRPr="00722D50">
        <w:t xml:space="preserve">some </w:t>
      </w:r>
      <w:r w:rsidR="001C29B9" w:rsidRPr="00722D50">
        <w:t>analyses</w:t>
      </w:r>
      <w:r w:rsidR="00290585" w:rsidRPr="005D60AD">
        <w:t xml:space="preserve"> </w:t>
      </w:r>
      <w:r w:rsidR="166EE78A" w:rsidRPr="005D60AD">
        <w:t>o</w:t>
      </w:r>
      <w:r w:rsidR="5D93EDA4">
        <w:t>n</w:t>
      </w:r>
      <w:r w:rsidR="00290585" w:rsidRPr="005D60AD">
        <w:t xml:space="preserve"> the cyclical </w:t>
      </w:r>
      <w:r w:rsidR="00781355" w:rsidRPr="005D60AD">
        <w:t xml:space="preserve">relationship between </w:t>
      </w:r>
      <w:r w:rsidR="00290585" w:rsidRPr="005D60AD">
        <w:t xml:space="preserve">higher education and </w:t>
      </w:r>
      <w:r w:rsidR="00B067DC" w:rsidRPr="005D60AD">
        <w:t xml:space="preserve">the racial </w:t>
      </w:r>
      <w:r w:rsidR="00290585" w:rsidRPr="005D60AD">
        <w:t xml:space="preserve">wealth </w:t>
      </w:r>
      <w:r w:rsidR="00B067DC" w:rsidRPr="005D60AD">
        <w:t>gap</w:t>
      </w:r>
      <w:r w:rsidR="00290585" w:rsidRPr="005D60AD" w:rsidDel="00835451">
        <w:t xml:space="preserve"> </w:t>
      </w:r>
      <w:r w:rsidR="55EF8FF8">
        <w:t>using</w:t>
      </w:r>
      <w:r w:rsidR="00485624" w:rsidRPr="005D60AD">
        <w:t xml:space="preserve"> currently available data</w:t>
      </w:r>
      <w:r w:rsidR="00FC7DD3" w:rsidRPr="005D60AD">
        <w:t>.</w:t>
      </w:r>
      <w:r w:rsidR="00FF7881" w:rsidRPr="005D60AD">
        <w:t xml:space="preserve"> </w:t>
      </w:r>
    </w:p>
    <w:p w14:paraId="3A6529B1" w14:textId="77777777" w:rsidR="00FD7A05" w:rsidRDefault="00FD7A05" w:rsidP="004B1105">
      <w:pPr>
        <w:pStyle w:val="NoSpacing"/>
      </w:pPr>
    </w:p>
    <w:p w14:paraId="47A439F4" w14:textId="489A1E57" w:rsidR="0091711F" w:rsidRPr="005D60AD" w:rsidRDefault="2823987B" w:rsidP="004B1105">
      <w:pPr>
        <w:pStyle w:val="NoSpacing"/>
      </w:pPr>
      <w:r>
        <w:t>Each data source offers</w:t>
      </w:r>
      <w:r w:rsidDel="00A76435">
        <w:t xml:space="preserve"> </w:t>
      </w:r>
      <w:r>
        <w:t xml:space="preserve">strengths and weaknesses that should be considered </w:t>
      </w:r>
      <w:r w:rsidR="00813F41">
        <w:t xml:space="preserve">in the context of specific </w:t>
      </w:r>
      <w:r>
        <w:t xml:space="preserve">research </w:t>
      </w:r>
      <w:r w:rsidR="00B57667">
        <w:t>goals</w:t>
      </w:r>
      <w:r w:rsidR="00FD7A05">
        <w:t>:</w:t>
      </w:r>
    </w:p>
    <w:p w14:paraId="0C54C5BA" w14:textId="77777777" w:rsidR="006423E1" w:rsidRPr="005D60AD" w:rsidRDefault="006423E1" w:rsidP="004B1105">
      <w:pPr>
        <w:pStyle w:val="NoSpacing"/>
      </w:pPr>
    </w:p>
    <w:p w14:paraId="6BE42023" w14:textId="08E6F02C" w:rsidR="00512C53" w:rsidRPr="005D60AD" w:rsidRDefault="00835451" w:rsidP="00FB60EF">
      <w:pPr>
        <w:pStyle w:val="NoSpacing"/>
        <w:numPr>
          <w:ilvl w:val="0"/>
          <w:numId w:val="10"/>
        </w:numPr>
      </w:pPr>
      <w:r w:rsidRPr="00143333">
        <w:rPr>
          <w:b/>
        </w:rPr>
        <w:t>Survey of Consumer Finances</w:t>
      </w:r>
      <w:r w:rsidR="73F1CBF4" w:rsidRPr="72CAD2E5">
        <w:rPr>
          <w:b/>
          <w:bCs/>
        </w:rPr>
        <w:t xml:space="preserve">: </w:t>
      </w:r>
      <w:r w:rsidR="6D40E348" w:rsidRPr="005D60AD">
        <w:t>While</w:t>
      </w:r>
      <w:r w:rsidRPr="005D60AD">
        <w:t xml:space="preserve"> o</w:t>
      </w:r>
      <w:r w:rsidR="007C183C" w:rsidRPr="005D60AD">
        <w:t>ften heralded as the gold</w:t>
      </w:r>
      <w:r w:rsidR="00FD4212">
        <w:t xml:space="preserve"> </w:t>
      </w:r>
      <w:r w:rsidR="007C183C" w:rsidRPr="005D60AD">
        <w:t>standard</w:t>
      </w:r>
      <w:r w:rsidR="00544741" w:rsidRPr="005D60AD">
        <w:t xml:space="preserve"> </w:t>
      </w:r>
      <w:r w:rsidRPr="005D60AD">
        <w:t>for</w:t>
      </w:r>
      <w:r w:rsidR="00544741" w:rsidRPr="005D60AD">
        <w:t xml:space="preserve"> measuring household wealth </w:t>
      </w:r>
      <w:r w:rsidR="00FD4212">
        <w:t>because of</w:t>
      </w:r>
      <w:r w:rsidR="00544741" w:rsidRPr="005D60AD">
        <w:t xml:space="preserve"> the </w:t>
      </w:r>
      <w:r w:rsidR="75D7C18C" w:rsidRPr="005D60AD">
        <w:t>comprehensive</w:t>
      </w:r>
      <w:r w:rsidR="00F57545" w:rsidRPr="005D60AD">
        <w:t xml:space="preserve"> wealth</w:t>
      </w:r>
      <w:r w:rsidR="00544741" w:rsidRPr="005D60AD">
        <w:t xml:space="preserve"> data </w:t>
      </w:r>
      <w:r w:rsidR="00B87162">
        <w:t xml:space="preserve">it </w:t>
      </w:r>
      <w:r w:rsidR="00544741" w:rsidRPr="005D60AD">
        <w:t>collect</w:t>
      </w:r>
      <w:r w:rsidR="00B87162">
        <w:t>s</w:t>
      </w:r>
      <w:r w:rsidR="199F987F" w:rsidRPr="005D60AD">
        <w:t>, its</w:t>
      </w:r>
      <w:r w:rsidR="000D23F4" w:rsidRPr="005D60AD">
        <w:t xml:space="preserve"> higher education </w:t>
      </w:r>
      <w:r w:rsidR="3E944A17" w:rsidRPr="005D60AD">
        <w:t>data</w:t>
      </w:r>
      <w:r w:rsidR="000D23F4" w:rsidRPr="005D60AD">
        <w:t xml:space="preserve"> </w:t>
      </w:r>
      <w:r w:rsidR="00FD4212">
        <w:t>are</w:t>
      </w:r>
      <w:r w:rsidR="00FD4212" w:rsidRPr="005D60AD">
        <w:t xml:space="preserve"> </w:t>
      </w:r>
      <w:r w:rsidR="000D23F4" w:rsidRPr="005D60AD">
        <w:t xml:space="preserve">limited to </w:t>
      </w:r>
      <w:r w:rsidR="00CA72BA" w:rsidRPr="005D60AD">
        <w:t xml:space="preserve">the educational </w:t>
      </w:r>
      <w:r w:rsidR="412556CF" w:rsidRPr="005D60AD">
        <w:t xml:space="preserve">attainment </w:t>
      </w:r>
      <w:r w:rsidR="00CA72BA" w:rsidRPr="00DB75E8">
        <w:t>level</w:t>
      </w:r>
      <w:r w:rsidR="00827230">
        <w:t>s</w:t>
      </w:r>
      <w:r w:rsidR="00CA72BA" w:rsidRPr="005D60AD">
        <w:t xml:space="preserve"> of </w:t>
      </w:r>
      <w:r w:rsidR="006C4CD7">
        <w:t>respondent</w:t>
      </w:r>
      <w:r w:rsidR="100E3FCD">
        <w:t>s</w:t>
      </w:r>
      <w:r w:rsidR="008E6EA4">
        <w:t>, their spouses,</w:t>
      </w:r>
      <w:r w:rsidR="006C4CD7">
        <w:t xml:space="preserve"> </w:t>
      </w:r>
      <w:r w:rsidR="00812BEA">
        <w:t xml:space="preserve">and </w:t>
      </w:r>
      <w:r w:rsidR="00CC482E">
        <w:t>their</w:t>
      </w:r>
      <w:r w:rsidR="00CA72BA" w:rsidRPr="005D60AD">
        <w:t xml:space="preserve"> parents</w:t>
      </w:r>
      <w:r w:rsidR="00B1587C" w:rsidRPr="00B1587C">
        <w:rPr>
          <w:rStyle w:val="EndnoteReference"/>
        </w:rPr>
        <w:t xml:space="preserve"> </w:t>
      </w:r>
      <w:r w:rsidR="00CC482E">
        <w:t>a</w:t>
      </w:r>
      <w:r w:rsidR="6F543B3B">
        <w:t>nd</w:t>
      </w:r>
      <w:r w:rsidR="00CC482E">
        <w:t xml:space="preserve"> </w:t>
      </w:r>
      <w:r w:rsidR="00251C3B">
        <w:t xml:space="preserve">the </w:t>
      </w:r>
      <w:r w:rsidR="00FE38C4">
        <w:t xml:space="preserve">student loan </w:t>
      </w:r>
      <w:r w:rsidR="46910F08">
        <w:t>information</w:t>
      </w:r>
      <w:r w:rsidR="008E6EA4">
        <w:t xml:space="preserve"> </w:t>
      </w:r>
      <w:r w:rsidR="008E6EA4" w:rsidRPr="005D60AD">
        <w:t xml:space="preserve">of </w:t>
      </w:r>
      <w:r w:rsidR="008E6EA4">
        <w:t>respondents</w:t>
      </w:r>
      <w:r w:rsidR="00E32149">
        <w:t xml:space="preserve"> and</w:t>
      </w:r>
      <w:r w:rsidR="008E6EA4">
        <w:t xml:space="preserve"> their spouses</w:t>
      </w:r>
      <w:r w:rsidR="00D024C8" w:rsidRPr="00DB75E8">
        <w:t>.</w:t>
      </w:r>
      <w:r w:rsidR="009C5D46" w:rsidRPr="00DB75E8">
        <w:t xml:space="preserve"> </w:t>
      </w:r>
    </w:p>
    <w:p w14:paraId="26F5983A" w14:textId="77777777" w:rsidR="00512C53" w:rsidRPr="005D60AD" w:rsidRDefault="00512C53" w:rsidP="004B1105">
      <w:pPr>
        <w:pStyle w:val="NoSpacing"/>
      </w:pPr>
    </w:p>
    <w:p w14:paraId="03755361" w14:textId="3B4F559B" w:rsidR="005A2975" w:rsidRDefault="0037327E" w:rsidP="00FB60EF">
      <w:pPr>
        <w:pStyle w:val="NoSpacing"/>
        <w:numPr>
          <w:ilvl w:val="0"/>
          <w:numId w:val="10"/>
        </w:numPr>
      </w:pPr>
      <w:r>
        <w:rPr>
          <w:b/>
          <w:bCs/>
        </w:rPr>
        <w:t xml:space="preserve">U.S. Department of Education </w:t>
      </w:r>
      <w:r w:rsidR="00FA36DB">
        <w:rPr>
          <w:b/>
          <w:bCs/>
        </w:rPr>
        <w:t>l</w:t>
      </w:r>
      <w:r w:rsidR="00FA36DB" w:rsidRPr="006A409B">
        <w:rPr>
          <w:b/>
        </w:rPr>
        <w:t xml:space="preserve">ongitudinal </w:t>
      </w:r>
      <w:r w:rsidR="00FA36DB">
        <w:rPr>
          <w:b/>
        </w:rPr>
        <w:t>s</w:t>
      </w:r>
      <w:r w:rsidR="00DA3EE8" w:rsidRPr="004641BB">
        <w:rPr>
          <w:b/>
        </w:rPr>
        <w:t>ample</w:t>
      </w:r>
      <w:r w:rsidR="004460E4" w:rsidRPr="004641BB">
        <w:rPr>
          <w:b/>
        </w:rPr>
        <w:t xml:space="preserve"> </w:t>
      </w:r>
      <w:r w:rsidR="00FA36DB">
        <w:rPr>
          <w:b/>
        </w:rPr>
        <w:t>s</w:t>
      </w:r>
      <w:r w:rsidR="004460E4" w:rsidRPr="006A409B">
        <w:rPr>
          <w:b/>
        </w:rPr>
        <w:t>tudies</w:t>
      </w:r>
      <w:r w:rsidR="2FBC0527" w:rsidRPr="72CAD2E5">
        <w:rPr>
          <w:b/>
          <w:bCs/>
        </w:rPr>
        <w:t>:</w:t>
      </w:r>
      <w:r w:rsidR="004460E4" w:rsidRPr="005D60AD">
        <w:t xml:space="preserve"> </w:t>
      </w:r>
      <w:r>
        <w:t>T</w:t>
      </w:r>
      <w:r w:rsidR="6DE98BCC" w:rsidRPr="005D60AD">
        <w:t>hese studies</w:t>
      </w:r>
      <w:r w:rsidR="0017091C">
        <w:t xml:space="preserve">, including </w:t>
      </w:r>
      <w:r w:rsidR="00405686">
        <w:t>the</w:t>
      </w:r>
      <w:r w:rsidR="002B6135">
        <w:t xml:space="preserve"> Education Longitudinal Study of 2002 (ELS02),</w:t>
      </w:r>
      <w:r w:rsidR="00405686">
        <w:t xml:space="preserve"> High School Longitudinal Study of 2009 (HSLS09), </w:t>
      </w:r>
      <w:r w:rsidR="45817234">
        <w:t>Baccalaureate</w:t>
      </w:r>
      <w:r w:rsidR="00DA0E0F">
        <w:t xml:space="preserve"> and Beyond </w:t>
      </w:r>
      <w:r w:rsidR="00361672">
        <w:t>Long</w:t>
      </w:r>
      <w:r w:rsidR="002F326E">
        <w:t xml:space="preserve">itudinal Study </w:t>
      </w:r>
      <w:r w:rsidR="0097040C">
        <w:t>(B&amp;B)</w:t>
      </w:r>
      <w:r w:rsidR="005E74DD">
        <w:t>,</w:t>
      </w:r>
      <w:r w:rsidR="001F0102">
        <w:t xml:space="preserve"> and</w:t>
      </w:r>
      <w:r w:rsidR="0097040C">
        <w:t xml:space="preserve"> Beginning Postsecondary </w:t>
      </w:r>
      <w:r w:rsidR="00240F79">
        <w:t>Students</w:t>
      </w:r>
      <w:r w:rsidR="00361672">
        <w:t xml:space="preserve"> </w:t>
      </w:r>
      <w:r w:rsidR="00361672">
        <w:lastRenderedPageBreak/>
        <w:t xml:space="preserve">Longitudinal </w:t>
      </w:r>
      <w:r w:rsidR="0097040C">
        <w:t xml:space="preserve">Study (BPS), </w:t>
      </w:r>
      <w:r w:rsidR="004460E4" w:rsidRPr="005D60AD">
        <w:t xml:space="preserve">collect </w:t>
      </w:r>
      <w:r w:rsidR="6AAF240D" w:rsidRPr="005D60AD">
        <w:t>in-depth</w:t>
      </w:r>
      <w:r w:rsidR="00246B30">
        <w:t xml:space="preserve"> data</w:t>
      </w:r>
      <w:r w:rsidR="009E0085">
        <w:t xml:space="preserve"> on college attendance, experiences, and outcomes</w:t>
      </w:r>
      <w:r w:rsidR="00246B30">
        <w:t>,</w:t>
      </w:r>
      <w:r w:rsidR="00C95A54">
        <w:t xml:space="preserve"> </w:t>
      </w:r>
      <w:r w:rsidR="02654A74" w:rsidRPr="005D60AD">
        <w:t>track</w:t>
      </w:r>
      <w:r w:rsidR="30B68668" w:rsidRPr="005D60AD">
        <w:t>ing</w:t>
      </w:r>
      <w:r w:rsidR="004460E4" w:rsidRPr="005D60AD">
        <w:t xml:space="preserve"> s</w:t>
      </w:r>
      <w:r w:rsidR="6F9F46D9" w:rsidRPr="005D60AD">
        <w:t>tudent</w:t>
      </w:r>
      <w:r w:rsidR="004460E4" w:rsidRPr="005D60AD">
        <w:t xml:space="preserve"> cohorts </w:t>
      </w:r>
      <w:r w:rsidR="505E87BB" w:rsidRPr="005D60AD">
        <w:t>through their higher education journey</w:t>
      </w:r>
      <w:r w:rsidR="00436388">
        <w:t xml:space="preserve"> and beyond</w:t>
      </w:r>
      <w:r w:rsidR="505E87BB" w:rsidRPr="005D60AD">
        <w:t>.</w:t>
      </w:r>
      <w:r w:rsidR="00185F37" w:rsidRPr="005D60AD">
        <w:t xml:space="preserve"> </w:t>
      </w:r>
      <w:r w:rsidR="0BF20F5B" w:rsidRPr="005D60AD">
        <w:t>However,</w:t>
      </w:r>
      <w:r w:rsidR="00292C86">
        <w:t xml:space="preserve"> readily available</w:t>
      </w:r>
      <w:r w:rsidR="4081C624">
        <w:t xml:space="preserve"> wealth data is scarce</w:t>
      </w:r>
      <w:r w:rsidR="002B2F9C">
        <w:t>.</w:t>
      </w:r>
      <w:r w:rsidR="4081C624">
        <w:t xml:space="preserve"> </w:t>
      </w:r>
      <w:r w:rsidR="002B2F9C">
        <w:t>O</w:t>
      </w:r>
      <w:r w:rsidR="003F23B5">
        <w:t xml:space="preserve">nly </w:t>
      </w:r>
      <w:r w:rsidR="4081C624">
        <w:t xml:space="preserve">the </w:t>
      </w:r>
      <w:r w:rsidR="008930C2">
        <w:t>discontinued</w:t>
      </w:r>
      <w:r w:rsidR="4081C624">
        <w:t xml:space="preserve"> </w:t>
      </w:r>
      <w:r w:rsidR="008B7B5C" w:rsidRPr="005D60AD">
        <w:t>B&amp;B study</w:t>
      </w:r>
      <w:r w:rsidR="520CBC53" w:rsidRPr="005D60AD">
        <w:t xml:space="preserve"> </w:t>
      </w:r>
      <w:r w:rsidR="006424AD">
        <w:t>of</w:t>
      </w:r>
      <w:r w:rsidR="002E46F0">
        <w:t xml:space="preserve"> bachelor’s degree recipients</w:t>
      </w:r>
      <w:r w:rsidR="520CBC53" w:rsidRPr="005D60AD">
        <w:t xml:space="preserve"> offer</w:t>
      </w:r>
      <w:r w:rsidR="00E57473">
        <w:t>s</w:t>
      </w:r>
      <w:r w:rsidR="520CBC53" w:rsidRPr="005D60AD">
        <w:t xml:space="preserve"> a limited proxy measure </w:t>
      </w:r>
      <w:r w:rsidR="0011684C">
        <w:t>for wealth</w:t>
      </w:r>
      <w:r w:rsidR="7E6B7189">
        <w:t>.</w:t>
      </w:r>
      <w:r w:rsidR="00752F64">
        <w:rPr>
          <w:rStyle w:val="EndnoteReference"/>
        </w:rPr>
        <w:endnoteReference w:id="51"/>
      </w:r>
      <w:r w:rsidR="008B7B5C" w:rsidRPr="00DB75E8">
        <w:t xml:space="preserve"> </w:t>
      </w:r>
      <w:r w:rsidR="008405FC">
        <w:t>Detailed wealth information is only available through restricted</w:t>
      </w:r>
      <w:r w:rsidR="008E2D52">
        <w:t>-</w:t>
      </w:r>
      <w:r w:rsidR="008405FC">
        <w:t xml:space="preserve">use access, </w:t>
      </w:r>
      <w:r w:rsidR="008E2D52">
        <w:t>as described below.</w:t>
      </w:r>
    </w:p>
    <w:p w14:paraId="656FFBE8" w14:textId="164FB793" w:rsidR="00D73FD1" w:rsidRPr="005D60AD" w:rsidRDefault="452E0DB0" w:rsidP="00FB60EF">
      <w:pPr>
        <w:pStyle w:val="NoSpacing"/>
        <w:numPr>
          <w:ilvl w:val="0"/>
          <w:numId w:val="10"/>
        </w:numPr>
      </w:pPr>
      <w:r w:rsidRPr="006A409B">
        <w:rPr>
          <w:b/>
        </w:rPr>
        <w:t>Restricted-</w:t>
      </w:r>
      <w:r w:rsidR="00EB6B7E" w:rsidRPr="006A409B">
        <w:rPr>
          <w:b/>
        </w:rPr>
        <w:t>use v</w:t>
      </w:r>
      <w:r w:rsidRPr="006A409B">
        <w:rPr>
          <w:b/>
        </w:rPr>
        <w:t xml:space="preserve">ersions of </w:t>
      </w:r>
      <w:r w:rsidR="004D4B3A">
        <w:rPr>
          <w:b/>
          <w:bCs/>
        </w:rPr>
        <w:t xml:space="preserve">U.S. Department of Education </w:t>
      </w:r>
      <w:r w:rsidR="00FA36DB">
        <w:rPr>
          <w:b/>
        </w:rPr>
        <w:t>s</w:t>
      </w:r>
      <w:r w:rsidR="00FA36DB" w:rsidRPr="006A409B">
        <w:rPr>
          <w:b/>
        </w:rPr>
        <w:t xml:space="preserve">ample </w:t>
      </w:r>
      <w:r w:rsidR="00FA36DB">
        <w:rPr>
          <w:b/>
        </w:rPr>
        <w:t>s</w:t>
      </w:r>
      <w:r w:rsidR="00FA36DB" w:rsidRPr="006A409B">
        <w:rPr>
          <w:b/>
        </w:rPr>
        <w:t>tudies</w:t>
      </w:r>
      <w:r w:rsidRPr="006A409B">
        <w:rPr>
          <w:b/>
        </w:rPr>
        <w:t>:</w:t>
      </w:r>
      <w:r>
        <w:t xml:space="preserve"> The</w:t>
      </w:r>
      <w:r w:rsidR="006570F2" w:rsidRPr="006570F2">
        <w:t xml:space="preserve"> restricted-use versions of </w:t>
      </w:r>
      <w:r w:rsidR="000A7145">
        <w:t>the</w:t>
      </w:r>
      <w:r w:rsidR="006570F2" w:rsidRPr="006570F2">
        <w:t xml:space="preserve"> sample studies</w:t>
      </w:r>
      <w:r w:rsidR="007312ED">
        <w:t>, including B&amp;B, BPS,</w:t>
      </w:r>
      <w:r w:rsidR="001219A5">
        <w:t xml:space="preserve"> </w:t>
      </w:r>
      <w:r w:rsidR="001C214B">
        <w:t xml:space="preserve">ELS2002, </w:t>
      </w:r>
      <w:r w:rsidR="001219A5">
        <w:t>HSLS09,</w:t>
      </w:r>
      <w:r w:rsidR="007312ED">
        <w:t xml:space="preserve"> and the National Postsecondary Student Aid Study (NPSAS),</w:t>
      </w:r>
      <w:r w:rsidR="006570F2" w:rsidRPr="006570F2">
        <w:t xml:space="preserve"> </w:t>
      </w:r>
      <w:r w:rsidR="000C7F86">
        <w:t xml:space="preserve">use </w:t>
      </w:r>
      <w:r w:rsidR="00E6515F">
        <w:t>administrative</w:t>
      </w:r>
      <w:r w:rsidR="006570F2" w:rsidRPr="006570F2">
        <w:t xml:space="preserve"> data from the F</w:t>
      </w:r>
      <w:r w:rsidR="29D67971">
        <w:t xml:space="preserve">ree </w:t>
      </w:r>
      <w:r w:rsidR="006570F2" w:rsidRPr="006570F2">
        <w:t>A</w:t>
      </w:r>
      <w:r w:rsidR="37FC1A77">
        <w:t xml:space="preserve">pplication </w:t>
      </w:r>
      <w:r w:rsidR="70EF2C08">
        <w:t xml:space="preserve">for </w:t>
      </w:r>
      <w:r w:rsidR="006570F2" w:rsidRPr="006570F2">
        <w:t>F</w:t>
      </w:r>
      <w:r w:rsidR="70EF2C08">
        <w:t>ederal</w:t>
      </w:r>
      <w:r w:rsidR="086A2AB9">
        <w:t xml:space="preserve"> </w:t>
      </w:r>
      <w:r w:rsidR="006570F2" w:rsidRPr="006570F2">
        <w:t>S</w:t>
      </w:r>
      <w:r w:rsidR="70929E8F">
        <w:t xml:space="preserve">tudent </w:t>
      </w:r>
      <w:r w:rsidR="006570F2" w:rsidRPr="006570F2">
        <w:t>A</w:t>
      </w:r>
      <w:r w:rsidR="726F44EF">
        <w:t>id (</w:t>
      </w:r>
      <w:r w:rsidR="006570F2" w:rsidRPr="006570F2">
        <w:t>FAFSA</w:t>
      </w:r>
      <w:r w:rsidR="726F44EF">
        <w:t>)</w:t>
      </w:r>
      <w:r w:rsidR="004D5338">
        <w:t xml:space="preserve"> to provide</w:t>
      </w:r>
      <w:r w:rsidR="58A46112">
        <w:t xml:space="preserve"> valuable information</w:t>
      </w:r>
      <w:r w:rsidR="006570F2" w:rsidRPr="006570F2">
        <w:t xml:space="preserve"> on the </w:t>
      </w:r>
      <w:r w:rsidR="00A8646C">
        <w:t>assets</w:t>
      </w:r>
      <w:r w:rsidR="00A8646C" w:rsidRPr="006570F2">
        <w:t xml:space="preserve"> </w:t>
      </w:r>
      <w:r w:rsidR="00A8646C">
        <w:t>of</w:t>
      </w:r>
      <w:r w:rsidR="006570F2" w:rsidRPr="006570F2">
        <w:t xml:space="preserve"> </w:t>
      </w:r>
      <w:r w:rsidR="00CB62DA">
        <w:t xml:space="preserve">certain </w:t>
      </w:r>
      <w:r w:rsidR="006570F2" w:rsidRPr="006570F2">
        <w:t>federal aid applicants</w:t>
      </w:r>
      <w:r w:rsidR="01413078">
        <w:t xml:space="preserve"> including </w:t>
      </w:r>
      <w:r w:rsidR="00BB1676" w:rsidRPr="005D60AD">
        <w:t>owned real estate,</w:t>
      </w:r>
      <w:r w:rsidR="00FC7E1B">
        <w:rPr>
          <w:rStyle w:val="EndnoteReference"/>
        </w:rPr>
        <w:endnoteReference w:id="52"/>
      </w:r>
      <w:r w:rsidR="00BB1676" w:rsidRPr="005D60AD">
        <w:t xml:space="preserve"> farm/business worth, stocks, bonds, cash, wealth transfers through </w:t>
      </w:r>
      <w:r w:rsidR="3CBA471D">
        <w:t xml:space="preserve">custodial </w:t>
      </w:r>
      <w:r w:rsidR="00BB1676" w:rsidRPr="005D60AD">
        <w:t>accounts,</w:t>
      </w:r>
      <w:r w:rsidR="001C0DBC">
        <w:rPr>
          <w:rStyle w:val="EndnoteReference"/>
        </w:rPr>
        <w:endnoteReference w:id="53"/>
      </w:r>
      <w:r w:rsidR="00BB1676" w:rsidRPr="005D60AD">
        <w:t xml:space="preserve"> </w:t>
      </w:r>
      <w:r w:rsidR="0E582C0B" w:rsidRPr="005D60AD">
        <w:t>educational</w:t>
      </w:r>
      <w:r w:rsidR="00BB1676" w:rsidRPr="005D60AD">
        <w:t xml:space="preserve"> saving accounts</w:t>
      </w:r>
      <w:r w:rsidR="00B74BCD">
        <w:t>,</w:t>
      </w:r>
      <w:r w:rsidR="000768E5" w:rsidRPr="005D60AD">
        <w:t xml:space="preserve"> and child support received</w:t>
      </w:r>
      <w:r w:rsidR="00BB1676" w:rsidRPr="005D60AD">
        <w:t>.</w:t>
      </w:r>
      <w:r w:rsidR="001F6B16">
        <w:rPr>
          <w:rStyle w:val="EndnoteReference"/>
        </w:rPr>
        <w:endnoteReference w:id="54"/>
      </w:r>
      <w:r w:rsidR="00BB1676" w:rsidRPr="005D60AD">
        <w:t xml:space="preserve"> </w:t>
      </w:r>
      <w:r w:rsidR="0081104B">
        <w:t>But</w:t>
      </w:r>
      <w:r w:rsidR="57B2E843">
        <w:t xml:space="preserve"> </w:t>
      </w:r>
      <w:r w:rsidR="050E2DC2">
        <w:t>the FAFSA</w:t>
      </w:r>
      <w:r w:rsidR="4312444E">
        <w:t xml:space="preserve"> excludes</w:t>
      </w:r>
      <w:r w:rsidR="050E2DC2">
        <w:t xml:space="preserve"> home equity</w:t>
      </w:r>
      <w:r w:rsidRPr="1627D681">
        <w:rPr>
          <w:rStyle w:val="EndnoteReference"/>
        </w:rPr>
        <w:endnoteReference w:id="55"/>
      </w:r>
      <w:r w:rsidR="050E2DC2">
        <w:t xml:space="preserve"> </w:t>
      </w:r>
      <w:r w:rsidR="493F738C">
        <w:t xml:space="preserve">and </w:t>
      </w:r>
      <w:r w:rsidR="050E2DC2">
        <w:t xml:space="preserve">retirement savings, offering </w:t>
      </w:r>
      <w:r w:rsidR="0081104B">
        <w:t xml:space="preserve">only </w:t>
      </w:r>
      <w:r w:rsidR="050E2DC2">
        <w:t xml:space="preserve">a partial view of </w:t>
      </w:r>
      <w:r w:rsidR="00214112">
        <w:t>applicants’</w:t>
      </w:r>
      <w:r w:rsidR="050E2DC2">
        <w:t xml:space="preserve"> </w:t>
      </w:r>
      <w:r w:rsidR="4CE3262C">
        <w:t>economic resources</w:t>
      </w:r>
      <w:r w:rsidR="00F146F7" w:rsidRPr="006A409B">
        <w:t>.</w:t>
      </w:r>
      <w:r w:rsidR="00EA44FA">
        <w:t xml:space="preserve"> F</w:t>
      </w:r>
      <w:r w:rsidR="00D104DC">
        <w:t>inancial aid applicants with</w:t>
      </w:r>
      <w:r w:rsidR="00EA44FA">
        <w:t xml:space="preserve"> annual</w:t>
      </w:r>
      <w:r w:rsidR="00D104DC">
        <w:t xml:space="preserve"> household incomes below </w:t>
      </w:r>
      <w:r w:rsidR="00CB7A7F">
        <w:t xml:space="preserve">$60,000 are not </w:t>
      </w:r>
      <w:r w:rsidR="00B663DE">
        <w:t>required to report</w:t>
      </w:r>
      <w:r w:rsidR="00B663DE" w:rsidDel="0081104B">
        <w:t xml:space="preserve"> </w:t>
      </w:r>
      <w:r w:rsidR="00B663DE">
        <w:t>assets on the FAFSA.</w:t>
      </w:r>
      <w:r w:rsidR="00B663DE">
        <w:rPr>
          <w:rStyle w:val="EndnoteReference"/>
        </w:rPr>
        <w:endnoteReference w:id="56"/>
      </w:r>
    </w:p>
    <w:p w14:paraId="4B12BDF5" w14:textId="2899A4FF" w:rsidR="00974137" w:rsidRDefault="00C7466B" w:rsidP="00FB60EF">
      <w:pPr>
        <w:pStyle w:val="ListParagraph"/>
        <w:numPr>
          <w:ilvl w:val="0"/>
          <w:numId w:val="10"/>
        </w:numPr>
      </w:pPr>
      <w:r w:rsidRPr="00A76DE5">
        <w:rPr>
          <w:rFonts w:eastAsiaTheme="minorHAnsi" w:cstheme="minorBidi"/>
          <w:b/>
          <w:szCs w:val="22"/>
        </w:rPr>
        <w:t>National Longitudinal Survey of Youth</w:t>
      </w:r>
      <w:r w:rsidR="75A7F756" w:rsidRPr="106BF36F">
        <w:rPr>
          <w:b/>
          <w:bCs/>
        </w:rPr>
        <w:t xml:space="preserve"> </w:t>
      </w:r>
      <w:r w:rsidRPr="00A76DE5">
        <w:rPr>
          <w:rFonts w:eastAsiaTheme="minorHAnsi" w:cstheme="minorBidi"/>
          <w:b/>
          <w:szCs w:val="22"/>
        </w:rPr>
        <w:t xml:space="preserve">1997 </w:t>
      </w:r>
      <w:r w:rsidR="443EA465" w:rsidRPr="106BF36F">
        <w:rPr>
          <w:b/>
          <w:bCs/>
        </w:rPr>
        <w:t>(NLSY97)</w:t>
      </w:r>
      <w:r w:rsidRPr="00A76DE5">
        <w:rPr>
          <w:rFonts w:eastAsiaTheme="minorHAnsi" w:cstheme="minorBidi"/>
          <w:b/>
          <w:szCs w:val="22"/>
        </w:rPr>
        <w:t xml:space="preserve"> and the </w:t>
      </w:r>
      <w:r w:rsidR="00496CC3" w:rsidRPr="00A76DE5">
        <w:rPr>
          <w:rFonts w:eastAsiaTheme="minorHAnsi" w:cstheme="minorBidi"/>
          <w:b/>
          <w:szCs w:val="22"/>
        </w:rPr>
        <w:t>Panel Study of Income Dynamics</w:t>
      </w:r>
      <w:r w:rsidR="3D382BA3" w:rsidRPr="106BF36F">
        <w:rPr>
          <w:b/>
          <w:bCs/>
        </w:rPr>
        <w:t xml:space="preserve"> </w:t>
      </w:r>
      <w:r w:rsidR="00496CC3" w:rsidRPr="00A76DE5">
        <w:rPr>
          <w:rFonts w:eastAsiaTheme="minorHAnsi" w:cstheme="minorBidi"/>
          <w:b/>
          <w:szCs w:val="22"/>
        </w:rPr>
        <w:t xml:space="preserve">Transition </w:t>
      </w:r>
      <w:r w:rsidR="0085473C">
        <w:rPr>
          <w:rFonts w:eastAsiaTheme="minorHAnsi" w:cstheme="minorBidi"/>
          <w:b/>
          <w:szCs w:val="22"/>
        </w:rPr>
        <w:t>in</w:t>
      </w:r>
      <w:r w:rsidR="00496CC3" w:rsidRPr="00A76DE5">
        <w:rPr>
          <w:rFonts w:eastAsiaTheme="minorHAnsi" w:cstheme="minorBidi"/>
          <w:b/>
          <w:szCs w:val="22"/>
        </w:rPr>
        <w:t>to Adulthood Supplement</w:t>
      </w:r>
      <w:r w:rsidR="000839F0" w:rsidRPr="00A76DE5">
        <w:rPr>
          <w:rFonts w:eastAsiaTheme="minorHAnsi" w:cstheme="minorBidi"/>
          <w:b/>
          <w:szCs w:val="22"/>
        </w:rPr>
        <w:t xml:space="preserve"> </w:t>
      </w:r>
      <w:r w:rsidR="5A6585C0" w:rsidRPr="106BF36F">
        <w:rPr>
          <w:b/>
          <w:bCs/>
        </w:rPr>
        <w:t>(</w:t>
      </w:r>
      <w:r w:rsidR="000839F0" w:rsidRPr="00A76DE5">
        <w:rPr>
          <w:rFonts w:eastAsiaTheme="minorHAnsi" w:cstheme="minorBidi"/>
          <w:b/>
          <w:szCs w:val="22"/>
        </w:rPr>
        <w:t>PSID-TAS</w:t>
      </w:r>
      <w:r w:rsidR="00496CC3" w:rsidRPr="00A76DE5">
        <w:rPr>
          <w:rFonts w:eastAsiaTheme="minorHAnsi" w:cstheme="minorBidi"/>
          <w:b/>
          <w:szCs w:val="22"/>
        </w:rPr>
        <w:t>)</w:t>
      </w:r>
      <w:r w:rsidR="3F45FD0F" w:rsidRPr="106BF36F">
        <w:rPr>
          <w:b/>
          <w:bCs/>
        </w:rPr>
        <w:t>:</w:t>
      </w:r>
      <w:r w:rsidR="00947A82" w:rsidDel="00947A82">
        <w:t xml:space="preserve"> </w:t>
      </w:r>
      <w:r w:rsidR="6CE3CE14">
        <w:t xml:space="preserve">These </w:t>
      </w:r>
      <w:r w:rsidR="004B6D8B">
        <w:t>nationally</w:t>
      </w:r>
      <w:r w:rsidR="007C25F6">
        <w:t xml:space="preserve"> </w:t>
      </w:r>
      <w:r w:rsidR="004B6D8B">
        <w:t xml:space="preserve">representative </w:t>
      </w:r>
      <w:r w:rsidR="6CE3CE14">
        <w:t xml:space="preserve">datasets </w:t>
      </w:r>
      <w:r w:rsidR="00D65D15">
        <w:t>of you</w:t>
      </w:r>
      <w:r w:rsidR="00BD2ABB">
        <w:t xml:space="preserve">ng adults </w:t>
      </w:r>
      <w:r w:rsidR="009F0159">
        <w:t xml:space="preserve">include </w:t>
      </w:r>
      <w:r w:rsidR="00656FD0">
        <w:t xml:space="preserve">significant </w:t>
      </w:r>
      <w:r w:rsidR="003C166B">
        <w:t xml:space="preserve">household </w:t>
      </w:r>
      <w:r w:rsidR="00656FD0">
        <w:t xml:space="preserve">wealth data from </w:t>
      </w:r>
      <w:r w:rsidR="008A2669">
        <w:t xml:space="preserve">their </w:t>
      </w:r>
      <w:r w:rsidR="00656FD0">
        <w:t xml:space="preserve">parents and households </w:t>
      </w:r>
      <w:r w:rsidR="49C73A80">
        <w:t>alongside</w:t>
      </w:r>
      <w:r w:rsidR="00A40B35">
        <w:t xml:space="preserve"> college </w:t>
      </w:r>
      <w:r w:rsidR="003C166B">
        <w:t xml:space="preserve">enrollment and </w:t>
      </w:r>
      <w:r w:rsidR="00A40B35">
        <w:t>outcome</w:t>
      </w:r>
      <w:r w:rsidR="772A9F5A">
        <w:t xml:space="preserve"> measures</w:t>
      </w:r>
      <w:r w:rsidR="00656FD0">
        <w:t>.</w:t>
      </w:r>
      <w:r w:rsidR="00FC3B4E">
        <w:t xml:space="preserve"> U</w:t>
      </w:r>
      <w:r w:rsidR="00C8027A">
        <w:t>nder</w:t>
      </w:r>
      <w:r w:rsidR="00A95584">
        <w:t xml:space="preserve"> restricted-use agreements</w:t>
      </w:r>
      <w:r w:rsidR="0027163C">
        <w:t xml:space="preserve">, </w:t>
      </w:r>
      <w:r w:rsidR="00285168">
        <w:t>these studies can be</w:t>
      </w:r>
      <w:r w:rsidR="0027163C">
        <w:t xml:space="preserve"> </w:t>
      </w:r>
      <w:r w:rsidR="5A28E0FE">
        <w:t>link</w:t>
      </w:r>
      <w:r w:rsidR="00285168">
        <w:t>ed</w:t>
      </w:r>
      <w:r w:rsidR="5A28E0FE">
        <w:t xml:space="preserve"> to</w:t>
      </w:r>
      <w:r>
        <w:t xml:space="preserve"> the Integrated Postsecondary Education Data System (IPEDS)</w:t>
      </w:r>
      <w:r w:rsidR="00285168">
        <w:t>,</w:t>
      </w:r>
      <w:r w:rsidR="0EAB8251">
        <w:t xml:space="preserve"> </w:t>
      </w:r>
      <w:r w:rsidR="00285168">
        <w:t>which</w:t>
      </w:r>
      <w:r w:rsidR="0EAB8251">
        <w:t xml:space="preserve"> allows </w:t>
      </w:r>
      <w:r w:rsidR="00285168">
        <w:t>for the</w:t>
      </w:r>
      <w:r w:rsidR="0EAB8251">
        <w:t xml:space="preserve"> identification of specific colleges attended</w:t>
      </w:r>
      <w:r w:rsidR="002B50BD">
        <w:t xml:space="preserve"> by respondents</w:t>
      </w:r>
      <w:r w:rsidR="00155E44" w:rsidRPr="00350695">
        <w:t xml:space="preserve">. </w:t>
      </w:r>
    </w:p>
    <w:p w14:paraId="01AA2E4E" w14:textId="77777777" w:rsidR="00974137" w:rsidRDefault="00974137" w:rsidP="004B1105">
      <w:pPr>
        <w:pStyle w:val="ListParagraph"/>
      </w:pPr>
    </w:p>
    <w:p w14:paraId="2743874A" w14:textId="6069EF70" w:rsidR="00DF404E" w:rsidRPr="00864D1F" w:rsidRDefault="7033C3C7" w:rsidP="004B1105">
      <w:pPr>
        <w:rPr>
          <w:szCs w:val="22"/>
        </w:rPr>
      </w:pPr>
      <w:r w:rsidRPr="00864D1F">
        <w:rPr>
          <w:szCs w:val="22"/>
        </w:rPr>
        <w:t>All</w:t>
      </w:r>
      <w:r w:rsidR="00155E44" w:rsidRPr="00864D1F">
        <w:rPr>
          <w:szCs w:val="22"/>
        </w:rPr>
        <w:t xml:space="preserve"> datasets </w:t>
      </w:r>
      <w:r w:rsidR="00A77328" w:rsidRPr="00864D1F">
        <w:rPr>
          <w:szCs w:val="22"/>
        </w:rPr>
        <w:t xml:space="preserve">in </w:t>
      </w:r>
      <w:r w:rsidR="007313EC" w:rsidRPr="00864D1F">
        <w:rPr>
          <w:szCs w:val="22"/>
        </w:rPr>
        <w:fldChar w:fldCharType="begin"/>
      </w:r>
      <w:r w:rsidR="007313EC" w:rsidRPr="00864D1F">
        <w:rPr>
          <w:szCs w:val="22"/>
        </w:rPr>
        <w:instrText xml:space="preserve"> REF _Ref160095743 \h </w:instrText>
      </w:r>
      <w:r w:rsidR="00864D1F" w:rsidRPr="00864D1F">
        <w:rPr>
          <w:szCs w:val="22"/>
        </w:rPr>
        <w:instrText xml:space="preserve"> \* MERGEFORMAT </w:instrText>
      </w:r>
      <w:r w:rsidR="007313EC" w:rsidRPr="00864D1F">
        <w:rPr>
          <w:szCs w:val="22"/>
        </w:rPr>
      </w:r>
      <w:r w:rsidR="007313EC" w:rsidRPr="00864D1F">
        <w:rPr>
          <w:szCs w:val="22"/>
        </w:rPr>
        <w:fldChar w:fldCharType="separate"/>
      </w:r>
      <w:r w:rsidR="00932B97" w:rsidRPr="00F12147">
        <w:rPr>
          <w:rFonts w:cstheme="minorBidi"/>
          <w:b/>
          <w:szCs w:val="22"/>
        </w:rPr>
        <w:t>Table 2</w:t>
      </w:r>
      <w:r w:rsidR="007313EC" w:rsidRPr="00864D1F">
        <w:rPr>
          <w:szCs w:val="22"/>
        </w:rPr>
        <w:fldChar w:fldCharType="end"/>
      </w:r>
      <w:r w:rsidR="007313EC" w:rsidRPr="00864D1F">
        <w:rPr>
          <w:szCs w:val="22"/>
        </w:rPr>
        <w:t xml:space="preserve"> </w:t>
      </w:r>
      <w:r w:rsidR="00480F15" w:rsidRPr="00864D1F">
        <w:rPr>
          <w:szCs w:val="22"/>
        </w:rPr>
        <w:t>report race and ethnicity data</w:t>
      </w:r>
      <w:r w:rsidR="0014238F" w:rsidRPr="00864D1F">
        <w:rPr>
          <w:szCs w:val="22"/>
        </w:rPr>
        <w:t xml:space="preserve">, </w:t>
      </w:r>
      <w:r w:rsidR="00CB0DE6" w:rsidRPr="00864D1F">
        <w:rPr>
          <w:szCs w:val="22"/>
        </w:rPr>
        <w:t xml:space="preserve">typically </w:t>
      </w:r>
      <w:r w:rsidR="736C6FE6" w:rsidRPr="00864D1F">
        <w:rPr>
          <w:szCs w:val="22"/>
        </w:rPr>
        <w:t xml:space="preserve">by </w:t>
      </w:r>
      <w:r w:rsidR="00CB0DE6" w:rsidRPr="00864D1F">
        <w:rPr>
          <w:szCs w:val="22"/>
        </w:rPr>
        <w:t>p</w:t>
      </w:r>
      <w:r w:rsidR="00956CF3" w:rsidRPr="00864D1F">
        <w:rPr>
          <w:szCs w:val="22"/>
        </w:rPr>
        <w:t xml:space="preserve">roviding a </w:t>
      </w:r>
      <w:r w:rsidR="00C13067" w:rsidRPr="00864D1F">
        <w:rPr>
          <w:szCs w:val="22"/>
        </w:rPr>
        <w:t xml:space="preserve">derived </w:t>
      </w:r>
      <w:r w:rsidR="00956CF3" w:rsidRPr="00864D1F">
        <w:rPr>
          <w:szCs w:val="22"/>
        </w:rPr>
        <w:t>composite rac</w:t>
      </w:r>
      <w:r w:rsidR="00C13067" w:rsidRPr="00864D1F">
        <w:rPr>
          <w:szCs w:val="22"/>
        </w:rPr>
        <w:t xml:space="preserve">e variable and </w:t>
      </w:r>
      <w:r w:rsidR="004F1FB6" w:rsidRPr="00864D1F">
        <w:rPr>
          <w:szCs w:val="22"/>
        </w:rPr>
        <w:t xml:space="preserve">a series of variables identifying </w:t>
      </w:r>
      <w:proofErr w:type="gramStart"/>
      <w:r w:rsidR="004F1FB6" w:rsidRPr="00864D1F">
        <w:rPr>
          <w:szCs w:val="22"/>
        </w:rPr>
        <w:t>all of</w:t>
      </w:r>
      <w:proofErr w:type="gramEnd"/>
      <w:r w:rsidR="004F1FB6" w:rsidRPr="00864D1F">
        <w:rPr>
          <w:szCs w:val="22"/>
        </w:rPr>
        <w:t xml:space="preserve"> the </w:t>
      </w:r>
      <w:r w:rsidR="00A86742">
        <w:rPr>
          <w:szCs w:val="22"/>
        </w:rPr>
        <w:t>race</w:t>
      </w:r>
      <w:r w:rsidR="00A86742" w:rsidRPr="00864D1F">
        <w:rPr>
          <w:szCs w:val="22"/>
        </w:rPr>
        <w:t xml:space="preserve"> </w:t>
      </w:r>
      <w:r w:rsidR="000250A9">
        <w:rPr>
          <w:szCs w:val="22"/>
        </w:rPr>
        <w:t>and</w:t>
      </w:r>
      <w:r w:rsidR="000250A9" w:rsidRPr="00864D1F">
        <w:rPr>
          <w:szCs w:val="22"/>
        </w:rPr>
        <w:t xml:space="preserve"> </w:t>
      </w:r>
      <w:r w:rsidR="004F1FB6" w:rsidRPr="00864D1F">
        <w:rPr>
          <w:szCs w:val="22"/>
        </w:rPr>
        <w:t xml:space="preserve">ethnicity categories </w:t>
      </w:r>
      <w:r w:rsidR="00A720F4" w:rsidRPr="00864D1F">
        <w:rPr>
          <w:szCs w:val="22"/>
        </w:rPr>
        <w:t xml:space="preserve">with which </w:t>
      </w:r>
      <w:r w:rsidR="004F1FB6" w:rsidRPr="00864D1F">
        <w:rPr>
          <w:szCs w:val="22"/>
        </w:rPr>
        <w:t xml:space="preserve">respondents identify. </w:t>
      </w:r>
      <w:r w:rsidR="00740155" w:rsidRPr="00864D1F">
        <w:rPr>
          <w:szCs w:val="22"/>
        </w:rPr>
        <w:t xml:space="preserve">For example, </w:t>
      </w:r>
      <w:r w:rsidR="005D2EE6" w:rsidRPr="00864D1F">
        <w:rPr>
          <w:szCs w:val="22"/>
        </w:rPr>
        <w:t xml:space="preserve">datasets like </w:t>
      </w:r>
      <w:r w:rsidR="00740155" w:rsidRPr="00864D1F">
        <w:rPr>
          <w:szCs w:val="22"/>
        </w:rPr>
        <w:t>the</w:t>
      </w:r>
      <w:r w:rsidR="000839F0" w:rsidRPr="00864D1F">
        <w:rPr>
          <w:szCs w:val="22"/>
        </w:rPr>
        <w:t xml:space="preserve"> PSID</w:t>
      </w:r>
      <w:r w:rsidR="00776F94">
        <w:rPr>
          <w:szCs w:val="22"/>
        </w:rPr>
        <w:t>-TAS</w:t>
      </w:r>
      <w:r w:rsidR="000839F0" w:rsidRPr="00864D1F">
        <w:rPr>
          <w:szCs w:val="22"/>
        </w:rPr>
        <w:t xml:space="preserve"> </w:t>
      </w:r>
      <w:r w:rsidR="005D2EE6" w:rsidRPr="00864D1F">
        <w:rPr>
          <w:szCs w:val="22"/>
        </w:rPr>
        <w:t>and NLSY97</w:t>
      </w:r>
      <w:r w:rsidR="00506D8C" w:rsidRPr="00864D1F">
        <w:rPr>
          <w:szCs w:val="22"/>
        </w:rPr>
        <w:t xml:space="preserve"> </w:t>
      </w:r>
      <w:r w:rsidR="00BA2A04" w:rsidRPr="00864D1F">
        <w:rPr>
          <w:szCs w:val="22"/>
        </w:rPr>
        <w:t>off</w:t>
      </w:r>
      <w:r w:rsidR="000B7F0E" w:rsidRPr="00864D1F">
        <w:rPr>
          <w:szCs w:val="22"/>
        </w:rPr>
        <w:t>er</w:t>
      </w:r>
      <w:r w:rsidR="00EE26A3" w:rsidRPr="00864D1F">
        <w:rPr>
          <w:szCs w:val="22"/>
        </w:rPr>
        <w:t xml:space="preserve"> a great deal of data on race and ethnicity </w:t>
      </w:r>
      <w:r w:rsidR="005D2EE6" w:rsidRPr="00864D1F">
        <w:rPr>
          <w:szCs w:val="22"/>
        </w:rPr>
        <w:t>on the young adult respondent</w:t>
      </w:r>
      <w:r w:rsidR="003113CB">
        <w:rPr>
          <w:szCs w:val="22"/>
        </w:rPr>
        <w:t>s</w:t>
      </w:r>
      <w:r w:rsidR="005D2EE6" w:rsidRPr="00864D1F">
        <w:rPr>
          <w:szCs w:val="22"/>
        </w:rPr>
        <w:t xml:space="preserve"> as well as their parent(s) or guardian(s). </w:t>
      </w:r>
      <w:r w:rsidR="005D2EE6" w:rsidRPr="00D571EB">
        <w:rPr>
          <w:szCs w:val="22"/>
        </w:rPr>
        <w:t>L</w:t>
      </w:r>
      <w:r w:rsidR="00EE26A3" w:rsidRPr="00D571EB">
        <w:rPr>
          <w:szCs w:val="22"/>
        </w:rPr>
        <w:t xml:space="preserve">ike other datasets in the inventory, </w:t>
      </w:r>
      <w:r w:rsidR="001D485F" w:rsidRPr="00D571EB">
        <w:rPr>
          <w:szCs w:val="22"/>
        </w:rPr>
        <w:t xml:space="preserve">respondents </w:t>
      </w:r>
      <w:proofErr w:type="gramStart"/>
      <w:r w:rsidR="003045C1" w:rsidRPr="00E920C6">
        <w:rPr>
          <w:szCs w:val="22"/>
        </w:rPr>
        <w:t>are able to</w:t>
      </w:r>
      <w:proofErr w:type="gramEnd"/>
      <w:r w:rsidR="003045C1" w:rsidRPr="00E920C6">
        <w:rPr>
          <w:szCs w:val="22"/>
        </w:rPr>
        <w:t xml:space="preserve"> </w:t>
      </w:r>
      <w:r w:rsidR="00EE26A3" w:rsidRPr="00605E8C">
        <w:rPr>
          <w:szCs w:val="22"/>
        </w:rPr>
        <w:t xml:space="preserve">report multiple race </w:t>
      </w:r>
      <w:r w:rsidR="00932DFA" w:rsidRPr="00E920C6">
        <w:rPr>
          <w:szCs w:val="22"/>
        </w:rPr>
        <w:t>identities</w:t>
      </w:r>
      <w:r w:rsidR="00DB67C3" w:rsidRPr="00E920C6">
        <w:rPr>
          <w:szCs w:val="22"/>
        </w:rPr>
        <w:t xml:space="preserve"> </w:t>
      </w:r>
      <w:r w:rsidR="00D571EB" w:rsidRPr="00E920C6">
        <w:rPr>
          <w:szCs w:val="22"/>
        </w:rPr>
        <w:t>every time they participate</w:t>
      </w:r>
      <w:r w:rsidR="00C36B74" w:rsidRPr="00D571EB">
        <w:rPr>
          <w:szCs w:val="22"/>
        </w:rPr>
        <w:t>.</w:t>
      </w:r>
      <w:r w:rsidR="00C36B74" w:rsidRPr="00864D1F">
        <w:rPr>
          <w:szCs w:val="22"/>
        </w:rPr>
        <w:t xml:space="preserve"> </w:t>
      </w:r>
      <w:r w:rsidR="0074399A" w:rsidRPr="00864D1F">
        <w:rPr>
          <w:szCs w:val="22"/>
        </w:rPr>
        <w:t xml:space="preserve">PSID also </w:t>
      </w:r>
      <w:r w:rsidR="00D212A6" w:rsidRPr="00864D1F">
        <w:rPr>
          <w:szCs w:val="22"/>
        </w:rPr>
        <w:t>provide</w:t>
      </w:r>
      <w:r w:rsidR="00710EEC" w:rsidRPr="00864D1F">
        <w:rPr>
          <w:szCs w:val="22"/>
        </w:rPr>
        <w:t>s</w:t>
      </w:r>
      <w:r w:rsidR="00C36B74" w:rsidRPr="00864D1F">
        <w:rPr>
          <w:szCs w:val="22"/>
        </w:rPr>
        <w:t xml:space="preserve"> </w:t>
      </w:r>
      <w:r w:rsidR="00A6517A" w:rsidRPr="00864D1F">
        <w:rPr>
          <w:szCs w:val="22"/>
        </w:rPr>
        <w:t xml:space="preserve">race and ethnicity categories </w:t>
      </w:r>
      <w:r w:rsidR="00C36B74" w:rsidRPr="00864D1F">
        <w:rPr>
          <w:szCs w:val="22"/>
        </w:rPr>
        <w:t xml:space="preserve">in </w:t>
      </w:r>
      <w:proofErr w:type="gramStart"/>
      <w:r w:rsidR="00C36B74" w:rsidRPr="00864D1F">
        <w:rPr>
          <w:szCs w:val="22"/>
        </w:rPr>
        <w:t>the order</w:t>
      </w:r>
      <w:proofErr w:type="gramEnd"/>
      <w:r w:rsidR="003113CB">
        <w:rPr>
          <w:szCs w:val="22"/>
        </w:rPr>
        <w:t xml:space="preserve"> that</w:t>
      </w:r>
      <w:r w:rsidR="00C36B74" w:rsidRPr="00864D1F">
        <w:rPr>
          <w:szCs w:val="22"/>
        </w:rPr>
        <w:t xml:space="preserve"> respondents </w:t>
      </w:r>
      <w:r w:rsidR="00A6517A" w:rsidRPr="00864D1F">
        <w:rPr>
          <w:szCs w:val="22"/>
        </w:rPr>
        <w:t xml:space="preserve">report </w:t>
      </w:r>
      <w:r w:rsidR="00C36B74" w:rsidRPr="00864D1F">
        <w:rPr>
          <w:szCs w:val="22"/>
        </w:rPr>
        <w:t>them</w:t>
      </w:r>
      <w:r w:rsidR="00496988" w:rsidRPr="00864D1F">
        <w:rPr>
          <w:szCs w:val="22"/>
        </w:rPr>
        <w:t xml:space="preserve">, </w:t>
      </w:r>
      <w:r w:rsidR="55EC772B" w:rsidRPr="00864D1F">
        <w:rPr>
          <w:szCs w:val="22"/>
        </w:rPr>
        <w:t>enabling</w:t>
      </w:r>
      <w:r w:rsidR="00982FFE" w:rsidRPr="00864D1F">
        <w:rPr>
          <w:szCs w:val="22"/>
        </w:rPr>
        <w:t xml:space="preserve"> more nuanced </w:t>
      </w:r>
      <w:r w:rsidR="00D212A6" w:rsidRPr="00864D1F">
        <w:rPr>
          <w:szCs w:val="22"/>
        </w:rPr>
        <w:t>categorizations</w:t>
      </w:r>
      <w:r w:rsidR="0045379D" w:rsidRPr="00864D1F">
        <w:rPr>
          <w:szCs w:val="22"/>
        </w:rPr>
        <w:t xml:space="preserve"> </w:t>
      </w:r>
      <w:r w:rsidR="00EC7DE9" w:rsidRPr="00864D1F">
        <w:rPr>
          <w:szCs w:val="22"/>
        </w:rPr>
        <w:t>of disparities</w:t>
      </w:r>
      <w:r w:rsidR="00D20999" w:rsidRPr="00864D1F">
        <w:rPr>
          <w:szCs w:val="22"/>
        </w:rPr>
        <w:t>, tho</w:t>
      </w:r>
      <w:r w:rsidR="002A4174" w:rsidRPr="00864D1F">
        <w:rPr>
          <w:szCs w:val="22"/>
        </w:rPr>
        <w:t>ugh</w:t>
      </w:r>
      <w:r w:rsidR="00A57B4B">
        <w:rPr>
          <w:szCs w:val="22"/>
        </w:rPr>
        <w:t xml:space="preserve"> there may be</w:t>
      </w:r>
      <w:r w:rsidR="002A4174" w:rsidRPr="00864D1F">
        <w:rPr>
          <w:szCs w:val="22"/>
        </w:rPr>
        <w:t xml:space="preserve"> </w:t>
      </w:r>
      <w:r w:rsidR="00394B6E" w:rsidRPr="00864D1F">
        <w:rPr>
          <w:szCs w:val="22"/>
        </w:rPr>
        <w:t>sample size</w:t>
      </w:r>
      <w:r w:rsidR="00354165" w:rsidRPr="00864D1F">
        <w:rPr>
          <w:szCs w:val="22"/>
        </w:rPr>
        <w:t xml:space="preserve"> limitations</w:t>
      </w:r>
      <w:r w:rsidR="00621B23" w:rsidRPr="00864D1F">
        <w:rPr>
          <w:szCs w:val="22"/>
        </w:rPr>
        <w:t xml:space="preserve"> </w:t>
      </w:r>
      <w:r w:rsidR="00394B6E" w:rsidRPr="00864D1F">
        <w:rPr>
          <w:szCs w:val="22"/>
        </w:rPr>
        <w:t xml:space="preserve">for </w:t>
      </w:r>
      <w:r w:rsidR="754916C9" w:rsidRPr="00864D1F">
        <w:rPr>
          <w:szCs w:val="22"/>
        </w:rPr>
        <w:t>specific</w:t>
      </w:r>
      <w:r w:rsidR="00354165" w:rsidRPr="00864D1F">
        <w:rPr>
          <w:szCs w:val="22"/>
        </w:rPr>
        <w:t xml:space="preserve"> </w:t>
      </w:r>
      <w:r w:rsidR="00621B23" w:rsidRPr="00864D1F">
        <w:rPr>
          <w:szCs w:val="22"/>
        </w:rPr>
        <w:t>groups</w:t>
      </w:r>
      <w:r w:rsidR="00394B6E" w:rsidRPr="00864D1F">
        <w:rPr>
          <w:szCs w:val="22"/>
        </w:rPr>
        <w:t xml:space="preserve">. </w:t>
      </w:r>
    </w:p>
    <w:p w14:paraId="5DE2FEF3" w14:textId="77777777" w:rsidR="008D2303" w:rsidRPr="005D60AD" w:rsidRDefault="008D2303" w:rsidP="004B1105">
      <w:pPr>
        <w:pStyle w:val="NoSpacing"/>
      </w:pPr>
    </w:p>
    <w:p w14:paraId="4E6E8786" w14:textId="2E9E87A5" w:rsidR="54EF80F9" w:rsidRDefault="00B0324B" w:rsidP="004B1105">
      <w:pPr>
        <w:pStyle w:val="NoSpacing"/>
      </w:pPr>
      <w:r>
        <w:t>Many</w:t>
      </w:r>
      <w:r w:rsidRPr="00864D1F">
        <w:t xml:space="preserve"> </w:t>
      </w:r>
      <w:r w:rsidR="00726209">
        <w:t>data sources</w:t>
      </w:r>
      <w:r w:rsidR="00EC6889">
        <w:t xml:space="preserve"> in </w:t>
      </w:r>
      <w:bookmarkEnd w:id="18"/>
      <w:bookmarkEnd w:id="19"/>
      <w:r w:rsidR="007313EC" w:rsidRPr="00864D1F">
        <w:fldChar w:fldCharType="begin"/>
      </w:r>
      <w:r w:rsidR="007313EC" w:rsidRPr="00864D1F">
        <w:instrText xml:space="preserve"> REF _Ref160095743 \h </w:instrText>
      </w:r>
      <w:r w:rsidR="00864D1F">
        <w:instrText xml:space="preserve"> \* MERGEFORMAT </w:instrText>
      </w:r>
      <w:r w:rsidR="007313EC" w:rsidRPr="00864D1F">
        <w:fldChar w:fldCharType="separate"/>
      </w:r>
      <w:r w:rsidR="00932B97" w:rsidRPr="00F12147">
        <w:rPr>
          <w:b/>
        </w:rPr>
        <w:t>Table 2</w:t>
      </w:r>
      <w:r w:rsidR="007313EC" w:rsidRPr="00864D1F">
        <w:fldChar w:fldCharType="end"/>
      </w:r>
      <w:r w:rsidR="00CD407B">
        <w:t xml:space="preserve"> </w:t>
      </w:r>
      <w:r w:rsidR="637B54C7">
        <w:t xml:space="preserve">are limited </w:t>
      </w:r>
      <w:r w:rsidR="00B0497A" w:rsidRPr="00864D1F">
        <w:t>because</w:t>
      </w:r>
      <w:r w:rsidR="00726209">
        <w:t xml:space="preserve"> they are primarily designed to </w:t>
      </w:r>
      <w:r w:rsidR="00880D5F">
        <w:t>collect information on</w:t>
      </w:r>
      <w:r w:rsidR="00726209">
        <w:t xml:space="preserve"> young adults</w:t>
      </w:r>
      <w:r w:rsidR="00880D5F">
        <w:t xml:space="preserve">, </w:t>
      </w:r>
      <w:r w:rsidR="008D7F1F">
        <w:t xml:space="preserve">with </w:t>
      </w:r>
      <w:r w:rsidR="00F31994">
        <w:t>narrow</w:t>
      </w:r>
      <w:r w:rsidR="00627AFF">
        <w:t>er</w:t>
      </w:r>
      <w:r w:rsidR="00880D5F">
        <w:t xml:space="preserve"> snapshots of their</w:t>
      </w:r>
      <w:r w:rsidR="006F46B2">
        <w:t xml:space="preserve"> wealth</w:t>
      </w:r>
      <w:r w:rsidR="00880D5F">
        <w:t xml:space="preserve"> </w:t>
      </w:r>
      <w:r w:rsidR="00481DCF">
        <w:t xml:space="preserve">and their children’s </w:t>
      </w:r>
      <w:r w:rsidR="00880D5F">
        <w:t xml:space="preserve">postcollege wealth </w:t>
      </w:r>
      <w:r w:rsidR="00627AFF">
        <w:t xml:space="preserve">as they become </w:t>
      </w:r>
      <w:r w:rsidR="008D7F1F">
        <w:t>further removed from higher education</w:t>
      </w:r>
      <w:r w:rsidR="00880D5F">
        <w:t xml:space="preserve">. </w:t>
      </w:r>
      <w:proofErr w:type="gramStart"/>
      <w:r w:rsidR="00823EA8">
        <w:t>Th</w:t>
      </w:r>
      <w:r w:rsidR="00E40E2D">
        <w:t>i</w:t>
      </w:r>
      <w:r w:rsidR="00823EA8">
        <w:t>s</w:t>
      </w:r>
      <w:r w:rsidR="00191BB3">
        <w:t xml:space="preserve"> </w:t>
      </w:r>
      <w:r w:rsidR="00884F72">
        <w:t>limits</w:t>
      </w:r>
      <w:proofErr w:type="gramEnd"/>
      <w:r w:rsidR="00884F72">
        <w:t xml:space="preserve"> </w:t>
      </w:r>
      <w:r w:rsidR="007F5C49" w:rsidRPr="00864D1F">
        <w:t>t</w:t>
      </w:r>
      <w:r w:rsidR="00823EA8" w:rsidRPr="00864D1F">
        <w:t>rack</w:t>
      </w:r>
      <w:r w:rsidR="007F5C49" w:rsidRPr="00864D1F">
        <w:t>ing</w:t>
      </w:r>
      <w:r w:rsidR="54EF80F9" w:rsidDel="00823EA8">
        <w:t xml:space="preserve"> and understand</w:t>
      </w:r>
      <w:r w:rsidR="007B22E4">
        <w:t>ing</w:t>
      </w:r>
      <w:r w:rsidR="54EF80F9" w:rsidDel="00823EA8">
        <w:t xml:space="preserve"> the</w:t>
      </w:r>
      <w:r w:rsidR="00823EA8">
        <w:t xml:space="preserve"> longer-term </w:t>
      </w:r>
      <w:r w:rsidR="00FB46B3">
        <w:t xml:space="preserve">impacts </w:t>
      </w:r>
      <w:r w:rsidR="00823EA8">
        <w:t xml:space="preserve">of higher education on </w:t>
      </w:r>
      <w:r w:rsidR="00F37CB2">
        <w:t>wealth-</w:t>
      </w:r>
      <w:r w:rsidR="006E4172">
        <w:t>building</w:t>
      </w:r>
      <w:r w:rsidR="006E4172" w:rsidRPr="00864D1F">
        <w:t>.</w:t>
      </w:r>
      <w:r w:rsidR="00823EA8" w:rsidRPr="00864D1F">
        <w:t xml:space="preserve"> </w:t>
      </w:r>
    </w:p>
    <w:p w14:paraId="6FDB6DE2" w14:textId="77777777" w:rsidR="00C918EF" w:rsidRPr="005B466C" w:rsidRDefault="00C918EF" w:rsidP="004B1105"/>
    <w:p w14:paraId="2C8EE526" w14:textId="77777777" w:rsidR="00AE454A" w:rsidRDefault="00AE454A" w:rsidP="004B1105"/>
    <w:p w14:paraId="088ECB08" w14:textId="3DBCB090" w:rsidR="00510BCC" w:rsidRDefault="00510BCC" w:rsidP="004B1105">
      <w:pPr>
        <w:sectPr w:rsidR="00510BCC" w:rsidSect="001A7A59">
          <w:footnotePr>
            <w:numFmt w:val="lowerRoman"/>
          </w:footnotePr>
          <w:endnotePr>
            <w:numFmt w:val="decimal"/>
          </w:endnotePr>
          <w:pgSz w:w="12240" w:h="15840"/>
          <w:pgMar w:top="1440" w:right="1440" w:bottom="1440" w:left="1440" w:header="720" w:footer="720" w:gutter="0"/>
          <w:cols w:space="720"/>
          <w:docGrid w:linePitch="360"/>
        </w:sectPr>
      </w:pPr>
    </w:p>
    <w:p w14:paraId="68219E33" w14:textId="68259BB7" w:rsidR="00E7053D" w:rsidRDefault="00E7053D" w:rsidP="004B1105"/>
    <w:tbl>
      <w:tblPr>
        <w:tblStyle w:val="TableGrid"/>
        <w:tblpPr w:leftFromText="180" w:rightFromText="180" w:vertAnchor="text" w:tblpX="5" w:tblpY="1"/>
        <w:tblOverlap w:val="never"/>
        <w:tblW w:w="13260" w:type="dxa"/>
        <w:tblLayout w:type="fixed"/>
        <w:tblLook w:val="04A0" w:firstRow="1" w:lastRow="0" w:firstColumn="1" w:lastColumn="0" w:noHBand="0" w:noVBand="1"/>
      </w:tblPr>
      <w:tblGrid>
        <w:gridCol w:w="1435"/>
        <w:gridCol w:w="3420"/>
        <w:gridCol w:w="3837"/>
        <w:gridCol w:w="4568"/>
      </w:tblGrid>
      <w:tr w:rsidR="00B72A45" w:rsidRPr="008F229D" w14:paraId="0EF11434" w14:textId="77777777" w:rsidTr="00ED6FCE">
        <w:trPr>
          <w:tblHeader/>
        </w:trPr>
        <w:tc>
          <w:tcPr>
            <w:tcW w:w="13260" w:type="dxa"/>
            <w:gridSpan w:val="4"/>
          </w:tcPr>
          <w:p w14:paraId="5D7C91C5" w14:textId="58C7BFFF" w:rsidR="00B72A45" w:rsidRDefault="00B72A45" w:rsidP="004B1105">
            <w:pPr>
              <w:ind w:right="-105"/>
              <w:rPr>
                <w:rFonts w:cstheme="minorBidi"/>
                <w:b/>
                <w:sz w:val="20"/>
                <w:szCs w:val="20"/>
              </w:rPr>
            </w:pPr>
            <w:bookmarkStart w:id="20" w:name="_Ref160095743"/>
            <w:r w:rsidRPr="106BF36F">
              <w:rPr>
                <w:rFonts w:cstheme="minorBidi"/>
                <w:b/>
                <w:sz w:val="20"/>
                <w:szCs w:val="20"/>
              </w:rPr>
              <w:t xml:space="preserve">Table </w:t>
            </w:r>
            <w:r w:rsidRPr="106BF36F">
              <w:rPr>
                <w:rFonts w:cstheme="minorBidi"/>
                <w:b/>
                <w:sz w:val="20"/>
                <w:szCs w:val="20"/>
              </w:rPr>
              <w:fldChar w:fldCharType="begin"/>
            </w:r>
            <w:r w:rsidRPr="106BF36F">
              <w:rPr>
                <w:rFonts w:cstheme="minorBidi"/>
                <w:b/>
                <w:sz w:val="20"/>
                <w:szCs w:val="20"/>
              </w:rPr>
              <w:instrText xml:space="preserve"> SEQ Table \* ARABIC </w:instrText>
            </w:r>
            <w:r w:rsidRPr="106BF36F">
              <w:rPr>
                <w:rFonts w:cstheme="minorBidi"/>
                <w:b/>
                <w:sz w:val="20"/>
                <w:szCs w:val="20"/>
              </w:rPr>
              <w:fldChar w:fldCharType="separate"/>
            </w:r>
            <w:r w:rsidR="00773B59">
              <w:rPr>
                <w:rFonts w:cstheme="minorBidi"/>
                <w:b/>
                <w:noProof/>
                <w:sz w:val="20"/>
                <w:szCs w:val="20"/>
              </w:rPr>
              <w:t>2</w:t>
            </w:r>
            <w:r w:rsidRPr="106BF36F">
              <w:rPr>
                <w:rFonts w:cstheme="minorBidi"/>
                <w:b/>
                <w:sz w:val="20"/>
                <w:szCs w:val="20"/>
              </w:rPr>
              <w:fldChar w:fldCharType="end"/>
            </w:r>
            <w:bookmarkEnd w:id="20"/>
            <w:r w:rsidRPr="106BF36F">
              <w:rPr>
                <w:rFonts w:cstheme="minorBidi"/>
                <w:b/>
                <w:sz w:val="20"/>
                <w:szCs w:val="20"/>
              </w:rPr>
              <w:t xml:space="preserve">. Inventory of </w:t>
            </w:r>
            <w:r w:rsidR="00757C5D">
              <w:rPr>
                <w:rFonts w:cstheme="minorBidi"/>
                <w:b/>
                <w:sz w:val="20"/>
                <w:szCs w:val="20"/>
              </w:rPr>
              <w:t>Select</w:t>
            </w:r>
            <w:r w:rsidR="00757C5D" w:rsidRPr="106BF36F">
              <w:rPr>
                <w:rFonts w:cstheme="minorBidi"/>
                <w:b/>
                <w:sz w:val="20"/>
                <w:szCs w:val="20"/>
              </w:rPr>
              <w:t xml:space="preserve"> </w:t>
            </w:r>
            <w:r w:rsidRPr="106BF36F">
              <w:rPr>
                <w:rFonts w:cstheme="minorBidi"/>
                <w:b/>
                <w:sz w:val="20"/>
                <w:szCs w:val="20"/>
              </w:rPr>
              <w:t xml:space="preserve">Sample Study </w:t>
            </w:r>
            <w:r w:rsidR="00603A32" w:rsidRPr="00F12147">
              <w:rPr>
                <w:rFonts w:cstheme="minorBidi"/>
                <w:b/>
                <w:sz w:val="20"/>
                <w:szCs w:val="20"/>
              </w:rPr>
              <w:t>Data on Higher Education and Wealth</w:t>
            </w:r>
          </w:p>
        </w:tc>
      </w:tr>
      <w:tr w:rsidR="00B72A45" w:rsidRPr="008F229D" w14:paraId="5840E88A" w14:textId="77777777" w:rsidTr="00ED6FCE">
        <w:trPr>
          <w:tblHeader/>
        </w:trPr>
        <w:tc>
          <w:tcPr>
            <w:tcW w:w="1435" w:type="dxa"/>
          </w:tcPr>
          <w:p w14:paraId="3938E576" w14:textId="6FC057B8" w:rsidR="00B72A45" w:rsidRPr="008F229D" w:rsidRDefault="00B72A45" w:rsidP="004B1105">
            <w:pPr>
              <w:rPr>
                <w:rFonts w:cstheme="minorBidi"/>
                <w:b/>
                <w:sz w:val="20"/>
                <w:szCs w:val="20"/>
              </w:rPr>
            </w:pPr>
            <w:r w:rsidRPr="008F229D">
              <w:rPr>
                <w:rFonts w:cstheme="minorBidi"/>
                <w:b/>
                <w:sz w:val="20"/>
                <w:szCs w:val="20"/>
              </w:rPr>
              <w:t>Dataset Name</w:t>
            </w:r>
            <w:r w:rsidR="00F054CE">
              <w:rPr>
                <w:rFonts w:cstheme="minorBidi"/>
                <w:b/>
                <w:sz w:val="20"/>
                <w:szCs w:val="20"/>
              </w:rPr>
              <w:t xml:space="preserve"> </w:t>
            </w:r>
          </w:p>
        </w:tc>
        <w:tc>
          <w:tcPr>
            <w:tcW w:w="3420" w:type="dxa"/>
          </w:tcPr>
          <w:p w14:paraId="56C7A998" w14:textId="77777777" w:rsidR="00B72A45" w:rsidRPr="008F229D" w:rsidRDefault="00B72A45" w:rsidP="004B1105">
            <w:pPr>
              <w:rPr>
                <w:rFonts w:cstheme="minorBidi"/>
                <w:b/>
                <w:sz w:val="20"/>
                <w:szCs w:val="20"/>
              </w:rPr>
            </w:pPr>
            <w:r w:rsidRPr="008F229D">
              <w:rPr>
                <w:rFonts w:cstheme="minorBidi"/>
                <w:b/>
                <w:sz w:val="20"/>
                <w:szCs w:val="20"/>
              </w:rPr>
              <w:t>Design</w:t>
            </w:r>
            <w:r>
              <w:rPr>
                <w:rFonts w:cstheme="minorBidi"/>
                <w:b/>
                <w:sz w:val="20"/>
                <w:szCs w:val="20"/>
              </w:rPr>
              <w:t xml:space="preserve">, </w:t>
            </w:r>
            <w:r w:rsidRPr="008F229D">
              <w:rPr>
                <w:rFonts w:cstheme="minorBidi"/>
                <w:b/>
                <w:sz w:val="20"/>
                <w:szCs w:val="20"/>
              </w:rPr>
              <w:t>Coverage</w:t>
            </w:r>
            <w:r>
              <w:rPr>
                <w:rFonts w:cstheme="minorBidi"/>
                <w:b/>
                <w:sz w:val="20"/>
                <w:szCs w:val="20"/>
              </w:rPr>
              <w:t xml:space="preserve">, and Study </w:t>
            </w:r>
            <w:r w:rsidRPr="008F229D">
              <w:rPr>
                <w:rFonts w:cstheme="minorBidi"/>
                <w:b/>
                <w:sz w:val="20"/>
                <w:szCs w:val="20"/>
              </w:rPr>
              <w:t>Years</w:t>
            </w:r>
          </w:p>
        </w:tc>
        <w:tc>
          <w:tcPr>
            <w:tcW w:w="3837" w:type="dxa"/>
          </w:tcPr>
          <w:p w14:paraId="44C2223B" w14:textId="77777777" w:rsidR="00B72A45" w:rsidRPr="008F229D" w:rsidRDefault="00B72A45" w:rsidP="004B1105">
            <w:pPr>
              <w:rPr>
                <w:rFonts w:cstheme="minorBidi"/>
                <w:b/>
                <w:sz w:val="20"/>
                <w:szCs w:val="20"/>
              </w:rPr>
            </w:pPr>
            <w:r w:rsidRPr="008F229D">
              <w:rPr>
                <w:rFonts w:cstheme="minorBidi"/>
                <w:b/>
                <w:sz w:val="20"/>
                <w:szCs w:val="20"/>
              </w:rPr>
              <w:t xml:space="preserve">Wealth </w:t>
            </w:r>
            <w:r w:rsidRPr="008F229D">
              <w:rPr>
                <w:rFonts w:cstheme="minorBidi"/>
                <w:b/>
                <w:bCs/>
                <w:sz w:val="20"/>
                <w:szCs w:val="20"/>
              </w:rPr>
              <w:t>Measures</w:t>
            </w:r>
          </w:p>
        </w:tc>
        <w:tc>
          <w:tcPr>
            <w:tcW w:w="4564" w:type="dxa"/>
          </w:tcPr>
          <w:p w14:paraId="66A80E7E" w14:textId="761C18BC" w:rsidR="00B72A45" w:rsidRPr="008F229D" w:rsidRDefault="00B72A45" w:rsidP="004B1105">
            <w:pPr>
              <w:ind w:right="-105"/>
              <w:rPr>
                <w:rFonts w:cstheme="minorBidi"/>
                <w:b/>
                <w:sz w:val="20"/>
                <w:szCs w:val="20"/>
              </w:rPr>
            </w:pPr>
            <w:r>
              <w:rPr>
                <w:rFonts w:cstheme="minorBidi"/>
                <w:b/>
                <w:sz w:val="20"/>
                <w:szCs w:val="20"/>
              </w:rPr>
              <w:t>Higher E</w:t>
            </w:r>
            <w:r w:rsidRPr="008F229D">
              <w:rPr>
                <w:rFonts w:cstheme="minorBidi"/>
                <w:b/>
                <w:sz w:val="20"/>
                <w:szCs w:val="20"/>
              </w:rPr>
              <w:t xml:space="preserve">ducation </w:t>
            </w:r>
            <w:r w:rsidRPr="008F229D">
              <w:rPr>
                <w:rFonts w:cstheme="minorBidi"/>
                <w:b/>
                <w:bCs/>
                <w:sz w:val="20"/>
                <w:szCs w:val="20"/>
              </w:rPr>
              <w:t>Measures</w:t>
            </w:r>
          </w:p>
        </w:tc>
      </w:tr>
      <w:tr w:rsidR="00B72A45" w:rsidRPr="00781395" w14:paraId="3400E7F6" w14:textId="77777777" w:rsidTr="00ED6FCE">
        <w:trPr>
          <w:trHeight w:val="2663"/>
        </w:trPr>
        <w:tc>
          <w:tcPr>
            <w:tcW w:w="1435" w:type="dxa"/>
          </w:tcPr>
          <w:p w14:paraId="4D25DE22" w14:textId="77777777" w:rsidR="00B72A45" w:rsidRPr="00781395" w:rsidRDefault="00000000" w:rsidP="004B1105">
            <w:pPr>
              <w:rPr>
                <w:sz w:val="20"/>
                <w:szCs w:val="20"/>
              </w:rPr>
            </w:pPr>
            <w:hyperlink r:id="rId15" w:history="1">
              <w:r w:rsidR="00B72A45">
                <w:rPr>
                  <w:rStyle w:val="Hyperlink"/>
                  <w:rFonts w:cstheme="minorHAnsi"/>
                  <w:sz w:val="20"/>
                  <w:szCs w:val="20"/>
                </w:rPr>
                <w:t>Baccalaureate and Beyond (B&amp;B)</w:t>
              </w:r>
            </w:hyperlink>
            <w:r w:rsidR="00B72A45">
              <w:rPr>
                <w:rStyle w:val="Hyperlink"/>
                <w:rFonts w:cstheme="minorHAnsi"/>
                <w:sz w:val="20"/>
                <w:szCs w:val="20"/>
              </w:rPr>
              <w:t xml:space="preserve"> </w:t>
            </w:r>
          </w:p>
        </w:tc>
        <w:tc>
          <w:tcPr>
            <w:tcW w:w="3420" w:type="dxa"/>
          </w:tcPr>
          <w:p w14:paraId="40C79CB0" w14:textId="34E86BE2" w:rsidR="00B72A45" w:rsidRDefault="00B72A45" w:rsidP="004B1105">
            <w:pPr>
              <w:rPr>
                <w:sz w:val="20"/>
                <w:szCs w:val="20"/>
              </w:rPr>
            </w:pPr>
            <w:proofErr w:type="gramStart"/>
            <w:r w:rsidRPr="00781395">
              <w:rPr>
                <w:sz w:val="20"/>
                <w:szCs w:val="20"/>
              </w:rPr>
              <w:t>Panel;</w:t>
            </w:r>
            <w:proofErr w:type="gramEnd"/>
            <w:r>
              <w:rPr>
                <w:sz w:val="20"/>
                <w:szCs w:val="20"/>
              </w:rPr>
              <w:t xml:space="preserve"> </w:t>
            </w:r>
            <w:r w:rsidR="0093187D">
              <w:rPr>
                <w:sz w:val="20"/>
                <w:szCs w:val="20"/>
              </w:rPr>
              <w:t>n</w:t>
            </w:r>
            <w:r w:rsidR="0093187D" w:rsidRPr="00781395">
              <w:rPr>
                <w:sz w:val="20"/>
                <w:szCs w:val="20"/>
              </w:rPr>
              <w:t>ational</w:t>
            </w:r>
            <w:r w:rsidR="0093187D">
              <w:rPr>
                <w:sz w:val="20"/>
                <w:szCs w:val="20"/>
              </w:rPr>
              <w:t xml:space="preserve">ly </w:t>
            </w:r>
            <w:r w:rsidR="005F3AB8">
              <w:rPr>
                <w:sz w:val="20"/>
                <w:szCs w:val="20"/>
              </w:rPr>
              <w:t xml:space="preserve">representative of </w:t>
            </w:r>
            <w:r w:rsidR="00307EE1">
              <w:rPr>
                <w:sz w:val="20"/>
                <w:szCs w:val="20"/>
              </w:rPr>
              <w:t>b</w:t>
            </w:r>
            <w:r w:rsidR="005F3AB8">
              <w:rPr>
                <w:sz w:val="20"/>
                <w:szCs w:val="20"/>
              </w:rPr>
              <w:t xml:space="preserve">achelor’s degree recipients surveyed upon graduation, and then </w:t>
            </w:r>
            <w:r w:rsidR="00C52A47">
              <w:rPr>
                <w:sz w:val="20"/>
                <w:szCs w:val="20"/>
              </w:rPr>
              <w:t>one, four, and ten</w:t>
            </w:r>
            <w:r w:rsidR="00DD2412">
              <w:rPr>
                <w:sz w:val="20"/>
                <w:szCs w:val="20"/>
              </w:rPr>
              <w:t xml:space="preserve"> </w:t>
            </w:r>
            <w:r w:rsidR="00C52A47">
              <w:rPr>
                <w:sz w:val="20"/>
                <w:szCs w:val="20"/>
              </w:rPr>
              <w:t>years after graduation.</w:t>
            </w:r>
          </w:p>
          <w:p w14:paraId="55B0678E" w14:textId="77777777" w:rsidR="00B72A45" w:rsidRPr="00781395" w:rsidRDefault="00B72A45" w:rsidP="004B1105">
            <w:pPr>
              <w:rPr>
                <w:sz w:val="20"/>
                <w:szCs w:val="20"/>
              </w:rPr>
            </w:pPr>
          </w:p>
          <w:p w14:paraId="15D5BFD8" w14:textId="76FD266C" w:rsidR="00B72A45" w:rsidRPr="00781395" w:rsidRDefault="00B72A45" w:rsidP="004B1105">
            <w:pPr>
              <w:rPr>
                <w:sz w:val="20"/>
                <w:szCs w:val="20"/>
              </w:rPr>
            </w:pPr>
            <w:r w:rsidRPr="00781395">
              <w:rPr>
                <w:sz w:val="20"/>
                <w:szCs w:val="20"/>
              </w:rPr>
              <w:t xml:space="preserve">Four cohorts, </w:t>
            </w:r>
            <w:r w:rsidR="0093187D">
              <w:rPr>
                <w:sz w:val="20"/>
                <w:szCs w:val="20"/>
              </w:rPr>
              <w:t xml:space="preserve">with </w:t>
            </w:r>
            <w:r w:rsidRPr="00781395">
              <w:rPr>
                <w:sz w:val="20"/>
                <w:szCs w:val="20"/>
              </w:rPr>
              <w:t>starting years</w:t>
            </w:r>
            <w:r w:rsidR="0093187D">
              <w:rPr>
                <w:sz w:val="20"/>
                <w:szCs w:val="20"/>
              </w:rPr>
              <w:t xml:space="preserve"> </w:t>
            </w:r>
            <w:r w:rsidRPr="00781395">
              <w:rPr>
                <w:sz w:val="20"/>
                <w:szCs w:val="20"/>
              </w:rPr>
              <w:t xml:space="preserve">1993, 2000, 2008, and 2016. </w:t>
            </w:r>
            <w:r w:rsidR="00DD2412">
              <w:rPr>
                <w:sz w:val="20"/>
                <w:szCs w:val="20"/>
              </w:rPr>
              <w:t>I</w:t>
            </w:r>
            <w:r w:rsidRPr="00781395">
              <w:rPr>
                <w:sz w:val="20"/>
                <w:szCs w:val="20"/>
              </w:rPr>
              <w:t>n 2023</w:t>
            </w:r>
            <w:r w:rsidR="008A278A">
              <w:rPr>
                <w:sz w:val="20"/>
                <w:szCs w:val="20"/>
              </w:rPr>
              <w:t>,</w:t>
            </w:r>
            <w:r w:rsidRPr="00781395">
              <w:rPr>
                <w:sz w:val="20"/>
                <w:szCs w:val="20"/>
              </w:rPr>
              <w:t xml:space="preserve"> ED announced the discontinuation of B&amp;B.</w:t>
            </w:r>
          </w:p>
        </w:tc>
        <w:tc>
          <w:tcPr>
            <w:tcW w:w="3837" w:type="dxa"/>
          </w:tcPr>
          <w:p w14:paraId="214ABE4D" w14:textId="2817CAB7" w:rsidR="00B72A45" w:rsidRPr="00005C17" w:rsidRDefault="00B72A45" w:rsidP="004B1105">
            <w:pPr>
              <w:rPr>
                <w:rFonts w:cstheme="minorBidi"/>
                <w:sz w:val="20"/>
                <w:szCs w:val="20"/>
              </w:rPr>
            </w:pPr>
            <w:r w:rsidRPr="00005C17">
              <w:rPr>
                <w:rFonts w:cstheme="minorBidi"/>
                <w:sz w:val="20"/>
                <w:szCs w:val="20"/>
              </w:rPr>
              <w:t>Proxy net worth indicator</w:t>
            </w:r>
            <w:r w:rsidR="006714FF">
              <w:rPr>
                <w:rFonts w:cstheme="minorBidi"/>
                <w:sz w:val="20"/>
                <w:szCs w:val="20"/>
              </w:rPr>
              <w:t xml:space="preserve"> </w:t>
            </w:r>
            <w:r w:rsidRPr="00005C17">
              <w:rPr>
                <w:rFonts w:cstheme="minorBidi"/>
                <w:sz w:val="20"/>
                <w:szCs w:val="20"/>
              </w:rPr>
              <w:t>(</w:t>
            </w:r>
            <w:r w:rsidRPr="00F12147">
              <w:rPr>
                <w:sz w:val="20"/>
                <w:szCs w:val="20"/>
              </w:rPr>
              <w:t>respondents report what the financial result (in debt, break-even, or have money left over) would be if the</w:t>
            </w:r>
            <w:r>
              <w:rPr>
                <w:sz w:val="20"/>
                <w:szCs w:val="20"/>
              </w:rPr>
              <w:t>y</w:t>
            </w:r>
            <w:r w:rsidRPr="00D13B23">
              <w:rPr>
                <w:sz w:val="20"/>
                <w:szCs w:val="20"/>
              </w:rPr>
              <w:t xml:space="preserve"> were to sell all major possessions, turn all investments and other assets into cash, and pay off all debts)</w:t>
            </w:r>
            <w:r>
              <w:rPr>
                <w:rFonts w:cstheme="minorBidi"/>
                <w:sz w:val="20"/>
                <w:szCs w:val="20"/>
              </w:rPr>
              <w:t xml:space="preserve">; </w:t>
            </w:r>
            <w:r w:rsidRPr="00005C17">
              <w:rPr>
                <w:sz w:val="20"/>
                <w:szCs w:val="20"/>
              </w:rPr>
              <w:t>homeownership</w:t>
            </w:r>
            <w:r w:rsidR="00D93908">
              <w:rPr>
                <w:sz w:val="20"/>
                <w:szCs w:val="20"/>
              </w:rPr>
              <w:t>;</w:t>
            </w:r>
            <w:r w:rsidR="00D93908" w:rsidRPr="00005C17">
              <w:rPr>
                <w:sz w:val="20"/>
                <w:szCs w:val="20"/>
              </w:rPr>
              <w:t xml:space="preserve"> </w:t>
            </w:r>
            <w:r w:rsidRPr="00005C17">
              <w:rPr>
                <w:sz w:val="20"/>
                <w:szCs w:val="20"/>
              </w:rPr>
              <w:t>individual retirement account indicator</w:t>
            </w:r>
            <w:r w:rsidR="00D93908">
              <w:rPr>
                <w:sz w:val="20"/>
                <w:szCs w:val="20"/>
              </w:rPr>
              <w:t>;</w:t>
            </w:r>
            <w:r w:rsidR="00D93908" w:rsidRPr="00005C17">
              <w:rPr>
                <w:sz w:val="20"/>
                <w:szCs w:val="20"/>
              </w:rPr>
              <w:t xml:space="preserve"> </w:t>
            </w:r>
            <w:r w:rsidRPr="00005C17">
              <w:rPr>
                <w:sz w:val="20"/>
                <w:szCs w:val="20"/>
              </w:rPr>
              <w:t>vehicle loans</w:t>
            </w:r>
            <w:r w:rsidR="00D93908">
              <w:rPr>
                <w:sz w:val="20"/>
                <w:szCs w:val="20"/>
              </w:rPr>
              <w:t>;</w:t>
            </w:r>
            <w:r w:rsidR="00D93908" w:rsidRPr="00005C17">
              <w:rPr>
                <w:sz w:val="20"/>
                <w:szCs w:val="20"/>
              </w:rPr>
              <w:t xml:space="preserve"> </w:t>
            </w:r>
            <w:r w:rsidRPr="00005C17">
              <w:rPr>
                <w:sz w:val="20"/>
                <w:szCs w:val="20"/>
              </w:rPr>
              <w:t xml:space="preserve">mortgage (indicator </w:t>
            </w:r>
            <w:r w:rsidR="006D2C61">
              <w:rPr>
                <w:sz w:val="20"/>
                <w:szCs w:val="20"/>
              </w:rPr>
              <w:t>and</w:t>
            </w:r>
            <w:r w:rsidR="006D2C61" w:rsidRPr="00005C17">
              <w:rPr>
                <w:sz w:val="20"/>
                <w:szCs w:val="20"/>
              </w:rPr>
              <w:t xml:space="preserve"> </w:t>
            </w:r>
            <w:r w:rsidRPr="00005C17">
              <w:rPr>
                <w:sz w:val="20"/>
                <w:szCs w:val="20"/>
              </w:rPr>
              <w:t>monthly amount</w:t>
            </w:r>
            <w:r w:rsidR="00D93908" w:rsidRPr="00005C17">
              <w:rPr>
                <w:sz w:val="20"/>
                <w:szCs w:val="20"/>
              </w:rPr>
              <w:t>)</w:t>
            </w:r>
            <w:r w:rsidR="00D93908">
              <w:rPr>
                <w:sz w:val="20"/>
                <w:szCs w:val="20"/>
              </w:rPr>
              <w:t>;</w:t>
            </w:r>
            <w:r w:rsidR="00D93908" w:rsidRPr="00005C17">
              <w:rPr>
                <w:sz w:val="20"/>
                <w:szCs w:val="20"/>
              </w:rPr>
              <w:t xml:space="preserve"> </w:t>
            </w:r>
            <w:r w:rsidRPr="00005C17">
              <w:rPr>
                <w:sz w:val="20"/>
                <w:szCs w:val="20"/>
              </w:rPr>
              <w:t>credit card debt</w:t>
            </w:r>
            <w:r w:rsidR="00D93908">
              <w:rPr>
                <w:sz w:val="20"/>
                <w:szCs w:val="20"/>
              </w:rPr>
              <w:t>;</w:t>
            </w:r>
            <w:r w:rsidR="00D93908" w:rsidRPr="00005C17">
              <w:rPr>
                <w:sz w:val="20"/>
                <w:szCs w:val="20"/>
              </w:rPr>
              <w:t xml:space="preserve"> </w:t>
            </w:r>
            <w:r w:rsidRPr="00005C17">
              <w:rPr>
                <w:sz w:val="20"/>
                <w:szCs w:val="20"/>
              </w:rPr>
              <w:t>other debt.</w:t>
            </w:r>
          </w:p>
          <w:p w14:paraId="4B734FD0" w14:textId="77777777" w:rsidR="00B72A45" w:rsidRPr="00781395" w:rsidRDefault="00B72A45" w:rsidP="004B1105">
            <w:pPr>
              <w:rPr>
                <w:sz w:val="20"/>
                <w:szCs w:val="20"/>
              </w:rPr>
            </w:pPr>
          </w:p>
          <w:p w14:paraId="514FA920" w14:textId="6837B1D0" w:rsidR="00B72A45" w:rsidRPr="00C16AA7" w:rsidRDefault="00B72A45" w:rsidP="004B1105">
            <w:pPr>
              <w:rPr>
                <w:sz w:val="20"/>
                <w:szCs w:val="20"/>
              </w:rPr>
            </w:pPr>
            <w:r w:rsidRPr="00F12147">
              <w:rPr>
                <w:sz w:val="20"/>
                <w:szCs w:val="20"/>
              </w:rPr>
              <w:t>FAFSA asset and wealth data available</w:t>
            </w:r>
            <w:r w:rsidR="00F8200C" w:rsidRPr="00F12147">
              <w:rPr>
                <w:sz w:val="20"/>
                <w:szCs w:val="20"/>
              </w:rPr>
              <w:t>.</w:t>
            </w:r>
          </w:p>
        </w:tc>
        <w:tc>
          <w:tcPr>
            <w:tcW w:w="4564" w:type="dxa"/>
          </w:tcPr>
          <w:p w14:paraId="7818164D" w14:textId="414F9DA1" w:rsidR="00B72A45" w:rsidRPr="00781395" w:rsidRDefault="009D45D8" w:rsidP="004B1105">
            <w:pPr>
              <w:rPr>
                <w:sz w:val="20"/>
                <w:szCs w:val="20"/>
              </w:rPr>
            </w:pPr>
            <w:r>
              <w:rPr>
                <w:sz w:val="20"/>
                <w:szCs w:val="20"/>
              </w:rPr>
              <w:t>A</w:t>
            </w:r>
            <w:r w:rsidR="00B72A45" w:rsidRPr="00781395">
              <w:rPr>
                <w:sz w:val="20"/>
                <w:szCs w:val="20"/>
              </w:rPr>
              <w:t>ttendance intensity</w:t>
            </w:r>
            <w:r w:rsidR="009E508F">
              <w:rPr>
                <w:sz w:val="20"/>
                <w:szCs w:val="20"/>
              </w:rPr>
              <w:t xml:space="preserve"> (primarily student or employee) when enrolled</w:t>
            </w:r>
            <w:r w:rsidR="00B72A45" w:rsidRPr="00781395">
              <w:rPr>
                <w:sz w:val="20"/>
                <w:szCs w:val="20"/>
              </w:rPr>
              <w:t>, completion, institutional selectivity, time</w:t>
            </w:r>
            <w:r w:rsidR="002D7D89">
              <w:rPr>
                <w:sz w:val="20"/>
                <w:szCs w:val="20"/>
              </w:rPr>
              <w:t xml:space="preserve"> </w:t>
            </w:r>
            <w:r w:rsidR="00B72A45" w:rsidRPr="00781395">
              <w:rPr>
                <w:sz w:val="20"/>
                <w:szCs w:val="20"/>
              </w:rPr>
              <w:t>to</w:t>
            </w:r>
            <w:r w:rsidR="002D7D89">
              <w:rPr>
                <w:sz w:val="20"/>
                <w:szCs w:val="20"/>
              </w:rPr>
              <w:t xml:space="preserve"> </w:t>
            </w:r>
            <w:r w:rsidR="00B72A45" w:rsidRPr="00781395">
              <w:rPr>
                <w:sz w:val="20"/>
                <w:szCs w:val="20"/>
              </w:rPr>
              <w:t xml:space="preserve">degree, licensure or certification exam outcomes, field of study CIP code, student loan information (types, amount), repayment outcomes (delinquency and default), credential level, financial aid application status, </w:t>
            </w:r>
            <w:r w:rsidR="00B72A45" w:rsidRPr="003A1D9F">
              <w:rPr>
                <w:sz w:val="20"/>
                <w:szCs w:val="20"/>
              </w:rPr>
              <w:t>EFC,</w:t>
            </w:r>
            <w:r w:rsidR="00B72A45" w:rsidRPr="00781395">
              <w:rPr>
                <w:sz w:val="20"/>
                <w:szCs w:val="20"/>
              </w:rPr>
              <w:t xml:space="preserve"> aid package, housing status, receipt of federal benefits</w:t>
            </w:r>
            <w:r w:rsidR="002F0031">
              <w:rPr>
                <w:sz w:val="20"/>
                <w:szCs w:val="20"/>
              </w:rPr>
              <w:t xml:space="preserve"> when enrolled</w:t>
            </w:r>
            <w:r w:rsidR="00B72A45" w:rsidRPr="00781395">
              <w:rPr>
                <w:sz w:val="20"/>
                <w:szCs w:val="20"/>
              </w:rPr>
              <w:t>.</w:t>
            </w:r>
          </w:p>
          <w:p w14:paraId="4F1C7478" w14:textId="77777777" w:rsidR="00B72A45" w:rsidRDefault="00B72A45" w:rsidP="004B1105">
            <w:pPr>
              <w:rPr>
                <w:sz w:val="20"/>
                <w:szCs w:val="20"/>
              </w:rPr>
            </w:pPr>
          </w:p>
          <w:p w14:paraId="7CDE8862" w14:textId="77777777" w:rsidR="00B72A45" w:rsidRPr="00781395" w:rsidRDefault="00B72A45" w:rsidP="004B1105">
            <w:pPr>
              <w:rPr>
                <w:sz w:val="20"/>
                <w:szCs w:val="20"/>
              </w:rPr>
            </w:pPr>
          </w:p>
          <w:p w14:paraId="033EAB02" w14:textId="77777777" w:rsidR="00590C51" w:rsidRPr="00781395" w:rsidRDefault="00590C51" w:rsidP="004B1105">
            <w:pPr>
              <w:rPr>
                <w:sz w:val="20"/>
                <w:szCs w:val="20"/>
              </w:rPr>
            </w:pPr>
          </w:p>
          <w:p w14:paraId="11ACFA09" w14:textId="37689093" w:rsidR="00B72A45" w:rsidRPr="00C16AA7" w:rsidRDefault="00B72A45" w:rsidP="004B1105">
            <w:pPr>
              <w:rPr>
                <w:sz w:val="20"/>
                <w:szCs w:val="20"/>
              </w:rPr>
            </w:pPr>
            <w:r w:rsidRPr="00F12147">
              <w:rPr>
                <w:sz w:val="20"/>
                <w:szCs w:val="20"/>
              </w:rPr>
              <w:t>IPEDS data linkage available</w:t>
            </w:r>
            <w:r w:rsidR="00286401" w:rsidRPr="00F12147">
              <w:rPr>
                <w:sz w:val="20"/>
                <w:szCs w:val="20"/>
              </w:rPr>
              <w:t>.</w:t>
            </w:r>
          </w:p>
        </w:tc>
      </w:tr>
      <w:tr w:rsidR="00B72A45" w:rsidRPr="00781395" w14:paraId="7D770327" w14:textId="77777777" w:rsidTr="00F12147">
        <w:trPr>
          <w:trHeight w:val="2576"/>
        </w:trPr>
        <w:tc>
          <w:tcPr>
            <w:tcW w:w="1435" w:type="dxa"/>
          </w:tcPr>
          <w:p w14:paraId="21CFA727" w14:textId="77777777" w:rsidR="00B72A45" w:rsidRPr="00781395" w:rsidRDefault="00000000" w:rsidP="004B1105">
            <w:pPr>
              <w:rPr>
                <w:sz w:val="20"/>
                <w:szCs w:val="20"/>
              </w:rPr>
            </w:pPr>
            <w:hyperlink r:id="rId16" w:history="1">
              <w:r w:rsidR="00B72A45" w:rsidRPr="00781395">
                <w:rPr>
                  <w:rStyle w:val="Hyperlink"/>
                  <w:rFonts w:cstheme="minorHAnsi"/>
                  <w:sz w:val="20"/>
                  <w:szCs w:val="20"/>
                </w:rPr>
                <w:t>Beginning Postsecondary Students</w:t>
              </w:r>
            </w:hyperlink>
            <w:r w:rsidR="00B72A45">
              <w:rPr>
                <w:rStyle w:val="Hyperlink"/>
                <w:rFonts w:cstheme="minorHAnsi"/>
                <w:sz w:val="20"/>
                <w:szCs w:val="20"/>
              </w:rPr>
              <w:t xml:space="preserve"> (BPS)</w:t>
            </w:r>
          </w:p>
        </w:tc>
        <w:tc>
          <w:tcPr>
            <w:tcW w:w="3420" w:type="dxa"/>
          </w:tcPr>
          <w:p w14:paraId="294E5646" w14:textId="7480F1EB" w:rsidR="00B72A45" w:rsidRDefault="00B72A45" w:rsidP="004B1105">
            <w:pPr>
              <w:rPr>
                <w:sz w:val="20"/>
                <w:szCs w:val="20"/>
              </w:rPr>
            </w:pPr>
            <w:proofErr w:type="gramStart"/>
            <w:r w:rsidRPr="00781395">
              <w:rPr>
                <w:sz w:val="20"/>
                <w:szCs w:val="20"/>
              </w:rPr>
              <w:t>Panel;</w:t>
            </w:r>
            <w:proofErr w:type="gramEnd"/>
            <w:r>
              <w:rPr>
                <w:sz w:val="20"/>
                <w:szCs w:val="20"/>
              </w:rPr>
              <w:t xml:space="preserve"> </w:t>
            </w:r>
            <w:r w:rsidR="0093187D">
              <w:rPr>
                <w:sz w:val="20"/>
                <w:szCs w:val="20"/>
              </w:rPr>
              <w:t xml:space="preserve">nationally </w:t>
            </w:r>
            <w:r w:rsidR="00615120">
              <w:rPr>
                <w:sz w:val="20"/>
                <w:szCs w:val="20"/>
              </w:rPr>
              <w:t xml:space="preserve">representative of first-time beginning students surveyed at the end of their first year, and </w:t>
            </w:r>
            <w:r w:rsidR="008B3CF5">
              <w:rPr>
                <w:sz w:val="20"/>
                <w:szCs w:val="20"/>
              </w:rPr>
              <w:t>then three and six</w:t>
            </w:r>
            <w:r w:rsidR="008A278A">
              <w:rPr>
                <w:sz w:val="20"/>
                <w:szCs w:val="20"/>
              </w:rPr>
              <w:t xml:space="preserve"> </w:t>
            </w:r>
            <w:r w:rsidR="008B3CF5">
              <w:rPr>
                <w:sz w:val="20"/>
                <w:szCs w:val="20"/>
              </w:rPr>
              <w:t>years after first college entry.</w:t>
            </w:r>
          </w:p>
          <w:p w14:paraId="3D507C05" w14:textId="77777777" w:rsidR="00B72A45" w:rsidRPr="00781395" w:rsidRDefault="00B72A45" w:rsidP="004B1105">
            <w:pPr>
              <w:rPr>
                <w:sz w:val="20"/>
                <w:szCs w:val="20"/>
              </w:rPr>
            </w:pPr>
          </w:p>
          <w:p w14:paraId="69C7799D" w14:textId="4067E9F4" w:rsidR="00B72A45" w:rsidRPr="00781395" w:rsidRDefault="00B72A45" w:rsidP="004B1105">
            <w:pPr>
              <w:rPr>
                <w:sz w:val="20"/>
                <w:szCs w:val="20"/>
              </w:rPr>
            </w:pPr>
            <w:r w:rsidRPr="00781395">
              <w:rPr>
                <w:sz w:val="20"/>
                <w:szCs w:val="20"/>
              </w:rPr>
              <w:t xml:space="preserve">Four cohorts, </w:t>
            </w:r>
            <w:r w:rsidR="0093187D">
              <w:rPr>
                <w:sz w:val="20"/>
                <w:szCs w:val="20"/>
              </w:rPr>
              <w:t xml:space="preserve">with </w:t>
            </w:r>
            <w:r w:rsidRPr="00781395">
              <w:rPr>
                <w:sz w:val="20"/>
                <w:szCs w:val="20"/>
              </w:rPr>
              <w:t>starting years 1990, 1996, 2004, and 2012.</w:t>
            </w:r>
            <w:r>
              <w:rPr>
                <w:sz w:val="20"/>
                <w:szCs w:val="20"/>
              </w:rPr>
              <w:t xml:space="preserve"> </w:t>
            </w:r>
            <w:r w:rsidR="003E3C96" w:rsidRPr="00781395">
              <w:rPr>
                <w:sz w:val="20"/>
                <w:szCs w:val="20"/>
              </w:rPr>
              <w:t>Follow</w:t>
            </w:r>
            <w:r w:rsidR="003E3C96">
              <w:rPr>
                <w:sz w:val="20"/>
                <w:szCs w:val="20"/>
              </w:rPr>
              <w:t>-</w:t>
            </w:r>
            <w:r w:rsidRPr="00781395">
              <w:rPr>
                <w:sz w:val="20"/>
                <w:szCs w:val="20"/>
              </w:rPr>
              <w:t xml:space="preserve">up studies occur </w:t>
            </w:r>
            <w:r w:rsidR="008A278A">
              <w:rPr>
                <w:sz w:val="20"/>
                <w:szCs w:val="20"/>
              </w:rPr>
              <w:t>three</w:t>
            </w:r>
            <w:r w:rsidR="008A278A" w:rsidRPr="00781395">
              <w:rPr>
                <w:sz w:val="20"/>
                <w:szCs w:val="20"/>
              </w:rPr>
              <w:t xml:space="preserve"> </w:t>
            </w:r>
            <w:r w:rsidRPr="00781395">
              <w:rPr>
                <w:sz w:val="20"/>
                <w:szCs w:val="20"/>
              </w:rPr>
              <w:t xml:space="preserve">and </w:t>
            </w:r>
            <w:r w:rsidR="008A278A">
              <w:rPr>
                <w:sz w:val="20"/>
                <w:szCs w:val="20"/>
              </w:rPr>
              <w:t>six</w:t>
            </w:r>
            <w:r w:rsidR="008A278A" w:rsidRPr="00781395">
              <w:rPr>
                <w:sz w:val="20"/>
                <w:szCs w:val="20"/>
              </w:rPr>
              <w:t xml:space="preserve"> </w:t>
            </w:r>
            <w:r w:rsidRPr="00781395">
              <w:rPr>
                <w:sz w:val="20"/>
                <w:szCs w:val="20"/>
              </w:rPr>
              <w:t>years after the initial year.</w:t>
            </w:r>
          </w:p>
        </w:tc>
        <w:tc>
          <w:tcPr>
            <w:tcW w:w="3837" w:type="dxa"/>
          </w:tcPr>
          <w:p w14:paraId="76B288A2" w14:textId="77777777" w:rsidR="00590C51" w:rsidRDefault="00590C51" w:rsidP="004B1105">
            <w:pPr>
              <w:rPr>
                <w:i/>
                <w:iCs/>
                <w:sz w:val="20"/>
                <w:szCs w:val="20"/>
              </w:rPr>
            </w:pPr>
          </w:p>
          <w:p w14:paraId="3A51E2FD" w14:textId="77777777" w:rsidR="00590C51" w:rsidRDefault="00590C51" w:rsidP="004B1105">
            <w:pPr>
              <w:rPr>
                <w:i/>
                <w:iCs/>
                <w:sz w:val="20"/>
                <w:szCs w:val="20"/>
              </w:rPr>
            </w:pPr>
          </w:p>
          <w:p w14:paraId="6085EDDF" w14:textId="77777777" w:rsidR="00590C51" w:rsidRDefault="00590C51" w:rsidP="004B1105">
            <w:pPr>
              <w:rPr>
                <w:i/>
                <w:iCs/>
                <w:sz w:val="20"/>
                <w:szCs w:val="20"/>
              </w:rPr>
            </w:pPr>
          </w:p>
          <w:p w14:paraId="5625BB01" w14:textId="77777777" w:rsidR="00590C51" w:rsidRDefault="00590C51" w:rsidP="004B1105">
            <w:pPr>
              <w:rPr>
                <w:i/>
                <w:iCs/>
                <w:sz w:val="20"/>
                <w:szCs w:val="20"/>
              </w:rPr>
            </w:pPr>
          </w:p>
          <w:p w14:paraId="6048B1E4" w14:textId="77777777" w:rsidR="00590C51" w:rsidRDefault="00590C51" w:rsidP="004B1105">
            <w:pPr>
              <w:rPr>
                <w:i/>
                <w:iCs/>
                <w:sz w:val="20"/>
                <w:szCs w:val="20"/>
              </w:rPr>
            </w:pPr>
          </w:p>
          <w:p w14:paraId="481FEF6E" w14:textId="77777777" w:rsidR="00590C51" w:rsidRDefault="00590C51" w:rsidP="004B1105">
            <w:pPr>
              <w:rPr>
                <w:i/>
                <w:iCs/>
                <w:sz w:val="20"/>
                <w:szCs w:val="20"/>
              </w:rPr>
            </w:pPr>
          </w:p>
          <w:p w14:paraId="55672D1A" w14:textId="77777777" w:rsidR="00590C51" w:rsidRDefault="00590C51" w:rsidP="004B1105">
            <w:pPr>
              <w:rPr>
                <w:i/>
                <w:iCs/>
                <w:sz w:val="20"/>
                <w:szCs w:val="20"/>
              </w:rPr>
            </w:pPr>
          </w:p>
          <w:p w14:paraId="389A6783" w14:textId="77777777" w:rsidR="00590C51" w:rsidRDefault="00590C51" w:rsidP="004B1105">
            <w:pPr>
              <w:rPr>
                <w:i/>
                <w:iCs/>
                <w:sz w:val="20"/>
                <w:szCs w:val="20"/>
              </w:rPr>
            </w:pPr>
          </w:p>
          <w:p w14:paraId="10C25804" w14:textId="77777777" w:rsidR="00590C51" w:rsidRDefault="00590C51" w:rsidP="004B1105">
            <w:pPr>
              <w:rPr>
                <w:i/>
                <w:iCs/>
                <w:sz w:val="20"/>
                <w:szCs w:val="20"/>
              </w:rPr>
            </w:pPr>
          </w:p>
          <w:p w14:paraId="33BF716D" w14:textId="77777777" w:rsidR="00590C51" w:rsidRDefault="00590C51" w:rsidP="004B1105">
            <w:pPr>
              <w:rPr>
                <w:i/>
                <w:iCs/>
                <w:sz w:val="20"/>
                <w:szCs w:val="20"/>
              </w:rPr>
            </w:pPr>
          </w:p>
          <w:p w14:paraId="79DCBE69" w14:textId="4D7A8EF4" w:rsidR="00B72A45" w:rsidRPr="00C16AA7" w:rsidRDefault="00B72A45" w:rsidP="004B1105">
            <w:pPr>
              <w:rPr>
                <w:sz w:val="20"/>
                <w:szCs w:val="20"/>
              </w:rPr>
            </w:pPr>
            <w:r w:rsidRPr="00F12147">
              <w:rPr>
                <w:sz w:val="20"/>
                <w:szCs w:val="20"/>
              </w:rPr>
              <w:t>FAFSA asset and wealth data available</w:t>
            </w:r>
            <w:r w:rsidR="00F8200C" w:rsidRPr="00F12147">
              <w:rPr>
                <w:sz w:val="20"/>
                <w:szCs w:val="20"/>
              </w:rPr>
              <w:t>.</w:t>
            </w:r>
          </w:p>
        </w:tc>
        <w:tc>
          <w:tcPr>
            <w:tcW w:w="4564" w:type="dxa"/>
          </w:tcPr>
          <w:p w14:paraId="2481B7EF" w14:textId="115218AA" w:rsidR="00B72A45" w:rsidRPr="00781395" w:rsidRDefault="00B72A45" w:rsidP="004B1105">
            <w:pPr>
              <w:rPr>
                <w:sz w:val="20"/>
                <w:szCs w:val="20"/>
              </w:rPr>
            </w:pPr>
            <w:r w:rsidRPr="00781395">
              <w:rPr>
                <w:sz w:val="20"/>
                <w:szCs w:val="20"/>
              </w:rPr>
              <w:t>Enrollment, attendance intensity, completion, institutional selectivity, time</w:t>
            </w:r>
            <w:r w:rsidR="008A49B2">
              <w:rPr>
                <w:sz w:val="20"/>
                <w:szCs w:val="20"/>
              </w:rPr>
              <w:t xml:space="preserve"> </w:t>
            </w:r>
            <w:r w:rsidRPr="00781395">
              <w:rPr>
                <w:sz w:val="20"/>
                <w:szCs w:val="20"/>
              </w:rPr>
              <w:t>to</w:t>
            </w:r>
            <w:r w:rsidR="008A49B2">
              <w:rPr>
                <w:sz w:val="20"/>
                <w:szCs w:val="20"/>
              </w:rPr>
              <w:t xml:space="preserve"> </w:t>
            </w:r>
            <w:r w:rsidRPr="00781395">
              <w:rPr>
                <w:sz w:val="20"/>
                <w:szCs w:val="20"/>
              </w:rPr>
              <w:t xml:space="preserve">degree, licensure or certification exam outcomes, field of study CIP code, student loan information (types, amount), repayment outcomes (delinquency and default), credential level, financial aid application status, EFC, aid package, work status during enrollment, institutional selectivity, housing status, receipt of federal benefits. </w:t>
            </w:r>
          </w:p>
          <w:p w14:paraId="1F7A13FC" w14:textId="77777777" w:rsidR="00B72A45" w:rsidRPr="00781395" w:rsidRDefault="00B72A45" w:rsidP="004B1105">
            <w:pPr>
              <w:rPr>
                <w:sz w:val="20"/>
                <w:szCs w:val="20"/>
              </w:rPr>
            </w:pPr>
          </w:p>
          <w:p w14:paraId="295D5AF4" w14:textId="2EB84780" w:rsidR="00B72A45" w:rsidRPr="00781395" w:rsidRDefault="00B72A45" w:rsidP="004B1105">
            <w:pPr>
              <w:rPr>
                <w:sz w:val="20"/>
                <w:szCs w:val="20"/>
              </w:rPr>
            </w:pPr>
            <w:r w:rsidRPr="00F12147">
              <w:rPr>
                <w:sz w:val="20"/>
                <w:szCs w:val="20"/>
              </w:rPr>
              <w:t>IPEDS data linkage available</w:t>
            </w:r>
            <w:r w:rsidR="00286401" w:rsidRPr="00F12147">
              <w:rPr>
                <w:sz w:val="20"/>
                <w:szCs w:val="20"/>
              </w:rPr>
              <w:t>.</w:t>
            </w:r>
          </w:p>
        </w:tc>
      </w:tr>
      <w:tr w:rsidR="00BE2D35" w:rsidRPr="00781395" w14:paraId="60A92321" w14:textId="77777777" w:rsidTr="00ED6FCE">
        <w:tc>
          <w:tcPr>
            <w:tcW w:w="1435" w:type="dxa"/>
          </w:tcPr>
          <w:p w14:paraId="58C0A4A0" w14:textId="2DDC2877" w:rsidR="00BE2D35" w:rsidRPr="00F12147" w:rsidRDefault="00000000" w:rsidP="004B1105">
            <w:pPr>
              <w:rPr>
                <w:sz w:val="20"/>
                <w:szCs w:val="20"/>
              </w:rPr>
            </w:pPr>
            <w:hyperlink r:id="rId17" w:history="1">
              <w:r w:rsidR="00FF1015">
                <w:rPr>
                  <w:rStyle w:val="Hyperlink"/>
                  <w:sz w:val="20"/>
                  <w:szCs w:val="20"/>
                </w:rPr>
                <w:t>Education Longitudinal Study of 2002 (ELS2002)</w:t>
              </w:r>
            </w:hyperlink>
          </w:p>
        </w:tc>
        <w:tc>
          <w:tcPr>
            <w:tcW w:w="3420" w:type="dxa"/>
          </w:tcPr>
          <w:p w14:paraId="71786ACF" w14:textId="32314685" w:rsidR="00BE2D35" w:rsidRPr="00A92BFD" w:rsidRDefault="00BE2D35" w:rsidP="004B1105">
            <w:pPr>
              <w:rPr>
                <w:sz w:val="20"/>
                <w:szCs w:val="20"/>
              </w:rPr>
            </w:pPr>
            <w:r>
              <w:rPr>
                <w:sz w:val="20"/>
                <w:szCs w:val="20"/>
              </w:rPr>
              <w:t xml:space="preserve">Panel; </w:t>
            </w:r>
            <w:r w:rsidR="003E3C96">
              <w:rPr>
                <w:sz w:val="20"/>
                <w:szCs w:val="20"/>
              </w:rPr>
              <w:t xml:space="preserve">nationally </w:t>
            </w:r>
            <w:r>
              <w:rPr>
                <w:sz w:val="20"/>
                <w:szCs w:val="20"/>
              </w:rPr>
              <w:t xml:space="preserve">representative of </w:t>
            </w:r>
            <w:r w:rsidR="003E3C96">
              <w:rPr>
                <w:sz w:val="20"/>
                <w:szCs w:val="20"/>
              </w:rPr>
              <w:t xml:space="preserve">10th </w:t>
            </w:r>
            <w:r>
              <w:rPr>
                <w:sz w:val="20"/>
                <w:szCs w:val="20"/>
              </w:rPr>
              <w:t xml:space="preserve">graders in 2002 and </w:t>
            </w:r>
            <w:r w:rsidR="003E3C96">
              <w:rPr>
                <w:sz w:val="20"/>
                <w:szCs w:val="20"/>
              </w:rPr>
              <w:t xml:space="preserve">12th </w:t>
            </w:r>
            <w:r>
              <w:rPr>
                <w:sz w:val="20"/>
                <w:szCs w:val="20"/>
              </w:rPr>
              <w:t xml:space="preserve">graders in 2004. </w:t>
            </w:r>
            <w:r w:rsidR="003E3C96">
              <w:rPr>
                <w:sz w:val="20"/>
                <w:szCs w:val="20"/>
              </w:rPr>
              <w:t>Follow-</w:t>
            </w:r>
            <w:r>
              <w:rPr>
                <w:sz w:val="20"/>
                <w:szCs w:val="20"/>
              </w:rPr>
              <w:t>up data collections occurred in 2006 and 2012.</w:t>
            </w:r>
          </w:p>
        </w:tc>
        <w:tc>
          <w:tcPr>
            <w:tcW w:w="3837" w:type="dxa"/>
          </w:tcPr>
          <w:p w14:paraId="73CCE73B" w14:textId="77777777" w:rsidR="00590C51" w:rsidRDefault="00590C51" w:rsidP="004B1105">
            <w:pPr>
              <w:rPr>
                <w:i/>
                <w:iCs/>
                <w:sz w:val="20"/>
                <w:szCs w:val="20"/>
              </w:rPr>
            </w:pPr>
          </w:p>
          <w:p w14:paraId="792B830A" w14:textId="77777777" w:rsidR="00590C51" w:rsidRDefault="00590C51" w:rsidP="004B1105">
            <w:pPr>
              <w:rPr>
                <w:i/>
                <w:iCs/>
                <w:sz w:val="20"/>
                <w:szCs w:val="20"/>
              </w:rPr>
            </w:pPr>
          </w:p>
          <w:p w14:paraId="13B93DAF" w14:textId="77777777" w:rsidR="00590C51" w:rsidRDefault="00590C51" w:rsidP="004B1105">
            <w:pPr>
              <w:rPr>
                <w:i/>
                <w:iCs/>
                <w:sz w:val="20"/>
                <w:szCs w:val="20"/>
              </w:rPr>
            </w:pPr>
          </w:p>
          <w:p w14:paraId="043BFB79" w14:textId="77777777" w:rsidR="00590C51" w:rsidRDefault="00590C51" w:rsidP="004B1105">
            <w:pPr>
              <w:rPr>
                <w:i/>
                <w:iCs/>
                <w:sz w:val="20"/>
                <w:szCs w:val="20"/>
              </w:rPr>
            </w:pPr>
          </w:p>
          <w:p w14:paraId="67591EE2" w14:textId="77777777" w:rsidR="00590C51" w:rsidRDefault="00590C51" w:rsidP="004B1105">
            <w:pPr>
              <w:rPr>
                <w:i/>
                <w:iCs/>
                <w:sz w:val="20"/>
                <w:szCs w:val="20"/>
              </w:rPr>
            </w:pPr>
          </w:p>
          <w:p w14:paraId="423495E1" w14:textId="77777777" w:rsidR="00590C51" w:rsidRDefault="00590C51" w:rsidP="004B1105">
            <w:pPr>
              <w:rPr>
                <w:i/>
                <w:iCs/>
                <w:sz w:val="20"/>
                <w:szCs w:val="20"/>
              </w:rPr>
            </w:pPr>
          </w:p>
          <w:p w14:paraId="5C2E5153" w14:textId="77777777" w:rsidR="00590C51" w:rsidRDefault="00590C51" w:rsidP="004B1105">
            <w:pPr>
              <w:rPr>
                <w:i/>
                <w:iCs/>
                <w:sz w:val="20"/>
                <w:szCs w:val="20"/>
              </w:rPr>
            </w:pPr>
          </w:p>
          <w:p w14:paraId="3147EA45" w14:textId="77777777" w:rsidR="00954FCE" w:rsidRDefault="00954FCE" w:rsidP="004B1105">
            <w:pPr>
              <w:rPr>
                <w:i/>
                <w:iCs/>
                <w:sz w:val="20"/>
                <w:szCs w:val="20"/>
              </w:rPr>
            </w:pPr>
          </w:p>
          <w:p w14:paraId="33A67B7D" w14:textId="68B807C3" w:rsidR="00BE2D35" w:rsidRPr="00F12147" w:rsidRDefault="00BE2D35" w:rsidP="004B1105">
            <w:pPr>
              <w:rPr>
                <w:sz w:val="20"/>
                <w:szCs w:val="20"/>
              </w:rPr>
            </w:pPr>
            <w:r w:rsidRPr="00F12147">
              <w:rPr>
                <w:sz w:val="20"/>
                <w:szCs w:val="20"/>
              </w:rPr>
              <w:t>FAFSA asset and wealth data available</w:t>
            </w:r>
            <w:r w:rsidR="00F8200C" w:rsidRPr="00F12147">
              <w:rPr>
                <w:sz w:val="20"/>
                <w:szCs w:val="20"/>
              </w:rPr>
              <w:t>.</w:t>
            </w:r>
          </w:p>
        </w:tc>
        <w:tc>
          <w:tcPr>
            <w:tcW w:w="4564" w:type="dxa"/>
          </w:tcPr>
          <w:p w14:paraId="67E0DCC0" w14:textId="7A1D9028" w:rsidR="00BE2D35" w:rsidRDefault="007F102E" w:rsidP="004B1105">
            <w:pPr>
              <w:rPr>
                <w:sz w:val="20"/>
                <w:szCs w:val="20"/>
              </w:rPr>
            </w:pPr>
            <w:r>
              <w:rPr>
                <w:sz w:val="20"/>
                <w:szCs w:val="20"/>
              </w:rPr>
              <w:t>Application</w:t>
            </w:r>
            <w:r w:rsidRPr="00781395">
              <w:rPr>
                <w:sz w:val="20"/>
                <w:szCs w:val="20"/>
              </w:rPr>
              <w:t xml:space="preserve"> </w:t>
            </w:r>
            <w:r w:rsidR="00BE2D35" w:rsidRPr="00781395">
              <w:rPr>
                <w:sz w:val="20"/>
                <w:szCs w:val="20"/>
              </w:rPr>
              <w:t xml:space="preserve">to college, </w:t>
            </w:r>
            <w:r>
              <w:rPr>
                <w:sz w:val="20"/>
                <w:szCs w:val="20"/>
              </w:rPr>
              <w:t>application</w:t>
            </w:r>
            <w:r w:rsidRPr="00781395">
              <w:rPr>
                <w:sz w:val="20"/>
                <w:szCs w:val="20"/>
              </w:rPr>
              <w:t xml:space="preserve"> </w:t>
            </w:r>
            <w:r w:rsidR="00BE2D35" w:rsidRPr="00781395">
              <w:rPr>
                <w:sz w:val="20"/>
                <w:szCs w:val="20"/>
              </w:rPr>
              <w:t>for financial aid, enrollment, attendance intensity, completion, institutional selectivity, time</w:t>
            </w:r>
            <w:r>
              <w:rPr>
                <w:sz w:val="20"/>
                <w:szCs w:val="20"/>
              </w:rPr>
              <w:t xml:space="preserve"> </w:t>
            </w:r>
            <w:r w:rsidR="00BE2D35" w:rsidRPr="00781395">
              <w:rPr>
                <w:sz w:val="20"/>
                <w:szCs w:val="20"/>
              </w:rPr>
              <w:t>to</w:t>
            </w:r>
            <w:r>
              <w:rPr>
                <w:sz w:val="20"/>
                <w:szCs w:val="20"/>
              </w:rPr>
              <w:t xml:space="preserve"> </w:t>
            </w:r>
            <w:r w:rsidR="00BE2D35" w:rsidRPr="00781395">
              <w:rPr>
                <w:sz w:val="20"/>
                <w:szCs w:val="20"/>
              </w:rPr>
              <w:t>degree, licensure or certification exam outcomes, field of study CIP code, student loan information (types, amount), credential level, financial aid application status, EFC, aid package, work status during enrollment.</w:t>
            </w:r>
          </w:p>
          <w:p w14:paraId="29BB733E" w14:textId="77777777" w:rsidR="00954FCE" w:rsidRPr="00781395" w:rsidRDefault="00954FCE" w:rsidP="004B1105">
            <w:pPr>
              <w:rPr>
                <w:sz w:val="20"/>
                <w:szCs w:val="20"/>
              </w:rPr>
            </w:pPr>
          </w:p>
          <w:p w14:paraId="14DC40A8" w14:textId="5EC35B48" w:rsidR="00BE2D35" w:rsidRPr="00C16AA7" w:rsidRDefault="00BE2D35" w:rsidP="004B1105">
            <w:pPr>
              <w:rPr>
                <w:sz w:val="20"/>
                <w:szCs w:val="20"/>
              </w:rPr>
            </w:pPr>
            <w:r w:rsidRPr="00F12147">
              <w:rPr>
                <w:sz w:val="20"/>
                <w:szCs w:val="20"/>
              </w:rPr>
              <w:t>IPEDS data linkage available</w:t>
            </w:r>
          </w:p>
        </w:tc>
      </w:tr>
      <w:tr w:rsidR="00B72A45" w:rsidRPr="00781395" w14:paraId="38CBCCF1" w14:textId="77777777" w:rsidTr="00ED6FCE">
        <w:tc>
          <w:tcPr>
            <w:tcW w:w="1435" w:type="dxa"/>
          </w:tcPr>
          <w:p w14:paraId="59C0D811" w14:textId="36F35B45" w:rsidR="00B72A45" w:rsidRPr="00781395" w:rsidRDefault="00000000" w:rsidP="004B1105">
            <w:pPr>
              <w:rPr>
                <w:sz w:val="20"/>
                <w:szCs w:val="20"/>
              </w:rPr>
            </w:pPr>
            <w:hyperlink r:id="rId18" w:history="1">
              <w:r w:rsidR="00EA39C7" w:rsidRPr="00EA39C7">
                <w:rPr>
                  <w:rStyle w:val="Hyperlink"/>
                  <w:rFonts w:cstheme="minorHAnsi"/>
                  <w:sz w:val="20"/>
                  <w:szCs w:val="20"/>
                </w:rPr>
                <w:t xml:space="preserve">High School Longitudinal </w:t>
              </w:r>
              <w:r w:rsidR="00EA39C7" w:rsidRPr="00EA39C7">
                <w:rPr>
                  <w:rStyle w:val="Hyperlink"/>
                  <w:rFonts w:cstheme="minorHAnsi"/>
                  <w:sz w:val="20"/>
                  <w:szCs w:val="20"/>
                </w:rPr>
                <w:lastRenderedPageBreak/>
                <w:t>Study of 2009 (HSLS09)</w:t>
              </w:r>
            </w:hyperlink>
            <w:r w:rsidR="0060065A">
              <w:rPr>
                <w:rFonts w:cstheme="minorHAnsi"/>
                <w:sz w:val="20"/>
                <w:szCs w:val="20"/>
              </w:rPr>
              <w:fldChar w:fldCharType="begin"/>
            </w:r>
            <w:r w:rsidR="00EA39C7">
              <w:rPr>
                <w:rFonts w:cstheme="minorHAnsi"/>
                <w:sz w:val="20"/>
                <w:szCs w:val="20"/>
              </w:rPr>
              <w:instrText xml:space="preserve"> "https://nces.ed.gov/surveys/hsls09/"</w:instrText>
            </w:r>
            <w:r w:rsidR="0060065A">
              <w:rPr>
                <w:rFonts w:cstheme="minorHAnsi"/>
                <w:sz w:val="20"/>
                <w:szCs w:val="20"/>
              </w:rPr>
              <w:fldChar w:fldCharType="separate"/>
            </w:r>
            <w:r w:rsidR="00EA39C7">
              <w:rPr>
                <w:rStyle w:val="Hyperlink"/>
                <w:rFonts w:cstheme="minorHAnsi"/>
                <w:sz w:val="20"/>
                <w:szCs w:val="20"/>
              </w:rPr>
              <w:t>High School Longitudinal Study of 2009 (HSLS09)</w:t>
            </w:r>
            <w:r w:rsidR="0060065A">
              <w:rPr>
                <w:rFonts w:cstheme="minorHAnsi"/>
                <w:sz w:val="20"/>
                <w:szCs w:val="20"/>
              </w:rPr>
              <w:fldChar w:fldCharType="end"/>
            </w:r>
          </w:p>
        </w:tc>
        <w:tc>
          <w:tcPr>
            <w:tcW w:w="3420" w:type="dxa"/>
          </w:tcPr>
          <w:p w14:paraId="3A5FFD78" w14:textId="037CBAF4" w:rsidR="00B72A45" w:rsidRPr="00781395" w:rsidRDefault="00BE2D35" w:rsidP="004B1105">
            <w:pPr>
              <w:rPr>
                <w:sz w:val="20"/>
                <w:szCs w:val="20"/>
              </w:rPr>
            </w:pPr>
            <w:r>
              <w:rPr>
                <w:sz w:val="20"/>
                <w:szCs w:val="20"/>
              </w:rPr>
              <w:lastRenderedPageBreak/>
              <w:t xml:space="preserve">Panel; </w:t>
            </w:r>
            <w:r w:rsidR="003E3C96">
              <w:rPr>
                <w:sz w:val="20"/>
                <w:szCs w:val="20"/>
              </w:rPr>
              <w:t xml:space="preserve">nationally </w:t>
            </w:r>
            <w:r>
              <w:rPr>
                <w:sz w:val="20"/>
                <w:szCs w:val="20"/>
              </w:rPr>
              <w:t>representative of first-year h</w:t>
            </w:r>
            <w:r w:rsidRPr="00781395">
              <w:rPr>
                <w:sz w:val="20"/>
                <w:szCs w:val="20"/>
              </w:rPr>
              <w:t xml:space="preserve">igh </w:t>
            </w:r>
            <w:r>
              <w:rPr>
                <w:sz w:val="20"/>
                <w:szCs w:val="20"/>
              </w:rPr>
              <w:t>s</w:t>
            </w:r>
            <w:r w:rsidRPr="00781395">
              <w:rPr>
                <w:sz w:val="20"/>
                <w:szCs w:val="20"/>
              </w:rPr>
              <w:t xml:space="preserve">chool </w:t>
            </w:r>
            <w:r>
              <w:rPr>
                <w:sz w:val="20"/>
                <w:szCs w:val="20"/>
              </w:rPr>
              <w:t>s</w:t>
            </w:r>
            <w:r w:rsidRPr="00781395">
              <w:rPr>
                <w:sz w:val="20"/>
                <w:szCs w:val="20"/>
              </w:rPr>
              <w:t>tudent</w:t>
            </w:r>
            <w:r>
              <w:rPr>
                <w:sz w:val="20"/>
                <w:szCs w:val="20"/>
              </w:rPr>
              <w:t xml:space="preserve">s in </w:t>
            </w:r>
            <w:r w:rsidRPr="00781395">
              <w:rPr>
                <w:sz w:val="20"/>
                <w:szCs w:val="20"/>
              </w:rPr>
              <w:t>2009</w:t>
            </w:r>
            <w:r>
              <w:rPr>
                <w:sz w:val="20"/>
                <w:szCs w:val="20"/>
              </w:rPr>
              <w:t xml:space="preserve"> </w:t>
            </w:r>
            <w:r w:rsidR="00887959">
              <w:rPr>
                <w:sz w:val="20"/>
                <w:szCs w:val="20"/>
              </w:rPr>
              <w:lastRenderedPageBreak/>
              <w:t xml:space="preserve">and </w:t>
            </w:r>
            <w:r w:rsidR="00BB45B2">
              <w:rPr>
                <w:sz w:val="20"/>
                <w:szCs w:val="20"/>
              </w:rPr>
              <w:t xml:space="preserve">10 </w:t>
            </w:r>
            <w:r w:rsidR="00887959">
              <w:rPr>
                <w:sz w:val="20"/>
                <w:szCs w:val="20"/>
              </w:rPr>
              <w:t>representative state samples (CA, FL, GA, MI, NC, OH, PA, TN, TX, and WA)</w:t>
            </w:r>
            <w:r>
              <w:rPr>
                <w:sz w:val="20"/>
                <w:szCs w:val="20"/>
              </w:rPr>
              <w:t xml:space="preserve">. </w:t>
            </w:r>
            <w:r w:rsidR="00BB45B2">
              <w:rPr>
                <w:sz w:val="20"/>
                <w:szCs w:val="20"/>
              </w:rPr>
              <w:t>Follow-</w:t>
            </w:r>
            <w:r>
              <w:rPr>
                <w:sz w:val="20"/>
                <w:szCs w:val="20"/>
              </w:rPr>
              <w:t>up data collections occurred in</w:t>
            </w:r>
            <w:r w:rsidRPr="00781395">
              <w:rPr>
                <w:sz w:val="20"/>
                <w:szCs w:val="20"/>
              </w:rPr>
              <w:t xml:space="preserve"> 201</w:t>
            </w:r>
            <w:r>
              <w:rPr>
                <w:sz w:val="20"/>
                <w:szCs w:val="20"/>
              </w:rPr>
              <w:t>2</w:t>
            </w:r>
            <w:r w:rsidR="008A278A">
              <w:rPr>
                <w:sz w:val="20"/>
                <w:szCs w:val="20"/>
              </w:rPr>
              <w:t xml:space="preserve"> </w:t>
            </w:r>
            <w:r w:rsidR="001046D3">
              <w:rPr>
                <w:sz w:val="20"/>
                <w:szCs w:val="20"/>
              </w:rPr>
              <w:t>and 2016.</w:t>
            </w:r>
          </w:p>
        </w:tc>
        <w:tc>
          <w:tcPr>
            <w:tcW w:w="3837" w:type="dxa"/>
          </w:tcPr>
          <w:p w14:paraId="4FE53E1A" w14:textId="77777777" w:rsidR="00590C51" w:rsidRPr="00F12147" w:rsidRDefault="00590C51" w:rsidP="004B1105">
            <w:pPr>
              <w:rPr>
                <w:sz w:val="20"/>
                <w:szCs w:val="20"/>
              </w:rPr>
            </w:pPr>
          </w:p>
          <w:p w14:paraId="593F6738" w14:textId="77777777" w:rsidR="00590C51" w:rsidRPr="00F12147" w:rsidRDefault="00590C51" w:rsidP="004B1105">
            <w:pPr>
              <w:rPr>
                <w:sz w:val="20"/>
                <w:szCs w:val="20"/>
              </w:rPr>
            </w:pPr>
          </w:p>
          <w:p w14:paraId="56EB9E0D" w14:textId="77777777" w:rsidR="00590C51" w:rsidRPr="00F12147" w:rsidRDefault="00590C51" w:rsidP="004B1105">
            <w:pPr>
              <w:rPr>
                <w:sz w:val="20"/>
                <w:szCs w:val="20"/>
              </w:rPr>
            </w:pPr>
          </w:p>
          <w:p w14:paraId="38697939" w14:textId="77777777" w:rsidR="00590C51" w:rsidRPr="00F12147" w:rsidRDefault="00590C51" w:rsidP="004B1105">
            <w:pPr>
              <w:rPr>
                <w:sz w:val="20"/>
                <w:szCs w:val="20"/>
              </w:rPr>
            </w:pPr>
          </w:p>
          <w:p w14:paraId="0F5CDC1A" w14:textId="77777777" w:rsidR="00590C51" w:rsidRPr="00F12147" w:rsidRDefault="00590C51" w:rsidP="004B1105">
            <w:pPr>
              <w:rPr>
                <w:sz w:val="20"/>
                <w:szCs w:val="20"/>
              </w:rPr>
            </w:pPr>
          </w:p>
          <w:p w14:paraId="2BD983DA" w14:textId="77777777" w:rsidR="00590C51" w:rsidRPr="00F12147" w:rsidRDefault="00590C51" w:rsidP="004B1105">
            <w:pPr>
              <w:rPr>
                <w:sz w:val="20"/>
                <w:szCs w:val="20"/>
              </w:rPr>
            </w:pPr>
          </w:p>
          <w:p w14:paraId="7B92656C" w14:textId="77777777" w:rsidR="00590C51" w:rsidRPr="00F12147" w:rsidRDefault="00590C51" w:rsidP="004B1105">
            <w:pPr>
              <w:rPr>
                <w:sz w:val="20"/>
                <w:szCs w:val="20"/>
              </w:rPr>
            </w:pPr>
          </w:p>
          <w:p w14:paraId="3F50B924" w14:textId="77777777" w:rsidR="00590C51" w:rsidRPr="00F12147" w:rsidRDefault="00590C51" w:rsidP="004B1105">
            <w:pPr>
              <w:rPr>
                <w:sz w:val="20"/>
                <w:szCs w:val="20"/>
              </w:rPr>
            </w:pPr>
          </w:p>
          <w:p w14:paraId="6B527146" w14:textId="77777777" w:rsidR="00590C51" w:rsidRPr="00F12147" w:rsidRDefault="00590C51" w:rsidP="004B1105">
            <w:pPr>
              <w:rPr>
                <w:sz w:val="20"/>
                <w:szCs w:val="20"/>
              </w:rPr>
            </w:pPr>
          </w:p>
          <w:p w14:paraId="0F8BB166" w14:textId="00B0C0ED" w:rsidR="00B72A45" w:rsidRPr="00C16AA7" w:rsidRDefault="00B72A45" w:rsidP="004B1105">
            <w:pPr>
              <w:rPr>
                <w:sz w:val="20"/>
                <w:szCs w:val="20"/>
              </w:rPr>
            </w:pPr>
            <w:r w:rsidRPr="00F12147">
              <w:rPr>
                <w:sz w:val="20"/>
                <w:szCs w:val="20"/>
              </w:rPr>
              <w:t>FAFSA asset and wealth data available</w:t>
            </w:r>
            <w:r w:rsidR="00F8200C" w:rsidRPr="00F12147">
              <w:rPr>
                <w:sz w:val="20"/>
                <w:szCs w:val="20"/>
              </w:rPr>
              <w:t>.</w:t>
            </w:r>
          </w:p>
        </w:tc>
        <w:tc>
          <w:tcPr>
            <w:tcW w:w="4564" w:type="dxa"/>
          </w:tcPr>
          <w:p w14:paraId="7D21507F" w14:textId="64DC3D66" w:rsidR="00B72A45" w:rsidRPr="00781395" w:rsidRDefault="00630EBB" w:rsidP="004B1105">
            <w:pPr>
              <w:rPr>
                <w:sz w:val="20"/>
                <w:szCs w:val="20"/>
              </w:rPr>
            </w:pPr>
            <w:r>
              <w:rPr>
                <w:sz w:val="20"/>
                <w:szCs w:val="20"/>
              </w:rPr>
              <w:lastRenderedPageBreak/>
              <w:t>Application</w:t>
            </w:r>
            <w:r w:rsidRPr="00781395">
              <w:rPr>
                <w:sz w:val="20"/>
                <w:szCs w:val="20"/>
              </w:rPr>
              <w:t xml:space="preserve"> </w:t>
            </w:r>
            <w:r w:rsidR="00B72A45" w:rsidRPr="00781395">
              <w:rPr>
                <w:sz w:val="20"/>
                <w:szCs w:val="20"/>
              </w:rPr>
              <w:t xml:space="preserve">to college, </w:t>
            </w:r>
            <w:r>
              <w:rPr>
                <w:sz w:val="20"/>
                <w:szCs w:val="20"/>
              </w:rPr>
              <w:t>application</w:t>
            </w:r>
            <w:r w:rsidRPr="00781395">
              <w:rPr>
                <w:sz w:val="20"/>
                <w:szCs w:val="20"/>
              </w:rPr>
              <w:t xml:space="preserve"> </w:t>
            </w:r>
            <w:r w:rsidR="00B72A45" w:rsidRPr="00781395">
              <w:rPr>
                <w:sz w:val="20"/>
                <w:szCs w:val="20"/>
              </w:rPr>
              <w:t xml:space="preserve">for financial aid, enrollment, attendance intensity, completion, </w:t>
            </w:r>
            <w:r w:rsidR="00B72A45" w:rsidRPr="00781395">
              <w:rPr>
                <w:sz w:val="20"/>
                <w:szCs w:val="20"/>
              </w:rPr>
              <w:lastRenderedPageBreak/>
              <w:t>institutional selectivity, time</w:t>
            </w:r>
            <w:r>
              <w:rPr>
                <w:sz w:val="20"/>
                <w:szCs w:val="20"/>
              </w:rPr>
              <w:t xml:space="preserve"> </w:t>
            </w:r>
            <w:r w:rsidR="00B72A45" w:rsidRPr="00781395">
              <w:rPr>
                <w:sz w:val="20"/>
                <w:szCs w:val="20"/>
              </w:rPr>
              <w:t>to</w:t>
            </w:r>
            <w:r>
              <w:rPr>
                <w:sz w:val="20"/>
                <w:szCs w:val="20"/>
              </w:rPr>
              <w:t xml:space="preserve"> </w:t>
            </w:r>
            <w:r w:rsidR="00B72A45" w:rsidRPr="00781395">
              <w:rPr>
                <w:sz w:val="20"/>
                <w:szCs w:val="20"/>
              </w:rPr>
              <w:t>degree, licensure or certification exam outcomes, field of study CIP code, student loan information (types, amount), credential level, financial aid application status, EFC, aid package, work status during enrollment, institutional selectivity.</w:t>
            </w:r>
          </w:p>
          <w:p w14:paraId="0EEDD304" w14:textId="77777777" w:rsidR="00590C51" w:rsidRDefault="00590C51" w:rsidP="004B1105">
            <w:pPr>
              <w:rPr>
                <w:i/>
                <w:iCs/>
                <w:sz w:val="20"/>
                <w:szCs w:val="20"/>
              </w:rPr>
            </w:pPr>
          </w:p>
          <w:p w14:paraId="7719EDFC" w14:textId="2EA096D2" w:rsidR="00B72A45" w:rsidRPr="00C16AA7" w:rsidRDefault="00B72A45" w:rsidP="004B1105">
            <w:pPr>
              <w:rPr>
                <w:sz w:val="20"/>
                <w:szCs w:val="20"/>
              </w:rPr>
            </w:pPr>
            <w:r w:rsidRPr="00F12147">
              <w:rPr>
                <w:sz w:val="20"/>
                <w:szCs w:val="20"/>
              </w:rPr>
              <w:t>IPEDS data linkage available</w:t>
            </w:r>
            <w:r w:rsidR="00F8200C" w:rsidRPr="00F12147">
              <w:rPr>
                <w:sz w:val="20"/>
                <w:szCs w:val="20"/>
              </w:rPr>
              <w:t>.</w:t>
            </w:r>
          </w:p>
        </w:tc>
      </w:tr>
      <w:tr w:rsidR="00B72A45" w:rsidRPr="00781395" w14:paraId="518DA23C" w14:textId="77777777" w:rsidTr="00893F32">
        <w:tc>
          <w:tcPr>
            <w:tcW w:w="1435" w:type="dxa"/>
          </w:tcPr>
          <w:p w14:paraId="7D81FEB5" w14:textId="77777777" w:rsidR="00B72A45" w:rsidRPr="00781395" w:rsidRDefault="00000000" w:rsidP="004B1105">
            <w:pPr>
              <w:rPr>
                <w:sz w:val="20"/>
                <w:szCs w:val="20"/>
              </w:rPr>
            </w:pPr>
            <w:hyperlink r:id="rId19" w:history="1">
              <w:r w:rsidR="00B72A45">
                <w:rPr>
                  <w:rStyle w:val="Hyperlink"/>
                  <w:rFonts w:cstheme="minorHAnsi"/>
                  <w:sz w:val="20"/>
                  <w:szCs w:val="20"/>
                </w:rPr>
                <w:t>National Financial Capability Study (NFCS)</w:t>
              </w:r>
            </w:hyperlink>
          </w:p>
        </w:tc>
        <w:tc>
          <w:tcPr>
            <w:tcW w:w="3420" w:type="dxa"/>
          </w:tcPr>
          <w:p w14:paraId="70F87090" w14:textId="1C54AEB8" w:rsidR="00B72A45" w:rsidRPr="00781395" w:rsidRDefault="00B72A45" w:rsidP="004B1105">
            <w:pPr>
              <w:rPr>
                <w:sz w:val="20"/>
                <w:szCs w:val="20"/>
              </w:rPr>
            </w:pPr>
            <w:r w:rsidRPr="00781395">
              <w:rPr>
                <w:sz w:val="20"/>
                <w:szCs w:val="20"/>
              </w:rPr>
              <w:t>Cross-</w:t>
            </w:r>
            <w:r w:rsidR="00416AA6">
              <w:rPr>
                <w:sz w:val="20"/>
                <w:szCs w:val="20"/>
              </w:rPr>
              <w:t>s</w:t>
            </w:r>
            <w:r w:rsidR="00416AA6" w:rsidRPr="00781395">
              <w:rPr>
                <w:sz w:val="20"/>
                <w:szCs w:val="20"/>
              </w:rPr>
              <w:t>ectional</w:t>
            </w:r>
            <w:r w:rsidRPr="00781395">
              <w:rPr>
                <w:sz w:val="20"/>
                <w:szCs w:val="20"/>
              </w:rPr>
              <w:t>;</w:t>
            </w:r>
            <w:r>
              <w:rPr>
                <w:sz w:val="20"/>
                <w:szCs w:val="20"/>
              </w:rPr>
              <w:t xml:space="preserve"> </w:t>
            </w:r>
            <w:r w:rsidR="000F07E2" w:rsidRPr="00781395">
              <w:rPr>
                <w:sz w:val="20"/>
                <w:szCs w:val="20"/>
              </w:rPr>
              <w:t xml:space="preserve">national, state, </w:t>
            </w:r>
            <w:r w:rsidR="000F07E2">
              <w:rPr>
                <w:sz w:val="20"/>
                <w:szCs w:val="20"/>
              </w:rPr>
              <w:t>and</w:t>
            </w:r>
            <w:r w:rsidR="000F07E2" w:rsidRPr="00781395">
              <w:rPr>
                <w:sz w:val="20"/>
                <w:szCs w:val="20"/>
              </w:rPr>
              <w:t xml:space="preserve"> census divisi</w:t>
            </w:r>
            <w:r w:rsidRPr="00781395">
              <w:rPr>
                <w:sz w:val="20"/>
                <w:szCs w:val="20"/>
              </w:rPr>
              <w:t xml:space="preserve">ons; </w:t>
            </w:r>
            <w:r w:rsidR="00C874AE">
              <w:rPr>
                <w:sz w:val="20"/>
                <w:szCs w:val="20"/>
              </w:rPr>
              <w:t>r</w:t>
            </w:r>
            <w:r w:rsidR="00BE2D35">
              <w:rPr>
                <w:sz w:val="20"/>
                <w:szCs w:val="20"/>
              </w:rPr>
              <w:t>epresentative of U.S. adults, with oversamples of select U.S. states, Asian/Pacific Islanders, Black, Latinx, and adults with less than a high school education.</w:t>
            </w:r>
          </w:p>
          <w:p w14:paraId="060344AB" w14:textId="77777777" w:rsidR="00B72A45" w:rsidRDefault="00B72A45" w:rsidP="004B1105">
            <w:pPr>
              <w:rPr>
                <w:sz w:val="20"/>
                <w:szCs w:val="20"/>
              </w:rPr>
            </w:pPr>
          </w:p>
          <w:p w14:paraId="466E0D71" w14:textId="105086E4" w:rsidR="00B72A45" w:rsidRPr="00781395" w:rsidRDefault="00B72A45" w:rsidP="004B1105">
            <w:pPr>
              <w:rPr>
                <w:sz w:val="20"/>
                <w:szCs w:val="20"/>
              </w:rPr>
            </w:pPr>
            <w:r w:rsidRPr="00781395">
              <w:rPr>
                <w:sz w:val="20"/>
                <w:szCs w:val="20"/>
              </w:rPr>
              <w:t>Triennially since 2009</w:t>
            </w:r>
            <w:r w:rsidR="008A278A">
              <w:rPr>
                <w:sz w:val="20"/>
                <w:szCs w:val="20"/>
              </w:rPr>
              <w:t>.</w:t>
            </w:r>
          </w:p>
        </w:tc>
        <w:tc>
          <w:tcPr>
            <w:tcW w:w="3837" w:type="dxa"/>
          </w:tcPr>
          <w:p w14:paraId="0706802C" w14:textId="0B087F78" w:rsidR="00B72A45" w:rsidRPr="00781395" w:rsidRDefault="00B72A45" w:rsidP="004B1105">
            <w:pPr>
              <w:rPr>
                <w:sz w:val="20"/>
                <w:szCs w:val="20"/>
              </w:rPr>
            </w:pPr>
            <w:r w:rsidRPr="00781395">
              <w:rPr>
                <w:sz w:val="20"/>
                <w:szCs w:val="20"/>
              </w:rPr>
              <w:t xml:space="preserve">Wealth </w:t>
            </w:r>
            <w:r w:rsidR="00140783">
              <w:rPr>
                <w:sz w:val="20"/>
                <w:szCs w:val="20"/>
              </w:rPr>
              <w:t>t</w:t>
            </w:r>
            <w:r w:rsidR="00140783" w:rsidRPr="00781395">
              <w:rPr>
                <w:sz w:val="20"/>
                <w:szCs w:val="20"/>
              </w:rPr>
              <w:t>ransfers</w:t>
            </w:r>
            <w:r>
              <w:rPr>
                <w:sz w:val="20"/>
                <w:szCs w:val="20"/>
              </w:rPr>
              <w:t xml:space="preserve">: </w:t>
            </w:r>
            <w:r w:rsidR="00BB45B2">
              <w:rPr>
                <w:sz w:val="20"/>
                <w:szCs w:val="20"/>
              </w:rPr>
              <w:t>r</w:t>
            </w:r>
            <w:r w:rsidR="00BB45B2" w:rsidRPr="00781395">
              <w:rPr>
                <w:sz w:val="20"/>
                <w:szCs w:val="20"/>
              </w:rPr>
              <w:t>ealized</w:t>
            </w:r>
            <w:r w:rsidRPr="00781395">
              <w:rPr>
                <w:sz w:val="20"/>
                <w:szCs w:val="20"/>
              </w:rPr>
              <w:t xml:space="preserve"> and expected transfers of cash from parents or grandparents </w:t>
            </w:r>
            <w:proofErr w:type="gramStart"/>
            <w:r w:rsidRPr="00781395">
              <w:rPr>
                <w:sz w:val="20"/>
                <w:szCs w:val="20"/>
              </w:rPr>
              <w:t>in excess of</w:t>
            </w:r>
            <w:proofErr w:type="gramEnd"/>
            <w:r w:rsidRPr="00781395">
              <w:rPr>
                <w:sz w:val="20"/>
                <w:szCs w:val="20"/>
              </w:rPr>
              <w:t xml:space="preserve"> $10,000</w:t>
            </w:r>
            <w:r w:rsidR="002F5137">
              <w:rPr>
                <w:sz w:val="20"/>
                <w:szCs w:val="20"/>
              </w:rPr>
              <w:t xml:space="preserve"> (added since 2021).</w:t>
            </w:r>
          </w:p>
          <w:p w14:paraId="1F6FBC7A" w14:textId="77777777" w:rsidR="00B72A45" w:rsidRPr="00781395" w:rsidRDefault="00B72A45" w:rsidP="004B1105">
            <w:pPr>
              <w:rPr>
                <w:sz w:val="20"/>
                <w:szCs w:val="20"/>
              </w:rPr>
            </w:pPr>
          </w:p>
          <w:p w14:paraId="1C9E5968" w14:textId="371CE14B" w:rsidR="00B72A45" w:rsidRPr="00781395" w:rsidRDefault="00B72A45" w:rsidP="004B1105">
            <w:pPr>
              <w:rPr>
                <w:sz w:val="20"/>
                <w:szCs w:val="20"/>
              </w:rPr>
            </w:pPr>
            <w:r w:rsidRPr="00781395">
              <w:rPr>
                <w:sz w:val="20"/>
                <w:szCs w:val="20"/>
              </w:rPr>
              <w:t>Saving for the college education of children</w:t>
            </w:r>
            <w:r w:rsidR="004105A5">
              <w:rPr>
                <w:sz w:val="20"/>
                <w:szCs w:val="20"/>
              </w:rPr>
              <w:t>,</w:t>
            </w:r>
            <w:r w:rsidR="004105A5" w:rsidRPr="00781395">
              <w:rPr>
                <w:sz w:val="20"/>
                <w:szCs w:val="20"/>
              </w:rPr>
              <w:t xml:space="preserve"> </w:t>
            </w:r>
            <w:r w:rsidRPr="00781395">
              <w:rPr>
                <w:sz w:val="20"/>
                <w:szCs w:val="20"/>
              </w:rPr>
              <w:t>indicators for homeownership, home</w:t>
            </w:r>
            <w:r w:rsidR="004105A5">
              <w:rPr>
                <w:sz w:val="20"/>
                <w:szCs w:val="20"/>
              </w:rPr>
              <w:t xml:space="preserve"> </w:t>
            </w:r>
            <w:r w:rsidRPr="00781395">
              <w:rPr>
                <w:sz w:val="20"/>
                <w:szCs w:val="20"/>
              </w:rPr>
              <w:t>equity, stocks, bonds, mutual funds, IRAs, auto</w:t>
            </w:r>
            <w:r w:rsidR="004105A5">
              <w:rPr>
                <w:sz w:val="20"/>
                <w:szCs w:val="20"/>
              </w:rPr>
              <w:t xml:space="preserve"> </w:t>
            </w:r>
            <w:r w:rsidRPr="00781395">
              <w:rPr>
                <w:sz w:val="20"/>
                <w:szCs w:val="20"/>
              </w:rPr>
              <w:t>loans, mortgage, store credit</w:t>
            </w:r>
            <w:r w:rsidR="004105A5">
              <w:rPr>
                <w:sz w:val="20"/>
                <w:szCs w:val="20"/>
              </w:rPr>
              <w:t xml:space="preserve"> </w:t>
            </w:r>
            <w:r w:rsidRPr="00781395">
              <w:rPr>
                <w:sz w:val="20"/>
                <w:szCs w:val="20"/>
              </w:rPr>
              <w:t>cards, gas</w:t>
            </w:r>
            <w:r w:rsidR="004105A5">
              <w:rPr>
                <w:sz w:val="20"/>
                <w:szCs w:val="20"/>
              </w:rPr>
              <w:t xml:space="preserve"> </w:t>
            </w:r>
            <w:r w:rsidRPr="00781395">
              <w:rPr>
                <w:sz w:val="20"/>
                <w:szCs w:val="20"/>
              </w:rPr>
              <w:t>station credit</w:t>
            </w:r>
            <w:r w:rsidR="004105A5">
              <w:rPr>
                <w:sz w:val="20"/>
                <w:szCs w:val="20"/>
              </w:rPr>
              <w:t xml:space="preserve"> </w:t>
            </w:r>
            <w:r w:rsidRPr="00781395">
              <w:rPr>
                <w:sz w:val="20"/>
                <w:szCs w:val="20"/>
              </w:rPr>
              <w:t>cards, credit</w:t>
            </w:r>
            <w:r w:rsidR="004105A5">
              <w:rPr>
                <w:sz w:val="20"/>
                <w:szCs w:val="20"/>
              </w:rPr>
              <w:t xml:space="preserve"> </w:t>
            </w:r>
            <w:r w:rsidRPr="00781395">
              <w:rPr>
                <w:sz w:val="20"/>
                <w:szCs w:val="20"/>
              </w:rPr>
              <w:t>card repayment in prior month, use of payday loans, student loans held (for self, spouse, children, grandchildren, or other</w:t>
            </w:r>
            <w:r w:rsidR="00893F32">
              <w:rPr>
                <w:sz w:val="20"/>
                <w:szCs w:val="20"/>
              </w:rPr>
              <w:t>s</w:t>
            </w:r>
            <w:r w:rsidRPr="00781395">
              <w:rPr>
                <w:sz w:val="20"/>
                <w:szCs w:val="20"/>
              </w:rPr>
              <w:t>).</w:t>
            </w:r>
          </w:p>
        </w:tc>
        <w:tc>
          <w:tcPr>
            <w:tcW w:w="4564" w:type="dxa"/>
          </w:tcPr>
          <w:p w14:paraId="01D8B065" w14:textId="0CF557BA" w:rsidR="00B72A45" w:rsidRPr="00781395" w:rsidRDefault="00B72A45" w:rsidP="004B1105">
            <w:pPr>
              <w:rPr>
                <w:sz w:val="20"/>
                <w:szCs w:val="20"/>
              </w:rPr>
            </w:pPr>
            <w:r w:rsidRPr="00781395">
              <w:rPr>
                <w:sz w:val="20"/>
                <w:szCs w:val="20"/>
              </w:rPr>
              <w:t xml:space="preserve">Enrollment, </w:t>
            </w:r>
            <w:r w:rsidR="007024E4">
              <w:rPr>
                <w:sz w:val="20"/>
                <w:szCs w:val="20"/>
              </w:rPr>
              <w:t xml:space="preserve">attendance </w:t>
            </w:r>
            <w:r w:rsidRPr="00781395">
              <w:rPr>
                <w:sz w:val="20"/>
                <w:szCs w:val="20"/>
              </w:rPr>
              <w:t>intensity</w:t>
            </w:r>
            <w:r w:rsidR="000958BC">
              <w:rPr>
                <w:sz w:val="20"/>
                <w:szCs w:val="20"/>
              </w:rPr>
              <w:t xml:space="preserve"> (primarily student or employee)</w:t>
            </w:r>
            <w:r w:rsidRPr="00781395">
              <w:rPr>
                <w:sz w:val="20"/>
                <w:szCs w:val="20"/>
              </w:rPr>
              <w:t>, degree completion, parental education, student loans held (for self, spouse, children, grandchildren, or other</w:t>
            </w:r>
            <w:r w:rsidR="0036628D">
              <w:rPr>
                <w:sz w:val="20"/>
                <w:szCs w:val="20"/>
              </w:rPr>
              <w:t>s</w:t>
            </w:r>
            <w:r w:rsidRPr="00781395">
              <w:rPr>
                <w:sz w:val="20"/>
                <w:szCs w:val="20"/>
              </w:rPr>
              <w:t>).</w:t>
            </w:r>
          </w:p>
          <w:p w14:paraId="70F3BC59" w14:textId="77777777" w:rsidR="00B72A45" w:rsidRPr="00781395" w:rsidRDefault="00B72A45" w:rsidP="004B1105">
            <w:pPr>
              <w:rPr>
                <w:sz w:val="20"/>
                <w:szCs w:val="20"/>
              </w:rPr>
            </w:pPr>
          </w:p>
        </w:tc>
      </w:tr>
      <w:tr w:rsidR="00B72A45" w:rsidRPr="00781395" w14:paraId="108D4936" w14:textId="77777777" w:rsidTr="005E5663">
        <w:tc>
          <w:tcPr>
            <w:tcW w:w="1435" w:type="dxa"/>
          </w:tcPr>
          <w:p w14:paraId="4195CAF6" w14:textId="2A967485" w:rsidR="00B72A45" w:rsidRPr="00781395" w:rsidRDefault="00000000" w:rsidP="004B1105">
            <w:pPr>
              <w:rPr>
                <w:sz w:val="20"/>
                <w:szCs w:val="20"/>
              </w:rPr>
            </w:pPr>
            <w:hyperlink r:id="rId20" w:history="1">
              <w:r w:rsidR="00B72A45">
                <w:rPr>
                  <w:rStyle w:val="Hyperlink"/>
                  <w:rFonts w:cstheme="minorHAnsi"/>
                  <w:sz w:val="20"/>
                  <w:szCs w:val="20"/>
                </w:rPr>
                <w:t>National Longitudinal S</w:t>
              </w:r>
              <w:r w:rsidR="00AA2BB8">
                <w:rPr>
                  <w:rStyle w:val="Hyperlink"/>
                  <w:rFonts w:cstheme="minorHAnsi"/>
                  <w:sz w:val="20"/>
                  <w:szCs w:val="20"/>
                </w:rPr>
                <w:t>urvey</w:t>
              </w:r>
              <w:r w:rsidR="00B72A45">
                <w:rPr>
                  <w:rStyle w:val="Hyperlink"/>
                  <w:rFonts w:cstheme="minorHAnsi"/>
                  <w:sz w:val="20"/>
                  <w:szCs w:val="20"/>
                </w:rPr>
                <w:t xml:space="preserve"> of Youth: 1997 (NLSY97)</w:t>
              </w:r>
            </w:hyperlink>
          </w:p>
        </w:tc>
        <w:tc>
          <w:tcPr>
            <w:tcW w:w="3420" w:type="dxa"/>
          </w:tcPr>
          <w:p w14:paraId="29172BE6" w14:textId="451F7F5F" w:rsidR="00B72A45" w:rsidRDefault="00BE2D35" w:rsidP="004B1105">
            <w:pPr>
              <w:rPr>
                <w:sz w:val="20"/>
                <w:szCs w:val="20"/>
              </w:rPr>
            </w:pPr>
            <w:r w:rsidRPr="00781395">
              <w:rPr>
                <w:sz w:val="20"/>
                <w:szCs w:val="20"/>
              </w:rPr>
              <w:t>Panel;</w:t>
            </w:r>
            <w:r>
              <w:rPr>
                <w:sz w:val="20"/>
                <w:szCs w:val="20"/>
              </w:rPr>
              <w:t xml:space="preserve"> </w:t>
            </w:r>
            <w:r w:rsidR="00BB45B2">
              <w:rPr>
                <w:sz w:val="20"/>
                <w:szCs w:val="20"/>
              </w:rPr>
              <w:t>n</w:t>
            </w:r>
            <w:r w:rsidR="00BB45B2" w:rsidRPr="00781395">
              <w:rPr>
                <w:sz w:val="20"/>
                <w:szCs w:val="20"/>
              </w:rPr>
              <w:t>ational</w:t>
            </w:r>
            <w:r w:rsidR="00BB45B2">
              <w:rPr>
                <w:sz w:val="20"/>
                <w:szCs w:val="20"/>
              </w:rPr>
              <w:t xml:space="preserve">ly </w:t>
            </w:r>
            <w:r>
              <w:rPr>
                <w:sz w:val="20"/>
                <w:szCs w:val="20"/>
              </w:rPr>
              <w:t>representative of i</w:t>
            </w:r>
            <w:r w:rsidRPr="00781395">
              <w:rPr>
                <w:sz w:val="20"/>
                <w:szCs w:val="20"/>
              </w:rPr>
              <w:t>ndividual</w:t>
            </w:r>
            <w:r>
              <w:rPr>
                <w:sz w:val="20"/>
                <w:szCs w:val="20"/>
              </w:rPr>
              <w:t>s born between 1980–1984</w:t>
            </w:r>
            <w:r w:rsidR="00633849">
              <w:rPr>
                <w:sz w:val="20"/>
                <w:szCs w:val="20"/>
              </w:rPr>
              <w:t>, with oversamples of Black and Latinx respondents.</w:t>
            </w:r>
          </w:p>
          <w:p w14:paraId="78FBF051" w14:textId="77777777" w:rsidR="00B72A45" w:rsidRPr="00781395" w:rsidRDefault="00B72A45" w:rsidP="004B1105">
            <w:pPr>
              <w:rPr>
                <w:sz w:val="20"/>
                <w:szCs w:val="20"/>
              </w:rPr>
            </w:pPr>
          </w:p>
          <w:p w14:paraId="743F447D" w14:textId="52971BF3" w:rsidR="00B72A45" w:rsidRPr="00781395" w:rsidRDefault="00B72A45" w:rsidP="004B1105">
            <w:pPr>
              <w:rPr>
                <w:sz w:val="20"/>
                <w:szCs w:val="20"/>
              </w:rPr>
            </w:pPr>
            <w:r w:rsidRPr="00781395">
              <w:rPr>
                <w:sz w:val="20"/>
                <w:szCs w:val="20"/>
              </w:rPr>
              <w:t>Annually from 1997</w:t>
            </w:r>
            <w:r w:rsidR="008A278A">
              <w:rPr>
                <w:sz w:val="20"/>
                <w:szCs w:val="20"/>
              </w:rPr>
              <w:t>–</w:t>
            </w:r>
            <w:r w:rsidRPr="00781395">
              <w:rPr>
                <w:sz w:val="20"/>
                <w:szCs w:val="20"/>
              </w:rPr>
              <w:t>2011, biennially since 2013</w:t>
            </w:r>
            <w:r w:rsidR="008A278A">
              <w:rPr>
                <w:sz w:val="20"/>
                <w:szCs w:val="20"/>
              </w:rPr>
              <w:t>.</w:t>
            </w:r>
          </w:p>
        </w:tc>
        <w:tc>
          <w:tcPr>
            <w:tcW w:w="3837" w:type="dxa"/>
          </w:tcPr>
          <w:p w14:paraId="6284A68C" w14:textId="17F48FDD" w:rsidR="00B72A45" w:rsidRPr="00781395" w:rsidRDefault="00B72A45" w:rsidP="004B1105">
            <w:pPr>
              <w:rPr>
                <w:sz w:val="20"/>
                <w:szCs w:val="20"/>
              </w:rPr>
            </w:pPr>
            <w:r w:rsidRPr="00781395">
              <w:rPr>
                <w:sz w:val="20"/>
                <w:szCs w:val="20"/>
              </w:rPr>
              <w:t>Homeownership; net worth of parents in 1997; net worth of parents’ household according to youth respondent in 1997, 1998, 1999, 2000, 2001, 2002, and 2003; and net worth of youth respondent at age 20, 25, 30, 35, and 40.</w:t>
            </w:r>
          </w:p>
        </w:tc>
        <w:tc>
          <w:tcPr>
            <w:tcW w:w="4564" w:type="dxa"/>
          </w:tcPr>
          <w:p w14:paraId="15F625B3" w14:textId="78F31FD6" w:rsidR="00B72A45" w:rsidRPr="00781395" w:rsidRDefault="00742901" w:rsidP="004B1105">
            <w:pPr>
              <w:rPr>
                <w:sz w:val="20"/>
                <w:szCs w:val="20"/>
              </w:rPr>
            </w:pPr>
            <w:r>
              <w:rPr>
                <w:sz w:val="20"/>
                <w:szCs w:val="20"/>
              </w:rPr>
              <w:t>E</w:t>
            </w:r>
            <w:r w:rsidR="00B72A45" w:rsidRPr="00781395">
              <w:rPr>
                <w:sz w:val="20"/>
                <w:szCs w:val="20"/>
              </w:rPr>
              <w:t>nrollment, attendance intensity, completion, institutional selectivity, time</w:t>
            </w:r>
            <w:r w:rsidR="00394EB7">
              <w:rPr>
                <w:sz w:val="20"/>
                <w:szCs w:val="20"/>
              </w:rPr>
              <w:t xml:space="preserve"> </w:t>
            </w:r>
            <w:r w:rsidR="00B72A45" w:rsidRPr="00781395">
              <w:rPr>
                <w:sz w:val="20"/>
                <w:szCs w:val="20"/>
              </w:rPr>
              <w:t>to</w:t>
            </w:r>
            <w:r w:rsidR="00394EB7">
              <w:rPr>
                <w:sz w:val="20"/>
                <w:szCs w:val="20"/>
              </w:rPr>
              <w:t xml:space="preserve"> </w:t>
            </w:r>
            <w:r w:rsidR="00B72A45" w:rsidRPr="00781395">
              <w:rPr>
                <w:sz w:val="20"/>
                <w:szCs w:val="20"/>
              </w:rPr>
              <w:t>degree.</w:t>
            </w:r>
          </w:p>
          <w:p w14:paraId="1F10F987" w14:textId="77777777" w:rsidR="00B72A45" w:rsidRPr="00781395" w:rsidRDefault="00B72A45" w:rsidP="004B1105">
            <w:pPr>
              <w:rPr>
                <w:sz w:val="20"/>
                <w:szCs w:val="20"/>
              </w:rPr>
            </w:pPr>
          </w:p>
          <w:p w14:paraId="61C34204" w14:textId="77777777" w:rsidR="008959AB" w:rsidRDefault="008959AB" w:rsidP="004B1105">
            <w:pPr>
              <w:rPr>
                <w:i/>
                <w:iCs/>
                <w:sz w:val="20"/>
                <w:szCs w:val="20"/>
              </w:rPr>
            </w:pPr>
          </w:p>
          <w:p w14:paraId="16F8BDB4" w14:textId="77777777" w:rsidR="008959AB" w:rsidRDefault="008959AB" w:rsidP="004B1105">
            <w:pPr>
              <w:rPr>
                <w:i/>
                <w:iCs/>
                <w:sz w:val="20"/>
                <w:szCs w:val="20"/>
              </w:rPr>
            </w:pPr>
          </w:p>
          <w:p w14:paraId="0ED7B616" w14:textId="77777777" w:rsidR="008959AB" w:rsidRDefault="008959AB" w:rsidP="004B1105">
            <w:pPr>
              <w:rPr>
                <w:i/>
                <w:iCs/>
                <w:sz w:val="20"/>
                <w:szCs w:val="20"/>
              </w:rPr>
            </w:pPr>
          </w:p>
          <w:p w14:paraId="69417E0B" w14:textId="379B0855" w:rsidR="00B72A45" w:rsidRPr="00C16AA7" w:rsidRDefault="00B72A45" w:rsidP="004B1105">
            <w:pPr>
              <w:rPr>
                <w:sz w:val="20"/>
                <w:szCs w:val="20"/>
              </w:rPr>
            </w:pPr>
            <w:r w:rsidRPr="00F12147">
              <w:rPr>
                <w:sz w:val="20"/>
                <w:szCs w:val="20"/>
              </w:rPr>
              <w:t>IPEDS data linkage available</w:t>
            </w:r>
            <w:r w:rsidR="00F8200C" w:rsidRPr="00F12147">
              <w:rPr>
                <w:sz w:val="20"/>
                <w:szCs w:val="20"/>
              </w:rPr>
              <w:t>.</w:t>
            </w:r>
          </w:p>
        </w:tc>
      </w:tr>
      <w:tr w:rsidR="00B72A45" w:rsidRPr="00781395" w14:paraId="14F5B6E4" w14:textId="77777777" w:rsidTr="00F12147">
        <w:tc>
          <w:tcPr>
            <w:tcW w:w="1435" w:type="dxa"/>
          </w:tcPr>
          <w:p w14:paraId="173E4E99" w14:textId="77777777" w:rsidR="00B72A45" w:rsidRPr="00781395" w:rsidRDefault="00000000" w:rsidP="004B1105">
            <w:pPr>
              <w:rPr>
                <w:sz w:val="20"/>
                <w:szCs w:val="20"/>
              </w:rPr>
            </w:pPr>
            <w:hyperlink r:id="rId21" w:history="1">
              <w:r w:rsidR="00B72A45">
                <w:rPr>
                  <w:rStyle w:val="Hyperlink"/>
                  <w:rFonts w:cstheme="minorHAnsi"/>
                  <w:sz w:val="20"/>
                  <w:szCs w:val="20"/>
                </w:rPr>
                <w:t>National Postsecondary Student Aid Study (NPSAS)</w:t>
              </w:r>
            </w:hyperlink>
          </w:p>
        </w:tc>
        <w:tc>
          <w:tcPr>
            <w:tcW w:w="3420" w:type="dxa"/>
          </w:tcPr>
          <w:p w14:paraId="334AE1E8" w14:textId="2A104E50" w:rsidR="00B72A45" w:rsidRDefault="00B72A45" w:rsidP="004B1105">
            <w:pPr>
              <w:rPr>
                <w:sz w:val="20"/>
                <w:szCs w:val="20"/>
              </w:rPr>
            </w:pPr>
            <w:r w:rsidRPr="00781395">
              <w:rPr>
                <w:sz w:val="20"/>
                <w:szCs w:val="20"/>
              </w:rPr>
              <w:t>Cross-</w:t>
            </w:r>
            <w:r w:rsidR="00416AA6">
              <w:rPr>
                <w:sz w:val="20"/>
                <w:szCs w:val="20"/>
              </w:rPr>
              <w:t>s</w:t>
            </w:r>
            <w:r w:rsidR="00416AA6" w:rsidRPr="00781395">
              <w:rPr>
                <w:sz w:val="20"/>
                <w:szCs w:val="20"/>
              </w:rPr>
              <w:t>ectional</w:t>
            </w:r>
            <w:r w:rsidRPr="00781395">
              <w:rPr>
                <w:sz w:val="20"/>
                <w:szCs w:val="20"/>
              </w:rPr>
              <w:t>;</w:t>
            </w:r>
            <w:r w:rsidR="00326194">
              <w:rPr>
                <w:sz w:val="20"/>
                <w:szCs w:val="20"/>
              </w:rPr>
              <w:t xml:space="preserve"> </w:t>
            </w:r>
            <w:r w:rsidR="00BB45B2">
              <w:rPr>
                <w:sz w:val="20"/>
                <w:szCs w:val="20"/>
              </w:rPr>
              <w:t>n</w:t>
            </w:r>
            <w:r w:rsidR="00BB45B2" w:rsidRPr="00781395">
              <w:rPr>
                <w:sz w:val="20"/>
                <w:szCs w:val="20"/>
              </w:rPr>
              <w:t>ational</w:t>
            </w:r>
            <w:r w:rsidR="00BB45B2">
              <w:rPr>
                <w:sz w:val="20"/>
                <w:szCs w:val="20"/>
              </w:rPr>
              <w:t xml:space="preserve">ly </w:t>
            </w:r>
            <w:r w:rsidR="00BE2D35">
              <w:rPr>
                <w:sz w:val="20"/>
                <w:szCs w:val="20"/>
              </w:rPr>
              <w:t>representative sample of students attending Title IV institutions.</w:t>
            </w:r>
          </w:p>
          <w:p w14:paraId="5AC94803" w14:textId="77777777" w:rsidR="00B72A45" w:rsidRPr="00781395" w:rsidRDefault="00B72A45" w:rsidP="004B1105">
            <w:pPr>
              <w:rPr>
                <w:sz w:val="20"/>
                <w:szCs w:val="20"/>
              </w:rPr>
            </w:pPr>
          </w:p>
          <w:p w14:paraId="76DC86E9" w14:textId="49F81FB4" w:rsidR="00B72A45" w:rsidRPr="00781395" w:rsidRDefault="00B72A45" w:rsidP="004B1105">
            <w:pPr>
              <w:rPr>
                <w:sz w:val="20"/>
                <w:szCs w:val="20"/>
              </w:rPr>
            </w:pPr>
            <w:r w:rsidRPr="00781395">
              <w:rPr>
                <w:sz w:val="20"/>
                <w:szCs w:val="20"/>
              </w:rPr>
              <w:t xml:space="preserve">1987, 1990, 1993, 1996, 2000, 2004, 2008, 2012, 2016, </w:t>
            </w:r>
            <w:r w:rsidR="00326194">
              <w:rPr>
                <w:sz w:val="20"/>
                <w:szCs w:val="20"/>
              </w:rPr>
              <w:t xml:space="preserve">and </w:t>
            </w:r>
            <w:r w:rsidRPr="00781395">
              <w:rPr>
                <w:sz w:val="20"/>
                <w:szCs w:val="20"/>
              </w:rPr>
              <w:t>2020</w:t>
            </w:r>
            <w:r w:rsidR="00326194">
              <w:rPr>
                <w:sz w:val="20"/>
                <w:szCs w:val="20"/>
              </w:rPr>
              <w:t>.</w:t>
            </w:r>
          </w:p>
        </w:tc>
        <w:tc>
          <w:tcPr>
            <w:tcW w:w="3837" w:type="dxa"/>
          </w:tcPr>
          <w:p w14:paraId="0AC910D0" w14:textId="77777777" w:rsidR="00CD3972" w:rsidRDefault="00CD3972" w:rsidP="004B1105">
            <w:pPr>
              <w:rPr>
                <w:i/>
                <w:iCs/>
                <w:sz w:val="20"/>
                <w:szCs w:val="20"/>
              </w:rPr>
            </w:pPr>
          </w:p>
          <w:p w14:paraId="365FEB72" w14:textId="77777777" w:rsidR="00CD3972" w:rsidRDefault="00CD3972" w:rsidP="004B1105">
            <w:pPr>
              <w:rPr>
                <w:i/>
                <w:iCs/>
                <w:sz w:val="20"/>
                <w:szCs w:val="20"/>
              </w:rPr>
            </w:pPr>
          </w:p>
          <w:p w14:paraId="390615EA" w14:textId="77777777" w:rsidR="00CD3972" w:rsidRDefault="00CD3972" w:rsidP="004B1105">
            <w:pPr>
              <w:rPr>
                <w:i/>
                <w:iCs/>
                <w:sz w:val="20"/>
                <w:szCs w:val="20"/>
              </w:rPr>
            </w:pPr>
          </w:p>
          <w:p w14:paraId="0306BEA2" w14:textId="77777777" w:rsidR="00CD3972" w:rsidRDefault="00CD3972" w:rsidP="004B1105">
            <w:pPr>
              <w:rPr>
                <w:i/>
                <w:iCs/>
                <w:sz w:val="20"/>
                <w:szCs w:val="20"/>
              </w:rPr>
            </w:pPr>
          </w:p>
          <w:p w14:paraId="120FDE5D" w14:textId="77777777" w:rsidR="00CD3972" w:rsidRDefault="00CD3972" w:rsidP="004B1105">
            <w:pPr>
              <w:rPr>
                <w:i/>
                <w:iCs/>
                <w:sz w:val="20"/>
                <w:szCs w:val="20"/>
              </w:rPr>
            </w:pPr>
          </w:p>
          <w:p w14:paraId="71C124F2" w14:textId="77777777" w:rsidR="00CD3972" w:rsidRDefault="00CD3972" w:rsidP="004B1105">
            <w:pPr>
              <w:rPr>
                <w:i/>
                <w:iCs/>
                <w:sz w:val="20"/>
                <w:szCs w:val="20"/>
              </w:rPr>
            </w:pPr>
          </w:p>
          <w:p w14:paraId="0E6DFE10" w14:textId="77777777" w:rsidR="00CD3972" w:rsidRDefault="00CD3972" w:rsidP="004B1105">
            <w:pPr>
              <w:rPr>
                <w:i/>
                <w:iCs/>
                <w:sz w:val="20"/>
                <w:szCs w:val="20"/>
              </w:rPr>
            </w:pPr>
          </w:p>
          <w:p w14:paraId="42D71FF4" w14:textId="77777777" w:rsidR="00CD3972" w:rsidRPr="00F12147" w:rsidRDefault="00CD3972" w:rsidP="004B1105">
            <w:pPr>
              <w:rPr>
                <w:sz w:val="20"/>
                <w:szCs w:val="20"/>
              </w:rPr>
            </w:pPr>
          </w:p>
          <w:p w14:paraId="05308119" w14:textId="16BEC91F" w:rsidR="00B72A45" w:rsidRPr="00781395" w:rsidRDefault="00B72A45" w:rsidP="004B1105">
            <w:pPr>
              <w:rPr>
                <w:sz w:val="20"/>
                <w:szCs w:val="20"/>
              </w:rPr>
            </w:pPr>
            <w:r w:rsidRPr="00781395">
              <w:rPr>
                <w:i/>
                <w:iCs/>
                <w:sz w:val="20"/>
                <w:szCs w:val="20"/>
              </w:rPr>
              <w:lastRenderedPageBreak/>
              <w:t>FAFSA asset and wealth data available</w:t>
            </w:r>
          </w:p>
        </w:tc>
        <w:tc>
          <w:tcPr>
            <w:tcW w:w="4564" w:type="dxa"/>
          </w:tcPr>
          <w:p w14:paraId="30D55780" w14:textId="5AE2768F" w:rsidR="00B72A45" w:rsidRPr="00781395" w:rsidRDefault="00B72A45" w:rsidP="004B1105">
            <w:pPr>
              <w:rPr>
                <w:sz w:val="20"/>
                <w:szCs w:val="20"/>
              </w:rPr>
            </w:pPr>
            <w:r w:rsidRPr="00781395">
              <w:rPr>
                <w:sz w:val="20"/>
                <w:szCs w:val="20"/>
              </w:rPr>
              <w:lastRenderedPageBreak/>
              <w:t>Enrollment, attendance intensity, completion, institutional selectivity, time</w:t>
            </w:r>
            <w:r w:rsidR="00240FBE">
              <w:rPr>
                <w:sz w:val="20"/>
                <w:szCs w:val="20"/>
              </w:rPr>
              <w:t xml:space="preserve"> </w:t>
            </w:r>
            <w:r w:rsidRPr="00781395">
              <w:rPr>
                <w:sz w:val="20"/>
                <w:szCs w:val="20"/>
              </w:rPr>
              <w:t>to</w:t>
            </w:r>
            <w:r w:rsidR="00240FBE">
              <w:rPr>
                <w:sz w:val="20"/>
                <w:szCs w:val="20"/>
              </w:rPr>
              <w:t xml:space="preserve"> </w:t>
            </w:r>
            <w:r w:rsidRPr="00781395">
              <w:rPr>
                <w:sz w:val="20"/>
                <w:szCs w:val="20"/>
              </w:rPr>
              <w:t xml:space="preserve">degree, licensure or certification exam outcomes, field of study CIP code, student loan information (types, amount), credential level, financial aid application status, EFC, aid package, work status during enrollment, institutional selectivity, housing status, receipt of federal benefits. </w:t>
            </w:r>
          </w:p>
          <w:p w14:paraId="038AA4EB" w14:textId="77777777" w:rsidR="00B72A45" w:rsidRPr="00781395" w:rsidRDefault="00B72A45" w:rsidP="004B1105">
            <w:pPr>
              <w:rPr>
                <w:sz w:val="20"/>
                <w:szCs w:val="20"/>
              </w:rPr>
            </w:pPr>
          </w:p>
          <w:p w14:paraId="78E56F8F" w14:textId="77777777" w:rsidR="00B72A45" w:rsidRPr="00781395" w:rsidRDefault="00B72A45" w:rsidP="004B1105">
            <w:pPr>
              <w:rPr>
                <w:sz w:val="20"/>
                <w:szCs w:val="20"/>
              </w:rPr>
            </w:pPr>
            <w:r w:rsidRPr="00781395">
              <w:rPr>
                <w:i/>
                <w:iCs/>
                <w:sz w:val="20"/>
                <w:szCs w:val="20"/>
              </w:rPr>
              <w:lastRenderedPageBreak/>
              <w:t>IPEDS data linkage available</w:t>
            </w:r>
          </w:p>
        </w:tc>
      </w:tr>
      <w:tr w:rsidR="00B72A45" w:rsidRPr="00781395" w14:paraId="75B54E9C" w14:textId="77777777" w:rsidTr="00F12147">
        <w:tc>
          <w:tcPr>
            <w:tcW w:w="1435" w:type="dxa"/>
          </w:tcPr>
          <w:p w14:paraId="3175F88F" w14:textId="77777777" w:rsidR="00B72A45" w:rsidRPr="00781395" w:rsidRDefault="00000000" w:rsidP="004B1105">
            <w:pPr>
              <w:rPr>
                <w:sz w:val="20"/>
                <w:szCs w:val="20"/>
              </w:rPr>
            </w:pPr>
            <w:hyperlink r:id="rId22" w:history="1">
              <w:r w:rsidR="00B72A45">
                <w:rPr>
                  <w:rStyle w:val="Hyperlink"/>
                  <w:rFonts w:cstheme="minorHAnsi"/>
                  <w:sz w:val="20"/>
                  <w:szCs w:val="20"/>
                </w:rPr>
                <w:t>Panel Study of Income Dynamics Main Study (PSID)</w:t>
              </w:r>
            </w:hyperlink>
          </w:p>
        </w:tc>
        <w:tc>
          <w:tcPr>
            <w:tcW w:w="3420" w:type="dxa"/>
          </w:tcPr>
          <w:p w14:paraId="012E8D96" w14:textId="1A5C1698" w:rsidR="00B72A45" w:rsidRPr="00781395" w:rsidRDefault="00BE2D35" w:rsidP="004B1105">
            <w:pPr>
              <w:rPr>
                <w:sz w:val="20"/>
                <w:szCs w:val="20"/>
              </w:rPr>
            </w:pPr>
            <w:proofErr w:type="gramStart"/>
            <w:r w:rsidRPr="00781395">
              <w:rPr>
                <w:sz w:val="20"/>
                <w:szCs w:val="20"/>
              </w:rPr>
              <w:t>Panel;</w:t>
            </w:r>
            <w:proofErr w:type="gramEnd"/>
            <w:r>
              <w:rPr>
                <w:sz w:val="20"/>
                <w:szCs w:val="20"/>
              </w:rPr>
              <w:t xml:space="preserve"> </w:t>
            </w:r>
            <w:r w:rsidR="00BB45B2">
              <w:rPr>
                <w:sz w:val="20"/>
                <w:szCs w:val="20"/>
              </w:rPr>
              <w:t>n</w:t>
            </w:r>
            <w:r w:rsidR="00BB45B2" w:rsidRPr="00781395">
              <w:rPr>
                <w:sz w:val="20"/>
                <w:szCs w:val="20"/>
              </w:rPr>
              <w:t>ationa</w:t>
            </w:r>
            <w:r w:rsidR="00BB45B2">
              <w:rPr>
                <w:sz w:val="20"/>
                <w:szCs w:val="20"/>
              </w:rPr>
              <w:t xml:space="preserve">lly </w:t>
            </w:r>
            <w:r>
              <w:rPr>
                <w:sz w:val="20"/>
                <w:szCs w:val="20"/>
              </w:rPr>
              <w:t>representative of U.S. households with oversamples of families from low-income backgrounds and immigrant families added in 1997 and 2007.</w:t>
            </w:r>
          </w:p>
          <w:p w14:paraId="40C04A0A" w14:textId="77777777" w:rsidR="00BE2D35" w:rsidRPr="00781395" w:rsidRDefault="00BE2D35" w:rsidP="004B1105">
            <w:pPr>
              <w:rPr>
                <w:sz w:val="20"/>
                <w:szCs w:val="20"/>
              </w:rPr>
            </w:pPr>
          </w:p>
          <w:p w14:paraId="71FA6EFC" w14:textId="38E8BF73" w:rsidR="00B72A45" w:rsidRPr="00781395" w:rsidRDefault="00B72A45" w:rsidP="004B1105">
            <w:pPr>
              <w:rPr>
                <w:sz w:val="20"/>
                <w:szCs w:val="20"/>
              </w:rPr>
            </w:pPr>
            <w:r w:rsidRPr="00781395">
              <w:rPr>
                <w:sz w:val="20"/>
                <w:szCs w:val="20"/>
              </w:rPr>
              <w:t xml:space="preserve">Annually from 1968–1997; </w:t>
            </w:r>
            <w:r w:rsidR="00A13832">
              <w:rPr>
                <w:sz w:val="20"/>
                <w:szCs w:val="20"/>
              </w:rPr>
              <w:t>b</w:t>
            </w:r>
            <w:r w:rsidR="00A13832" w:rsidRPr="00781395">
              <w:rPr>
                <w:sz w:val="20"/>
                <w:szCs w:val="20"/>
              </w:rPr>
              <w:t xml:space="preserve">iennially </w:t>
            </w:r>
            <w:r w:rsidRPr="00781395">
              <w:rPr>
                <w:sz w:val="20"/>
                <w:szCs w:val="20"/>
              </w:rPr>
              <w:t>since 1999</w:t>
            </w:r>
            <w:r w:rsidR="000F4EFA">
              <w:rPr>
                <w:sz w:val="20"/>
                <w:szCs w:val="20"/>
              </w:rPr>
              <w:t>.</w:t>
            </w:r>
          </w:p>
        </w:tc>
        <w:tc>
          <w:tcPr>
            <w:tcW w:w="3837" w:type="dxa"/>
          </w:tcPr>
          <w:p w14:paraId="2F809BEE" w14:textId="49814C09" w:rsidR="00B72A45" w:rsidRPr="00781395" w:rsidRDefault="00B72A45" w:rsidP="004B1105">
            <w:pPr>
              <w:rPr>
                <w:sz w:val="20"/>
                <w:szCs w:val="20"/>
              </w:rPr>
            </w:pPr>
            <w:r w:rsidRPr="00781395">
              <w:rPr>
                <w:sz w:val="20"/>
                <w:szCs w:val="20"/>
              </w:rPr>
              <w:t xml:space="preserve">Homeownership, household assets, household debts </w:t>
            </w:r>
            <w:r w:rsidR="006D2C61">
              <w:rPr>
                <w:sz w:val="20"/>
                <w:szCs w:val="20"/>
              </w:rPr>
              <w:t>and</w:t>
            </w:r>
            <w:r w:rsidR="006D2C61" w:rsidRPr="00781395">
              <w:rPr>
                <w:sz w:val="20"/>
                <w:szCs w:val="20"/>
              </w:rPr>
              <w:t xml:space="preserve"> </w:t>
            </w:r>
            <w:r w:rsidRPr="00781395">
              <w:rPr>
                <w:sz w:val="20"/>
                <w:szCs w:val="20"/>
              </w:rPr>
              <w:t>liabilities; and two derived total net worth members (excluding and including home equity).</w:t>
            </w:r>
          </w:p>
          <w:p w14:paraId="73EACB5B" w14:textId="77777777" w:rsidR="00B72A45" w:rsidRPr="00781395" w:rsidRDefault="00B72A45" w:rsidP="004B1105">
            <w:pPr>
              <w:rPr>
                <w:sz w:val="20"/>
                <w:szCs w:val="20"/>
              </w:rPr>
            </w:pPr>
          </w:p>
          <w:p w14:paraId="1188505B" w14:textId="77777777" w:rsidR="00B72A45" w:rsidRPr="00781395" w:rsidRDefault="00B72A45" w:rsidP="004B1105">
            <w:pPr>
              <w:rPr>
                <w:sz w:val="20"/>
                <w:szCs w:val="20"/>
              </w:rPr>
            </w:pPr>
            <w:r w:rsidRPr="00781395">
              <w:rPr>
                <w:sz w:val="20"/>
                <w:szCs w:val="20"/>
              </w:rPr>
              <w:t>Wealth measures available in 1984, 1989, 1994, and in every release since 1999.</w:t>
            </w:r>
          </w:p>
        </w:tc>
        <w:tc>
          <w:tcPr>
            <w:tcW w:w="4564" w:type="dxa"/>
          </w:tcPr>
          <w:p w14:paraId="357F74EC" w14:textId="37DA951B" w:rsidR="00B72A45" w:rsidRPr="00781395" w:rsidRDefault="00B72A45" w:rsidP="004B1105">
            <w:pPr>
              <w:rPr>
                <w:sz w:val="20"/>
                <w:szCs w:val="20"/>
              </w:rPr>
            </w:pPr>
            <w:r w:rsidRPr="00781395">
              <w:rPr>
                <w:sz w:val="20"/>
                <w:szCs w:val="20"/>
              </w:rPr>
              <w:t>Years completed in school</w:t>
            </w:r>
            <w:r w:rsidR="00AE34E0">
              <w:rPr>
                <w:sz w:val="20"/>
                <w:szCs w:val="20"/>
              </w:rPr>
              <w:t xml:space="preserve">, </w:t>
            </w:r>
            <w:r w:rsidR="00B16D06">
              <w:rPr>
                <w:sz w:val="20"/>
                <w:szCs w:val="20"/>
              </w:rPr>
              <w:t>college attendance</w:t>
            </w:r>
            <w:r w:rsidR="00405B0F">
              <w:rPr>
                <w:sz w:val="20"/>
                <w:szCs w:val="20"/>
              </w:rPr>
              <w:t xml:space="preserve">, </w:t>
            </w:r>
            <w:r w:rsidR="00AE34E0">
              <w:rPr>
                <w:sz w:val="20"/>
                <w:szCs w:val="20"/>
              </w:rPr>
              <w:t>highest degree attained</w:t>
            </w:r>
            <w:r w:rsidR="00B41742">
              <w:rPr>
                <w:sz w:val="20"/>
                <w:szCs w:val="20"/>
              </w:rPr>
              <w:t>, type of credential</w:t>
            </w:r>
            <w:r w:rsidR="00FA47A0">
              <w:rPr>
                <w:sz w:val="20"/>
                <w:szCs w:val="20"/>
              </w:rPr>
              <w:t xml:space="preserve"> earned (e.g., certificate, degree, etc.), degree field/area of study</w:t>
            </w:r>
            <w:r w:rsidR="00B72719">
              <w:rPr>
                <w:sz w:val="20"/>
                <w:szCs w:val="20"/>
              </w:rPr>
              <w:t>.</w:t>
            </w:r>
          </w:p>
        </w:tc>
      </w:tr>
      <w:tr w:rsidR="00B72A45" w:rsidRPr="00781395" w14:paraId="44C3A980" w14:textId="77777777" w:rsidTr="00E37B40">
        <w:tc>
          <w:tcPr>
            <w:tcW w:w="1435" w:type="dxa"/>
          </w:tcPr>
          <w:p w14:paraId="47959E73" w14:textId="43896D76" w:rsidR="00B72A45" w:rsidRPr="00781395" w:rsidRDefault="00000000" w:rsidP="004B1105">
            <w:pPr>
              <w:rPr>
                <w:sz w:val="20"/>
                <w:szCs w:val="20"/>
              </w:rPr>
            </w:pPr>
            <w:hyperlink r:id="rId23" w:history="1">
              <w:r w:rsidR="00B72A45">
                <w:rPr>
                  <w:rStyle w:val="Hyperlink"/>
                  <w:rFonts w:cstheme="minorHAnsi"/>
                  <w:sz w:val="20"/>
                  <w:szCs w:val="20"/>
                </w:rPr>
                <w:t>Panel Study of Income Dynamics</w:t>
              </w:r>
              <w:r w:rsidR="00EC0C5E">
                <w:rPr>
                  <w:rStyle w:val="Hyperlink"/>
                  <w:rFonts w:cstheme="minorHAnsi"/>
                  <w:sz w:val="20"/>
                  <w:szCs w:val="20"/>
                </w:rPr>
                <w:t xml:space="preserve"> </w:t>
              </w:r>
              <w:r w:rsidR="00B72A45">
                <w:rPr>
                  <w:rStyle w:val="Hyperlink"/>
                  <w:rFonts w:cstheme="minorHAnsi"/>
                  <w:sz w:val="20"/>
                  <w:szCs w:val="20"/>
                </w:rPr>
                <w:t xml:space="preserve">Transition </w:t>
              </w:r>
              <w:r w:rsidR="005C4BBE">
                <w:rPr>
                  <w:rStyle w:val="Hyperlink"/>
                  <w:rFonts w:cstheme="minorHAnsi"/>
                  <w:sz w:val="20"/>
                  <w:szCs w:val="20"/>
                </w:rPr>
                <w:t>in</w:t>
              </w:r>
              <w:r w:rsidR="00B72A45">
                <w:rPr>
                  <w:rStyle w:val="Hyperlink"/>
                  <w:rFonts w:cstheme="minorHAnsi"/>
                  <w:sz w:val="20"/>
                  <w:szCs w:val="20"/>
                </w:rPr>
                <w:t>to Adulthood Supplement (PSID-TAS)</w:t>
              </w:r>
            </w:hyperlink>
          </w:p>
        </w:tc>
        <w:tc>
          <w:tcPr>
            <w:tcW w:w="3420" w:type="dxa"/>
          </w:tcPr>
          <w:p w14:paraId="75DC8A43" w14:textId="25FFCC87" w:rsidR="00B72A45" w:rsidRPr="00781395" w:rsidRDefault="00B72A45" w:rsidP="004B1105">
            <w:pPr>
              <w:rPr>
                <w:sz w:val="20"/>
                <w:szCs w:val="20"/>
              </w:rPr>
            </w:pPr>
            <w:r w:rsidRPr="00781395">
              <w:rPr>
                <w:sz w:val="20"/>
                <w:szCs w:val="20"/>
              </w:rPr>
              <w:t>Panel;</w:t>
            </w:r>
            <w:r>
              <w:rPr>
                <w:sz w:val="20"/>
                <w:szCs w:val="20"/>
              </w:rPr>
              <w:t xml:space="preserve"> </w:t>
            </w:r>
            <w:r w:rsidR="00BB45B2">
              <w:rPr>
                <w:sz w:val="20"/>
                <w:szCs w:val="20"/>
              </w:rPr>
              <w:t>n</w:t>
            </w:r>
            <w:r w:rsidR="00BB45B2" w:rsidRPr="00781395">
              <w:rPr>
                <w:sz w:val="20"/>
                <w:szCs w:val="20"/>
              </w:rPr>
              <w:t>ational</w:t>
            </w:r>
            <w:r w:rsidRPr="00781395">
              <w:rPr>
                <w:sz w:val="20"/>
                <w:szCs w:val="20"/>
              </w:rPr>
              <w:t xml:space="preserve">; </w:t>
            </w:r>
            <w:r w:rsidR="00BB45B2">
              <w:rPr>
                <w:sz w:val="20"/>
                <w:szCs w:val="20"/>
              </w:rPr>
              <w:t xml:space="preserve">young </w:t>
            </w:r>
            <w:r w:rsidR="00BE2D35">
              <w:rPr>
                <w:sz w:val="20"/>
                <w:szCs w:val="20"/>
              </w:rPr>
              <w:t>adults (ages 18</w:t>
            </w:r>
            <w:r w:rsidR="000F4EFA">
              <w:rPr>
                <w:sz w:val="20"/>
                <w:szCs w:val="20"/>
              </w:rPr>
              <w:t>–</w:t>
            </w:r>
            <w:r w:rsidR="00BE2D35">
              <w:rPr>
                <w:sz w:val="20"/>
                <w:szCs w:val="20"/>
              </w:rPr>
              <w:t xml:space="preserve">28) from PSID households. </w:t>
            </w:r>
          </w:p>
          <w:p w14:paraId="26EDE7E4" w14:textId="77777777" w:rsidR="00BE2D35" w:rsidRPr="00781395" w:rsidRDefault="00BE2D35" w:rsidP="004B1105">
            <w:pPr>
              <w:rPr>
                <w:sz w:val="20"/>
                <w:szCs w:val="20"/>
              </w:rPr>
            </w:pPr>
          </w:p>
          <w:p w14:paraId="28B115C4" w14:textId="230B2510" w:rsidR="00B72A45" w:rsidRPr="00781395" w:rsidRDefault="00B72A45" w:rsidP="004B1105">
            <w:pPr>
              <w:rPr>
                <w:sz w:val="20"/>
                <w:szCs w:val="20"/>
              </w:rPr>
            </w:pPr>
            <w:r w:rsidRPr="00781395">
              <w:rPr>
                <w:sz w:val="20"/>
                <w:szCs w:val="20"/>
              </w:rPr>
              <w:t>Biennially since 2005; 2021 forthcoming</w:t>
            </w:r>
            <w:r w:rsidR="000F4EFA">
              <w:rPr>
                <w:sz w:val="20"/>
                <w:szCs w:val="20"/>
              </w:rPr>
              <w:t>.</w:t>
            </w:r>
          </w:p>
        </w:tc>
        <w:tc>
          <w:tcPr>
            <w:tcW w:w="3837" w:type="dxa"/>
          </w:tcPr>
          <w:p w14:paraId="2C9CC98F" w14:textId="77777777" w:rsidR="00B72A45" w:rsidRPr="00781395" w:rsidRDefault="00B72A45" w:rsidP="004B1105">
            <w:pPr>
              <w:rPr>
                <w:sz w:val="20"/>
                <w:szCs w:val="20"/>
              </w:rPr>
            </w:pPr>
            <w:r w:rsidRPr="00781395">
              <w:rPr>
                <w:sz w:val="20"/>
                <w:szCs w:val="20"/>
              </w:rPr>
              <w:t>Household measures available from PSID main study.</w:t>
            </w:r>
          </w:p>
        </w:tc>
        <w:tc>
          <w:tcPr>
            <w:tcW w:w="4564" w:type="dxa"/>
          </w:tcPr>
          <w:p w14:paraId="15ED461F" w14:textId="77777777" w:rsidR="00B72A45" w:rsidRPr="00781395" w:rsidRDefault="00B72A45" w:rsidP="004B1105">
            <w:pPr>
              <w:rPr>
                <w:sz w:val="20"/>
                <w:szCs w:val="20"/>
              </w:rPr>
            </w:pPr>
            <w:r w:rsidRPr="00781395">
              <w:rPr>
                <w:sz w:val="20"/>
                <w:szCs w:val="20"/>
              </w:rPr>
              <w:t>Degree aspirations, degree expectations, attendance intensity, college enrollment, academic achievement (GPA), student loan borrowing (amounts, indicators, select types of federal loans), engagement on campus.</w:t>
            </w:r>
          </w:p>
          <w:p w14:paraId="4AA7DE90" w14:textId="77777777" w:rsidR="00B72A45" w:rsidRPr="00781395" w:rsidRDefault="00B72A45" w:rsidP="004B1105">
            <w:pPr>
              <w:rPr>
                <w:sz w:val="20"/>
                <w:szCs w:val="20"/>
              </w:rPr>
            </w:pPr>
          </w:p>
          <w:p w14:paraId="25122935" w14:textId="6F14423F" w:rsidR="00B72A45" w:rsidRPr="00F12147" w:rsidRDefault="00B72A45" w:rsidP="004B1105">
            <w:pPr>
              <w:rPr>
                <w:sz w:val="20"/>
                <w:szCs w:val="20"/>
              </w:rPr>
            </w:pPr>
            <w:r w:rsidRPr="00F12147">
              <w:rPr>
                <w:sz w:val="20"/>
                <w:szCs w:val="20"/>
              </w:rPr>
              <w:t>IPEDS data linkage available</w:t>
            </w:r>
            <w:r w:rsidR="00286401" w:rsidRPr="00F12147">
              <w:rPr>
                <w:sz w:val="20"/>
                <w:szCs w:val="20"/>
              </w:rPr>
              <w:t>.</w:t>
            </w:r>
          </w:p>
        </w:tc>
      </w:tr>
      <w:tr w:rsidR="00C33E3B" w:rsidRPr="00781395" w14:paraId="012B1718" w14:textId="77777777" w:rsidTr="00ED6FCE">
        <w:tc>
          <w:tcPr>
            <w:tcW w:w="1435" w:type="dxa"/>
          </w:tcPr>
          <w:p w14:paraId="7490984E" w14:textId="7FFB6304" w:rsidR="00C33E3B" w:rsidRPr="00781395" w:rsidRDefault="00000000" w:rsidP="004B1105">
            <w:hyperlink r:id="rId24" w:history="1">
              <w:r w:rsidR="00C33E3B" w:rsidRPr="00F12147">
                <w:rPr>
                  <w:rStyle w:val="Hyperlink"/>
                  <w:sz w:val="20"/>
                  <w:szCs w:val="21"/>
                </w:rPr>
                <w:t>Survey of Consumer Finances (SCF)</w:t>
              </w:r>
            </w:hyperlink>
          </w:p>
        </w:tc>
        <w:tc>
          <w:tcPr>
            <w:tcW w:w="3420" w:type="dxa"/>
          </w:tcPr>
          <w:p w14:paraId="0F5A0E11" w14:textId="167E65AE" w:rsidR="00730B2D" w:rsidRDefault="00BE2D35" w:rsidP="004B1105">
            <w:pPr>
              <w:rPr>
                <w:sz w:val="20"/>
                <w:szCs w:val="20"/>
              </w:rPr>
            </w:pPr>
            <w:r>
              <w:rPr>
                <w:sz w:val="20"/>
                <w:szCs w:val="20"/>
              </w:rPr>
              <w:t>Cross-</w:t>
            </w:r>
            <w:r w:rsidR="00416AA6">
              <w:rPr>
                <w:sz w:val="20"/>
                <w:szCs w:val="20"/>
              </w:rPr>
              <w:t>sectional</w:t>
            </w:r>
            <w:r>
              <w:rPr>
                <w:sz w:val="20"/>
                <w:szCs w:val="20"/>
              </w:rPr>
              <w:t xml:space="preserve">; </w:t>
            </w:r>
            <w:r w:rsidR="00C573B7">
              <w:rPr>
                <w:sz w:val="20"/>
                <w:szCs w:val="20"/>
              </w:rPr>
              <w:t xml:space="preserve">nationally </w:t>
            </w:r>
            <w:r w:rsidR="0025545A">
              <w:rPr>
                <w:sz w:val="20"/>
                <w:szCs w:val="20"/>
              </w:rPr>
              <w:t>r</w:t>
            </w:r>
            <w:r>
              <w:rPr>
                <w:sz w:val="20"/>
                <w:szCs w:val="20"/>
              </w:rPr>
              <w:t xml:space="preserve">epresentative of U.S. households with oversamples of high-wealth households. </w:t>
            </w:r>
          </w:p>
          <w:p w14:paraId="77187A7B" w14:textId="77777777" w:rsidR="00730B2D" w:rsidRDefault="00730B2D" w:rsidP="004B1105">
            <w:pPr>
              <w:rPr>
                <w:sz w:val="20"/>
                <w:szCs w:val="20"/>
              </w:rPr>
            </w:pPr>
          </w:p>
          <w:p w14:paraId="79A3DDF7" w14:textId="39D069B4" w:rsidR="00C33E3B" w:rsidRDefault="00BE2D35" w:rsidP="004B1105">
            <w:pPr>
              <w:rPr>
                <w:sz w:val="20"/>
                <w:szCs w:val="20"/>
              </w:rPr>
            </w:pPr>
            <w:r>
              <w:rPr>
                <w:sz w:val="20"/>
                <w:szCs w:val="20"/>
              </w:rPr>
              <w:t xml:space="preserve">Two panels available: 1983 households were reinterviewed in 1986 and 1989, and 2007 households </w:t>
            </w:r>
            <w:r w:rsidR="00374699">
              <w:rPr>
                <w:sz w:val="20"/>
                <w:szCs w:val="20"/>
              </w:rPr>
              <w:t xml:space="preserve">were </w:t>
            </w:r>
            <w:r>
              <w:rPr>
                <w:sz w:val="20"/>
                <w:szCs w:val="20"/>
              </w:rPr>
              <w:t>reinterviewed in 2009.</w:t>
            </w:r>
          </w:p>
          <w:p w14:paraId="3ECB2336" w14:textId="77777777" w:rsidR="00BE2D35" w:rsidRDefault="00BE2D35" w:rsidP="004B1105">
            <w:pPr>
              <w:rPr>
                <w:sz w:val="20"/>
                <w:szCs w:val="20"/>
              </w:rPr>
            </w:pPr>
          </w:p>
          <w:p w14:paraId="6A2FE2EB" w14:textId="533D1EF9" w:rsidR="00C33E3B" w:rsidRPr="00781395" w:rsidRDefault="00A45B71" w:rsidP="004B1105">
            <w:pPr>
              <w:rPr>
                <w:sz w:val="20"/>
                <w:szCs w:val="20"/>
              </w:rPr>
            </w:pPr>
            <w:r>
              <w:rPr>
                <w:sz w:val="20"/>
                <w:szCs w:val="20"/>
              </w:rPr>
              <w:t>Triennially since 1983</w:t>
            </w:r>
            <w:r w:rsidR="000F4EFA">
              <w:rPr>
                <w:sz w:val="20"/>
                <w:szCs w:val="20"/>
              </w:rPr>
              <w:t>.</w:t>
            </w:r>
          </w:p>
        </w:tc>
        <w:tc>
          <w:tcPr>
            <w:tcW w:w="3837" w:type="dxa"/>
          </w:tcPr>
          <w:p w14:paraId="4E4478E2" w14:textId="77777777" w:rsidR="00791C60" w:rsidRDefault="00791C60" w:rsidP="004B1105">
            <w:pPr>
              <w:rPr>
                <w:sz w:val="20"/>
                <w:szCs w:val="20"/>
              </w:rPr>
            </w:pPr>
            <w:r>
              <w:rPr>
                <w:sz w:val="20"/>
                <w:szCs w:val="20"/>
              </w:rPr>
              <w:t xml:space="preserve">SCF does not provide a derived wealth variable, but all needed components to derive net worth are available, including: </w:t>
            </w:r>
          </w:p>
          <w:p w14:paraId="4A213181" w14:textId="27EB50E1" w:rsidR="00C33E3B" w:rsidRPr="00781395" w:rsidRDefault="0010029B" w:rsidP="004B1105">
            <w:pPr>
              <w:rPr>
                <w:sz w:val="20"/>
                <w:szCs w:val="20"/>
              </w:rPr>
            </w:pPr>
            <w:r>
              <w:rPr>
                <w:sz w:val="20"/>
                <w:szCs w:val="20"/>
              </w:rPr>
              <w:t>a</w:t>
            </w:r>
            <w:r w:rsidR="00791C60">
              <w:rPr>
                <w:sz w:val="20"/>
                <w:szCs w:val="20"/>
              </w:rPr>
              <w:t xml:space="preserve">ll liquid assets; CDs; savings bonds; directly held pooled investment funds, stocks, and bonds; cash value of life insurance; other assets; </w:t>
            </w:r>
            <w:r>
              <w:rPr>
                <w:sz w:val="20"/>
                <w:szCs w:val="20"/>
              </w:rPr>
              <w:t>quasi-</w:t>
            </w:r>
            <w:r w:rsidR="00791C60">
              <w:rPr>
                <w:sz w:val="20"/>
                <w:szCs w:val="20"/>
              </w:rPr>
              <w:t>liquid retirement assets; vehicles; home(s</w:t>
            </w:r>
            <w:r w:rsidR="004D3C83">
              <w:rPr>
                <w:sz w:val="20"/>
                <w:szCs w:val="20"/>
              </w:rPr>
              <w:t xml:space="preserve">); </w:t>
            </w:r>
            <w:proofErr w:type="gramStart"/>
            <w:r w:rsidR="00791C60">
              <w:rPr>
                <w:sz w:val="20"/>
                <w:szCs w:val="20"/>
              </w:rPr>
              <w:t>real-estate</w:t>
            </w:r>
            <w:proofErr w:type="gramEnd"/>
            <w:r w:rsidR="004D3C83">
              <w:rPr>
                <w:sz w:val="20"/>
                <w:szCs w:val="20"/>
              </w:rPr>
              <w:t xml:space="preserve">; </w:t>
            </w:r>
            <w:r w:rsidR="00791C60">
              <w:rPr>
                <w:sz w:val="20"/>
                <w:szCs w:val="20"/>
              </w:rPr>
              <w:t>net equity in non-real estate holdings</w:t>
            </w:r>
            <w:r w:rsidR="004D3C83">
              <w:rPr>
                <w:sz w:val="20"/>
                <w:szCs w:val="20"/>
              </w:rPr>
              <w:t xml:space="preserve">; </w:t>
            </w:r>
            <w:r w:rsidR="00791C60">
              <w:rPr>
                <w:sz w:val="20"/>
                <w:szCs w:val="20"/>
              </w:rPr>
              <w:t>businesses</w:t>
            </w:r>
            <w:r w:rsidR="004D3C83">
              <w:rPr>
                <w:sz w:val="20"/>
                <w:szCs w:val="20"/>
              </w:rPr>
              <w:t xml:space="preserve">; </w:t>
            </w:r>
            <w:r w:rsidR="00791C60">
              <w:rPr>
                <w:sz w:val="20"/>
                <w:szCs w:val="20"/>
              </w:rPr>
              <w:t>other misc. nonfinancial assets</w:t>
            </w:r>
            <w:r w:rsidR="004D3C83">
              <w:rPr>
                <w:sz w:val="20"/>
                <w:szCs w:val="20"/>
              </w:rPr>
              <w:t xml:space="preserve">; </w:t>
            </w:r>
            <w:r w:rsidR="00791C60">
              <w:rPr>
                <w:sz w:val="20"/>
                <w:szCs w:val="20"/>
              </w:rPr>
              <w:t>primary residence debt</w:t>
            </w:r>
            <w:r w:rsidR="004D3C83">
              <w:rPr>
                <w:sz w:val="20"/>
                <w:szCs w:val="20"/>
              </w:rPr>
              <w:t xml:space="preserve">; </w:t>
            </w:r>
            <w:r w:rsidR="00791C60">
              <w:rPr>
                <w:sz w:val="20"/>
                <w:szCs w:val="20"/>
              </w:rPr>
              <w:t>other lines of credit, credit card balances</w:t>
            </w:r>
            <w:r w:rsidR="004D3C83">
              <w:rPr>
                <w:sz w:val="20"/>
                <w:szCs w:val="20"/>
              </w:rPr>
              <w:t xml:space="preserve">; </w:t>
            </w:r>
            <w:r w:rsidR="00791C60">
              <w:rPr>
                <w:sz w:val="20"/>
                <w:szCs w:val="20"/>
              </w:rPr>
              <w:t>installment loans</w:t>
            </w:r>
            <w:r w:rsidR="004D3C83">
              <w:rPr>
                <w:sz w:val="20"/>
                <w:szCs w:val="20"/>
              </w:rPr>
              <w:t xml:space="preserve">; </w:t>
            </w:r>
            <w:r w:rsidR="00791C60">
              <w:rPr>
                <w:sz w:val="20"/>
                <w:szCs w:val="20"/>
              </w:rPr>
              <w:t xml:space="preserve">other debt. </w:t>
            </w:r>
          </w:p>
        </w:tc>
        <w:tc>
          <w:tcPr>
            <w:tcW w:w="4564" w:type="dxa"/>
          </w:tcPr>
          <w:p w14:paraId="7674FD6C" w14:textId="38943395" w:rsidR="00C33E3B" w:rsidRPr="00781395" w:rsidRDefault="00791C60" w:rsidP="004B1105">
            <w:pPr>
              <w:rPr>
                <w:sz w:val="20"/>
                <w:szCs w:val="20"/>
              </w:rPr>
            </w:pPr>
            <w:r>
              <w:rPr>
                <w:sz w:val="20"/>
                <w:szCs w:val="20"/>
              </w:rPr>
              <w:t xml:space="preserve">Highest level of education of the reference person, spouse, and parental education for both (added since 2016); </w:t>
            </w:r>
            <w:r w:rsidR="00694C29">
              <w:rPr>
                <w:sz w:val="20"/>
                <w:szCs w:val="20"/>
              </w:rPr>
              <w:t>application</w:t>
            </w:r>
            <w:r>
              <w:rPr>
                <w:sz w:val="20"/>
                <w:szCs w:val="20"/>
              </w:rPr>
              <w:t xml:space="preserve"> for student loan in past 12 months; </w:t>
            </w:r>
            <w:r w:rsidR="00694C29">
              <w:rPr>
                <w:sz w:val="20"/>
                <w:szCs w:val="20"/>
              </w:rPr>
              <w:t xml:space="preserve">student loans for </w:t>
            </w:r>
            <w:r>
              <w:rPr>
                <w:sz w:val="20"/>
                <w:szCs w:val="20"/>
              </w:rPr>
              <w:t>respondent or any household member</w:t>
            </w:r>
            <w:r w:rsidR="00E479D9">
              <w:rPr>
                <w:sz w:val="20"/>
                <w:szCs w:val="20"/>
              </w:rPr>
              <w:t>;</w:t>
            </w:r>
            <w:r w:rsidR="006268DB">
              <w:rPr>
                <w:sz w:val="20"/>
                <w:szCs w:val="20"/>
              </w:rPr>
              <w:t xml:space="preserve"> whether</w:t>
            </w:r>
            <w:r>
              <w:rPr>
                <w:sz w:val="20"/>
                <w:szCs w:val="20"/>
              </w:rPr>
              <w:t xml:space="preserve"> loan is federal (e.g., Stafford, Direct, PLUS, Perkins</w:t>
            </w:r>
            <w:r w:rsidR="00E479D9">
              <w:rPr>
                <w:sz w:val="20"/>
                <w:szCs w:val="20"/>
              </w:rPr>
              <w:t xml:space="preserve">); </w:t>
            </w:r>
            <w:r>
              <w:rPr>
                <w:sz w:val="20"/>
                <w:szCs w:val="20"/>
              </w:rPr>
              <w:t xml:space="preserve">the </w:t>
            </w:r>
            <w:r w:rsidR="00C91436">
              <w:rPr>
                <w:sz w:val="20"/>
                <w:szCs w:val="20"/>
              </w:rPr>
              <w:t>last</w:t>
            </w:r>
            <w:r w:rsidR="00936813">
              <w:rPr>
                <w:sz w:val="20"/>
                <w:szCs w:val="20"/>
              </w:rPr>
              <w:t xml:space="preserve"> college </w:t>
            </w:r>
            <w:r w:rsidR="00C91436">
              <w:rPr>
                <w:sz w:val="20"/>
                <w:szCs w:val="20"/>
              </w:rPr>
              <w:t xml:space="preserve">attendance </w:t>
            </w:r>
            <w:r>
              <w:rPr>
                <w:sz w:val="20"/>
                <w:szCs w:val="20"/>
              </w:rPr>
              <w:t>year (or age) which the loan was used for</w:t>
            </w:r>
            <w:r w:rsidR="00637AE0">
              <w:rPr>
                <w:sz w:val="20"/>
                <w:szCs w:val="20"/>
              </w:rPr>
              <w:t>.</w:t>
            </w:r>
          </w:p>
        </w:tc>
      </w:tr>
      <w:tr w:rsidR="00B72A45" w:rsidRPr="00781395" w14:paraId="7BDD423C" w14:textId="77777777" w:rsidTr="00ED6FCE">
        <w:tc>
          <w:tcPr>
            <w:tcW w:w="13260" w:type="dxa"/>
            <w:gridSpan w:val="4"/>
          </w:tcPr>
          <w:p w14:paraId="3318A09D" w14:textId="0E03F4DF" w:rsidR="00A90E4B" w:rsidRDefault="001959E2" w:rsidP="004B1105">
            <w:pPr>
              <w:rPr>
                <w:sz w:val="20"/>
                <w:szCs w:val="20"/>
              </w:rPr>
            </w:pPr>
            <w:r w:rsidRPr="001959E2">
              <w:rPr>
                <w:b/>
                <w:bCs/>
                <w:sz w:val="20"/>
                <w:szCs w:val="20"/>
              </w:rPr>
              <w:t>Panel</w:t>
            </w:r>
            <w:r>
              <w:rPr>
                <w:sz w:val="20"/>
                <w:szCs w:val="20"/>
              </w:rPr>
              <w:t xml:space="preserve"> </w:t>
            </w:r>
            <w:r w:rsidR="001A251B">
              <w:rPr>
                <w:b/>
                <w:bCs/>
                <w:sz w:val="20"/>
                <w:szCs w:val="20"/>
              </w:rPr>
              <w:t xml:space="preserve">studies: </w:t>
            </w:r>
            <w:r w:rsidR="001A251B" w:rsidRPr="00F12147">
              <w:rPr>
                <w:sz w:val="20"/>
                <w:szCs w:val="20"/>
              </w:rPr>
              <w:t>D</w:t>
            </w:r>
            <w:r w:rsidR="00E5290B" w:rsidRPr="00F12147">
              <w:rPr>
                <w:sz w:val="20"/>
                <w:szCs w:val="20"/>
              </w:rPr>
              <w:t xml:space="preserve">ata are collected on the same </w:t>
            </w:r>
            <w:r w:rsidR="00A90E4B" w:rsidRPr="00F12147">
              <w:rPr>
                <w:sz w:val="20"/>
                <w:szCs w:val="20"/>
              </w:rPr>
              <w:t>units (e.g., individual</w:t>
            </w:r>
            <w:r w:rsidR="007702CC" w:rsidRPr="00F12147">
              <w:rPr>
                <w:sz w:val="20"/>
                <w:szCs w:val="20"/>
              </w:rPr>
              <w:t>s</w:t>
            </w:r>
            <w:r w:rsidR="00A90E4B" w:rsidRPr="00F12147">
              <w:rPr>
                <w:sz w:val="20"/>
                <w:szCs w:val="20"/>
              </w:rPr>
              <w:t>, households, institutions, etc.) over time</w:t>
            </w:r>
            <w:r w:rsidR="00A90E4B" w:rsidRPr="003C0452">
              <w:rPr>
                <w:sz w:val="20"/>
                <w:szCs w:val="20"/>
              </w:rPr>
              <w:t>.</w:t>
            </w:r>
            <w:r w:rsidR="003C0452">
              <w:rPr>
                <w:sz w:val="20"/>
                <w:szCs w:val="20"/>
              </w:rPr>
              <w:t xml:space="preserve"> </w:t>
            </w:r>
            <w:r w:rsidR="000C2E27">
              <w:rPr>
                <w:sz w:val="20"/>
                <w:szCs w:val="20"/>
              </w:rPr>
              <w:t xml:space="preserve">For example, </w:t>
            </w:r>
            <w:r w:rsidR="00386080">
              <w:rPr>
                <w:sz w:val="20"/>
                <w:szCs w:val="20"/>
              </w:rPr>
              <w:t xml:space="preserve">HSLS09 </w:t>
            </w:r>
            <w:r w:rsidR="000C2E27">
              <w:rPr>
                <w:sz w:val="20"/>
                <w:szCs w:val="20"/>
              </w:rPr>
              <w:t xml:space="preserve">is a panel study </w:t>
            </w:r>
            <w:r w:rsidR="00936813">
              <w:rPr>
                <w:sz w:val="20"/>
                <w:szCs w:val="20"/>
              </w:rPr>
              <w:t>that</w:t>
            </w:r>
            <w:r w:rsidR="000C2E27">
              <w:rPr>
                <w:sz w:val="20"/>
                <w:szCs w:val="20"/>
              </w:rPr>
              <w:t xml:space="preserve"> collects </w:t>
            </w:r>
            <w:r w:rsidR="00B67B80">
              <w:rPr>
                <w:sz w:val="20"/>
                <w:szCs w:val="20"/>
              </w:rPr>
              <w:t>data from the same participants over time</w:t>
            </w:r>
            <w:r w:rsidR="00B1527B">
              <w:rPr>
                <w:sz w:val="20"/>
                <w:szCs w:val="20"/>
              </w:rPr>
              <w:t xml:space="preserve">; </w:t>
            </w:r>
            <w:r w:rsidR="00386080">
              <w:rPr>
                <w:sz w:val="20"/>
                <w:szCs w:val="20"/>
              </w:rPr>
              <w:t xml:space="preserve">the </w:t>
            </w:r>
            <w:r w:rsidR="00F63A64">
              <w:rPr>
                <w:sz w:val="20"/>
                <w:szCs w:val="20"/>
              </w:rPr>
              <w:t xml:space="preserve">nationally representative sample </w:t>
            </w:r>
            <w:r w:rsidR="00791B43">
              <w:rPr>
                <w:sz w:val="20"/>
                <w:szCs w:val="20"/>
              </w:rPr>
              <w:t xml:space="preserve">of </w:t>
            </w:r>
            <w:r w:rsidR="00F63A64">
              <w:rPr>
                <w:sz w:val="20"/>
                <w:szCs w:val="20"/>
              </w:rPr>
              <w:t xml:space="preserve">first-year high school students </w:t>
            </w:r>
            <w:r w:rsidR="00791B43">
              <w:rPr>
                <w:sz w:val="20"/>
                <w:szCs w:val="20"/>
              </w:rPr>
              <w:t xml:space="preserve">first provided </w:t>
            </w:r>
            <w:r w:rsidR="00710FD3">
              <w:rPr>
                <w:sz w:val="20"/>
                <w:szCs w:val="20"/>
              </w:rPr>
              <w:t>data in 2009</w:t>
            </w:r>
            <w:r w:rsidR="009E1396">
              <w:rPr>
                <w:sz w:val="20"/>
                <w:szCs w:val="20"/>
              </w:rPr>
              <w:t>, then provided</w:t>
            </w:r>
            <w:r w:rsidR="00710FD3">
              <w:rPr>
                <w:sz w:val="20"/>
                <w:szCs w:val="20"/>
              </w:rPr>
              <w:t xml:space="preserve"> </w:t>
            </w:r>
            <w:r w:rsidR="00936813">
              <w:rPr>
                <w:sz w:val="20"/>
                <w:szCs w:val="20"/>
              </w:rPr>
              <w:t>follow-</w:t>
            </w:r>
            <w:r w:rsidR="00F63A64">
              <w:rPr>
                <w:sz w:val="20"/>
                <w:szCs w:val="20"/>
              </w:rPr>
              <w:t xml:space="preserve">up data </w:t>
            </w:r>
            <w:r w:rsidR="008F3175">
              <w:rPr>
                <w:sz w:val="20"/>
                <w:szCs w:val="20"/>
              </w:rPr>
              <w:t xml:space="preserve">in 2012 </w:t>
            </w:r>
            <w:r w:rsidR="00F2767A">
              <w:rPr>
                <w:sz w:val="20"/>
                <w:szCs w:val="20"/>
              </w:rPr>
              <w:t>when many were high school seniors</w:t>
            </w:r>
            <w:r w:rsidR="00436B60">
              <w:rPr>
                <w:sz w:val="20"/>
                <w:szCs w:val="20"/>
              </w:rPr>
              <w:t>,</w:t>
            </w:r>
            <w:r w:rsidR="00F2767A">
              <w:rPr>
                <w:sz w:val="20"/>
                <w:szCs w:val="20"/>
              </w:rPr>
              <w:t xml:space="preserve"> </w:t>
            </w:r>
            <w:r w:rsidR="00710FD3">
              <w:rPr>
                <w:sz w:val="20"/>
                <w:szCs w:val="20"/>
              </w:rPr>
              <w:t>and</w:t>
            </w:r>
            <w:r w:rsidR="008F3175">
              <w:rPr>
                <w:sz w:val="20"/>
                <w:szCs w:val="20"/>
              </w:rPr>
              <w:t xml:space="preserve"> </w:t>
            </w:r>
            <w:r w:rsidR="00436B60">
              <w:rPr>
                <w:sz w:val="20"/>
                <w:szCs w:val="20"/>
              </w:rPr>
              <w:t xml:space="preserve">again </w:t>
            </w:r>
            <w:r w:rsidR="008F3175">
              <w:rPr>
                <w:sz w:val="20"/>
                <w:szCs w:val="20"/>
              </w:rPr>
              <w:t xml:space="preserve">in 2016 </w:t>
            </w:r>
            <w:r w:rsidR="007B5200">
              <w:rPr>
                <w:sz w:val="20"/>
                <w:szCs w:val="20"/>
              </w:rPr>
              <w:t>when many</w:t>
            </w:r>
            <w:r w:rsidR="00E65D12">
              <w:rPr>
                <w:sz w:val="20"/>
                <w:szCs w:val="20"/>
              </w:rPr>
              <w:t xml:space="preserve"> had </w:t>
            </w:r>
            <w:r w:rsidR="00500448">
              <w:rPr>
                <w:sz w:val="20"/>
                <w:szCs w:val="20"/>
              </w:rPr>
              <w:t xml:space="preserve">since </w:t>
            </w:r>
            <w:r w:rsidR="00E65D12">
              <w:rPr>
                <w:sz w:val="20"/>
                <w:szCs w:val="20"/>
              </w:rPr>
              <w:t>enrolled in</w:t>
            </w:r>
            <w:r w:rsidR="00500448">
              <w:rPr>
                <w:sz w:val="20"/>
                <w:szCs w:val="20"/>
              </w:rPr>
              <w:t xml:space="preserve"> or completed</w:t>
            </w:r>
            <w:r w:rsidR="00E65D12">
              <w:rPr>
                <w:sz w:val="20"/>
                <w:szCs w:val="20"/>
              </w:rPr>
              <w:t xml:space="preserve"> college or entered the workforce</w:t>
            </w:r>
            <w:r w:rsidR="00710FD3">
              <w:rPr>
                <w:sz w:val="20"/>
                <w:szCs w:val="20"/>
              </w:rPr>
              <w:t xml:space="preserve"> </w:t>
            </w:r>
            <w:r w:rsidR="00E65D12">
              <w:rPr>
                <w:sz w:val="20"/>
                <w:szCs w:val="20"/>
              </w:rPr>
              <w:t>(</w:t>
            </w:r>
            <w:r w:rsidR="00710FD3">
              <w:rPr>
                <w:sz w:val="20"/>
                <w:szCs w:val="20"/>
              </w:rPr>
              <w:t>2016</w:t>
            </w:r>
            <w:r w:rsidR="00E65D12">
              <w:rPr>
                <w:sz w:val="20"/>
                <w:szCs w:val="20"/>
              </w:rPr>
              <w:t>)</w:t>
            </w:r>
            <w:r w:rsidR="00710FD3">
              <w:rPr>
                <w:sz w:val="20"/>
                <w:szCs w:val="20"/>
              </w:rPr>
              <w:t xml:space="preserve">. </w:t>
            </w:r>
          </w:p>
          <w:p w14:paraId="35B58A02" w14:textId="77777777" w:rsidR="00ED6FCE" w:rsidRDefault="00ED6FCE" w:rsidP="004B1105">
            <w:pPr>
              <w:rPr>
                <w:b/>
                <w:bCs/>
                <w:sz w:val="20"/>
                <w:szCs w:val="20"/>
              </w:rPr>
            </w:pPr>
          </w:p>
          <w:p w14:paraId="6A9E3E80" w14:textId="7DEB718D" w:rsidR="00A90E4B" w:rsidRDefault="00A90E4B" w:rsidP="004B1105">
            <w:pPr>
              <w:rPr>
                <w:b/>
                <w:bCs/>
                <w:i/>
                <w:iCs/>
                <w:sz w:val="20"/>
                <w:szCs w:val="20"/>
              </w:rPr>
            </w:pPr>
            <w:r>
              <w:rPr>
                <w:b/>
                <w:bCs/>
                <w:sz w:val="20"/>
                <w:szCs w:val="20"/>
              </w:rPr>
              <w:t xml:space="preserve">Cross-sectional studies: </w:t>
            </w:r>
            <w:r w:rsidRPr="00F12147">
              <w:rPr>
                <w:sz w:val="20"/>
                <w:szCs w:val="20"/>
              </w:rPr>
              <w:t xml:space="preserve">Data </w:t>
            </w:r>
            <w:r w:rsidR="007702CC" w:rsidRPr="00F12147">
              <w:rPr>
                <w:sz w:val="20"/>
                <w:szCs w:val="20"/>
              </w:rPr>
              <w:t>are collected on different units (e.g., individuals, households, institutions, etc.) over time.</w:t>
            </w:r>
            <w:r w:rsidR="00CD1A0D">
              <w:rPr>
                <w:sz w:val="20"/>
                <w:szCs w:val="20"/>
              </w:rPr>
              <w:t xml:space="preserve"> For example, NPSAS is </w:t>
            </w:r>
            <w:r w:rsidR="00C752D4">
              <w:rPr>
                <w:sz w:val="20"/>
                <w:szCs w:val="20"/>
              </w:rPr>
              <w:t xml:space="preserve">a repeated </w:t>
            </w:r>
            <w:r w:rsidR="00CD1A0D">
              <w:rPr>
                <w:sz w:val="20"/>
                <w:szCs w:val="20"/>
              </w:rPr>
              <w:t>cross-sectional</w:t>
            </w:r>
            <w:r w:rsidR="00C752D4">
              <w:rPr>
                <w:sz w:val="20"/>
                <w:szCs w:val="20"/>
              </w:rPr>
              <w:t xml:space="preserve"> study</w:t>
            </w:r>
            <w:r w:rsidR="00407D6C">
              <w:rPr>
                <w:sz w:val="20"/>
                <w:szCs w:val="20"/>
              </w:rPr>
              <w:t>,</w:t>
            </w:r>
            <w:r w:rsidR="00C752D4">
              <w:rPr>
                <w:sz w:val="20"/>
                <w:szCs w:val="20"/>
              </w:rPr>
              <w:t xml:space="preserve"> as it collects data on the same topics</w:t>
            </w:r>
            <w:r w:rsidR="000C2E27">
              <w:rPr>
                <w:sz w:val="20"/>
                <w:szCs w:val="20"/>
              </w:rPr>
              <w:t xml:space="preserve"> over time,</w:t>
            </w:r>
            <w:r w:rsidR="00C752D4">
              <w:rPr>
                <w:sz w:val="20"/>
                <w:szCs w:val="20"/>
              </w:rPr>
              <w:t xml:space="preserve"> </w:t>
            </w:r>
            <w:r w:rsidR="009679BE">
              <w:rPr>
                <w:sz w:val="20"/>
                <w:szCs w:val="20"/>
              </w:rPr>
              <w:t xml:space="preserve">but with </w:t>
            </w:r>
            <w:r w:rsidR="000C2E27">
              <w:rPr>
                <w:sz w:val="20"/>
                <w:szCs w:val="20"/>
              </w:rPr>
              <w:t xml:space="preserve">different samples of students. </w:t>
            </w:r>
          </w:p>
          <w:p w14:paraId="304250BE" w14:textId="3F437A52" w:rsidR="00B259D2" w:rsidRPr="00F12147" w:rsidRDefault="00B259D2" w:rsidP="004B1105">
            <w:pPr>
              <w:rPr>
                <w:sz w:val="20"/>
                <w:szCs w:val="20"/>
              </w:rPr>
            </w:pPr>
          </w:p>
          <w:p w14:paraId="36394C6C" w14:textId="273C9BBA" w:rsidR="00B72A45" w:rsidRPr="00781395" w:rsidRDefault="00B72A45" w:rsidP="004B1105">
            <w:pPr>
              <w:rPr>
                <w:sz w:val="20"/>
                <w:szCs w:val="20"/>
              </w:rPr>
            </w:pPr>
            <w:r w:rsidRPr="00F12147">
              <w:rPr>
                <w:b/>
                <w:bCs/>
                <w:sz w:val="20"/>
                <w:szCs w:val="20"/>
              </w:rPr>
              <w:lastRenderedPageBreak/>
              <w:t>IPEDS data linkage available:</w:t>
            </w:r>
            <w:r w:rsidRPr="00781395">
              <w:rPr>
                <w:b/>
                <w:bCs/>
                <w:i/>
                <w:iCs/>
                <w:sz w:val="20"/>
                <w:szCs w:val="20"/>
              </w:rPr>
              <w:t xml:space="preserve"> </w:t>
            </w:r>
            <w:r w:rsidRPr="00781395">
              <w:rPr>
                <w:sz w:val="20"/>
                <w:szCs w:val="20"/>
              </w:rPr>
              <w:t>Institution</w:t>
            </w:r>
            <w:r w:rsidR="00407D6C">
              <w:rPr>
                <w:sz w:val="20"/>
                <w:szCs w:val="20"/>
              </w:rPr>
              <w:t>-</w:t>
            </w:r>
            <w:r w:rsidRPr="00781395">
              <w:rPr>
                <w:sz w:val="20"/>
                <w:szCs w:val="20"/>
              </w:rPr>
              <w:t>level characteristics of colleges attended available if linked to IPEDS.</w:t>
            </w:r>
          </w:p>
          <w:p w14:paraId="4F358FF1" w14:textId="77777777" w:rsidR="00B72A45" w:rsidRPr="00781395" w:rsidRDefault="00B72A45" w:rsidP="004B1105">
            <w:pPr>
              <w:rPr>
                <w:sz w:val="20"/>
                <w:szCs w:val="20"/>
              </w:rPr>
            </w:pPr>
          </w:p>
          <w:p w14:paraId="7E436DEE" w14:textId="4C02B9F7" w:rsidR="00B259D2" w:rsidRPr="00B259D2" w:rsidRDefault="00B72A45" w:rsidP="004B1105">
            <w:pPr>
              <w:rPr>
                <w:sz w:val="20"/>
                <w:szCs w:val="20"/>
              </w:rPr>
            </w:pPr>
            <w:r w:rsidRPr="00F12147">
              <w:rPr>
                <w:b/>
                <w:bCs/>
                <w:sz w:val="20"/>
                <w:szCs w:val="20"/>
              </w:rPr>
              <w:t>FAFSA asset and wealth data available:</w:t>
            </w:r>
            <w:r w:rsidRPr="00781395">
              <w:rPr>
                <w:i/>
                <w:iCs/>
                <w:sz w:val="20"/>
                <w:szCs w:val="20"/>
              </w:rPr>
              <w:t xml:space="preserve"> </w:t>
            </w:r>
            <w:r w:rsidRPr="00781395">
              <w:rPr>
                <w:rFonts w:eastAsiaTheme="minorHAnsi"/>
                <w:sz w:val="20"/>
                <w:szCs w:val="20"/>
              </w:rPr>
              <w:t>For FAFSA applicants, wealth data are available through administrative data collected or derived from respondents' FAFSA</w:t>
            </w:r>
            <w:r w:rsidR="009C12F2">
              <w:rPr>
                <w:rFonts w:eastAsiaTheme="minorHAnsi"/>
                <w:sz w:val="20"/>
                <w:szCs w:val="20"/>
              </w:rPr>
              <w:t xml:space="preserve"> forms</w:t>
            </w:r>
            <w:r w:rsidRPr="00781395">
              <w:rPr>
                <w:rFonts w:eastAsiaTheme="minorHAnsi"/>
                <w:sz w:val="20"/>
                <w:szCs w:val="20"/>
              </w:rPr>
              <w:t>, including</w:t>
            </w:r>
            <w:r w:rsidRPr="00781395">
              <w:rPr>
                <w:sz w:val="20"/>
                <w:szCs w:val="20"/>
              </w:rPr>
              <w:t xml:space="preserve"> </w:t>
            </w:r>
            <w:r w:rsidR="00AD65DA">
              <w:rPr>
                <w:sz w:val="20"/>
                <w:szCs w:val="20"/>
              </w:rPr>
              <w:t xml:space="preserve">the net worth of </w:t>
            </w:r>
            <w:r w:rsidR="00293374">
              <w:rPr>
                <w:sz w:val="20"/>
                <w:szCs w:val="20"/>
              </w:rPr>
              <w:t xml:space="preserve">each </w:t>
            </w:r>
            <w:r w:rsidR="00BE2D35">
              <w:rPr>
                <w:sz w:val="20"/>
                <w:szCs w:val="20"/>
              </w:rPr>
              <w:t>s</w:t>
            </w:r>
            <w:r w:rsidR="00BE2D35" w:rsidRPr="00781395">
              <w:rPr>
                <w:sz w:val="20"/>
                <w:szCs w:val="20"/>
              </w:rPr>
              <w:t>tudent’s</w:t>
            </w:r>
            <w:r w:rsidR="00BE2D35">
              <w:rPr>
                <w:sz w:val="20"/>
                <w:szCs w:val="20"/>
              </w:rPr>
              <w:t xml:space="preserve"> (and spouse’s)</w:t>
            </w:r>
            <w:r w:rsidR="00BE2D35" w:rsidRPr="00781395">
              <w:rPr>
                <w:sz w:val="20"/>
                <w:szCs w:val="20"/>
              </w:rPr>
              <w:t xml:space="preserve"> investment</w:t>
            </w:r>
            <w:r w:rsidR="00BE2D35">
              <w:rPr>
                <w:sz w:val="20"/>
                <w:szCs w:val="20"/>
              </w:rPr>
              <w:t>s</w:t>
            </w:r>
            <w:r w:rsidRPr="00781395">
              <w:rPr>
                <w:sz w:val="20"/>
                <w:szCs w:val="20"/>
              </w:rPr>
              <w:t xml:space="preserve">, </w:t>
            </w:r>
            <w:r w:rsidR="00293374">
              <w:rPr>
                <w:sz w:val="20"/>
                <w:szCs w:val="20"/>
              </w:rPr>
              <w:t xml:space="preserve">each </w:t>
            </w:r>
            <w:r w:rsidRPr="00781395">
              <w:rPr>
                <w:sz w:val="20"/>
                <w:szCs w:val="20"/>
              </w:rPr>
              <w:t xml:space="preserve">student’s business </w:t>
            </w:r>
            <w:r w:rsidR="00BE2D35">
              <w:rPr>
                <w:sz w:val="20"/>
                <w:szCs w:val="20"/>
              </w:rPr>
              <w:t>and</w:t>
            </w:r>
            <w:r w:rsidR="00BE2D35" w:rsidRPr="00781395">
              <w:rPr>
                <w:sz w:val="20"/>
                <w:szCs w:val="20"/>
              </w:rPr>
              <w:t xml:space="preserve"> farm</w:t>
            </w:r>
            <w:r w:rsidR="00BE2D35">
              <w:rPr>
                <w:sz w:val="20"/>
                <w:szCs w:val="20"/>
              </w:rPr>
              <w:t>s</w:t>
            </w:r>
            <w:r w:rsidRPr="00781395">
              <w:rPr>
                <w:sz w:val="20"/>
                <w:szCs w:val="20"/>
              </w:rPr>
              <w:t xml:space="preserve">, </w:t>
            </w:r>
            <w:r w:rsidR="00293374">
              <w:rPr>
                <w:sz w:val="20"/>
                <w:szCs w:val="20"/>
              </w:rPr>
              <w:t xml:space="preserve">parents’ </w:t>
            </w:r>
            <w:r w:rsidR="00BE2D35" w:rsidRPr="00781395">
              <w:rPr>
                <w:sz w:val="20"/>
                <w:szCs w:val="20"/>
              </w:rPr>
              <w:t>investment</w:t>
            </w:r>
            <w:r w:rsidR="00BE2D35">
              <w:rPr>
                <w:sz w:val="20"/>
                <w:szCs w:val="20"/>
              </w:rPr>
              <w:t>s</w:t>
            </w:r>
            <w:r w:rsidRPr="00781395">
              <w:rPr>
                <w:sz w:val="20"/>
                <w:szCs w:val="20"/>
              </w:rPr>
              <w:t xml:space="preserve">, </w:t>
            </w:r>
            <w:r w:rsidR="00BE2D35" w:rsidRPr="00781395">
              <w:rPr>
                <w:sz w:val="20"/>
                <w:szCs w:val="20"/>
              </w:rPr>
              <w:t>parents</w:t>
            </w:r>
            <w:r w:rsidR="00BE2D35">
              <w:rPr>
                <w:sz w:val="20"/>
                <w:szCs w:val="20"/>
              </w:rPr>
              <w:t>’</w:t>
            </w:r>
            <w:r w:rsidRPr="00781395">
              <w:rPr>
                <w:sz w:val="20"/>
                <w:szCs w:val="20"/>
              </w:rPr>
              <w:t xml:space="preserve"> business</w:t>
            </w:r>
            <w:r w:rsidR="008256D7">
              <w:rPr>
                <w:sz w:val="20"/>
                <w:szCs w:val="20"/>
              </w:rPr>
              <w:t>es</w:t>
            </w:r>
            <w:r w:rsidRPr="00781395">
              <w:rPr>
                <w:sz w:val="20"/>
                <w:szCs w:val="20"/>
              </w:rPr>
              <w:t xml:space="preserve"> </w:t>
            </w:r>
            <w:r w:rsidR="00BE2D35">
              <w:rPr>
                <w:sz w:val="20"/>
                <w:szCs w:val="20"/>
              </w:rPr>
              <w:t>and</w:t>
            </w:r>
            <w:r w:rsidR="00BE2D35" w:rsidRPr="00781395">
              <w:rPr>
                <w:sz w:val="20"/>
                <w:szCs w:val="20"/>
              </w:rPr>
              <w:t xml:space="preserve"> farm</w:t>
            </w:r>
            <w:r w:rsidR="00BE2D35">
              <w:rPr>
                <w:sz w:val="20"/>
                <w:szCs w:val="20"/>
              </w:rPr>
              <w:t>s</w:t>
            </w:r>
            <w:r w:rsidRPr="00781395">
              <w:rPr>
                <w:sz w:val="20"/>
                <w:szCs w:val="20"/>
              </w:rPr>
              <w:t xml:space="preserve">, </w:t>
            </w:r>
            <w:r w:rsidR="00F87533">
              <w:rPr>
                <w:sz w:val="20"/>
                <w:szCs w:val="20"/>
              </w:rPr>
              <w:t xml:space="preserve">as well as the </w:t>
            </w:r>
            <w:r w:rsidRPr="00781395">
              <w:rPr>
                <w:sz w:val="20"/>
                <w:szCs w:val="20"/>
              </w:rPr>
              <w:t>discretionary net worth</w:t>
            </w:r>
            <w:r w:rsidR="00F87533">
              <w:rPr>
                <w:sz w:val="20"/>
                <w:szCs w:val="20"/>
              </w:rPr>
              <w:t xml:space="preserve"> of </w:t>
            </w:r>
            <w:r w:rsidR="00BE2D35">
              <w:rPr>
                <w:sz w:val="20"/>
                <w:szCs w:val="20"/>
              </w:rPr>
              <w:t xml:space="preserve">both </w:t>
            </w:r>
            <w:r w:rsidR="00F87533">
              <w:rPr>
                <w:sz w:val="20"/>
                <w:szCs w:val="20"/>
              </w:rPr>
              <w:t>students and their parents</w:t>
            </w:r>
            <w:r w:rsidRPr="00781395">
              <w:rPr>
                <w:sz w:val="20"/>
                <w:szCs w:val="20"/>
              </w:rPr>
              <w:t>.</w:t>
            </w:r>
          </w:p>
        </w:tc>
      </w:tr>
    </w:tbl>
    <w:p w14:paraId="4513EAC4" w14:textId="77777777" w:rsidR="003A64F2" w:rsidRDefault="003A64F2" w:rsidP="004B1105">
      <w:pPr>
        <w:sectPr w:rsidR="003A64F2" w:rsidSect="001A7A59">
          <w:footnotePr>
            <w:numFmt w:val="lowerRoman"/>
          </w:footnotePr>
          <w:endnotePr>
            <w:numFmt w:val="decimal"/>
          </w:endnotePr>
          <w:pgSz w:w="15840" w:h="12240" w:orient="landscape"/>
          <w:pgMar w:top="1440" w:right="1440" w:bottom="1440" w:left="1440" w:header="720" w:footer="720" w:gutter="0"/>
          <w:cols w:space="720"/>
          <w:docGrid w:linePitch="360"/>
        </w:sectPr>
      </w:pPr>
      <w:bookmarkStart w:id="21" w:name="_Hlk153972081"/>
    </w:p>
    <w:p w14:paraId="052AA19B" w14:textId="240ADA4D" w:rsidR="480F19E1" w:rsidRDefault="3FC7476F" w:rsidP="004B1105">
      <w:pPr>
        <w:pStyle w:val="Heading1"/>
      </w:pPr>
      <w:bookmarkStart w:id="22" w:name="_Toc167901748"/>
      <w:r>
        <w:lastRenderedPageBreak/>
        <w:t xml:space="preserve">How Large </w:t>
      </w:r>
      <w:r w:rsidR="002608F6">
        <w:t xml:space="preserve">Is </w:t>
      </w:r>
      <w:proofErr w:type="gramStart"/>
      <w:r w:rsidR="00FF19DB">
        <w:t>The</w:t>
      </w:r>
      <w:proofErr w:type="gramEnd"/>
      <w:r w:rsidR="00FF19DB">
        <w:t xml:space="preserve"> </w:t>
      </w:r>
      <w:r>
        <w:t>Racial Wealth Gap?</w:t>
      </w:r>
      <w:bookmarkEnd w:id="22"/>
    </w:p>
    <w:p w14:paraId="2D86FE3D" w14:textId="77777777" w:rsidR="00641577" w:rsidRDefault="00641577" w:rsidP="004B1105"/>
    <w:p w14:paraId="07567A12" w14:textId="27AE430D" w:rsidR="480F19E1" w:rsidRPr="00FD39B5" w:rsidRDefault="0018543E" w:rsidP="004B1105">
      <w:pPr>
        <w:rPr>
          <w:rFonts w:ascii="Calibri" w:eastAsia="Calibri" w:hAnsi="Calibri" w:cs="Calibri"/>
        </w:rPr>
      </w:pPr>
      <w:r w:rsidRPr="399FB11E">
        <w:rPr>
          <w:rFonts w:ascii="Calibri" w:eastAsia="Calibri" w:hAnsi="Calibri" w:cs="Calibri"/>
        </w:rPr>
        <w:t xml:space="preserve">The </w:t>
      </w:r>
      <w:r w:rsidR="00460BE7" w:rsidRPr="399FB11E">
        <w:rPr>
          <w:rFonts w:ascii="Calibri" w:eastAsia="Calibri" w:hAnsi="Calibri" w:cs="Calibri"/>
        </w:rPr>
        <w:t xml:space="preserve">Panel Study of Income Dynamics Transition </w:t>
      </w:r>
      <w:r w:rsidR="00DB3A95">
        <w:rPr>
          <w:rFonts w:ascii="Calibri" w:eastAsia="Calibri" w:hAnsi="Calibri" w:cs="Calibri"/>
        </w:rPr>
        <w:t>in</w:t>
      </w:r>
      <w:r w:rsidR="00460BE7" w:rsidRPr="399FB11E">
        <w:rPr>
          <w:rFonts w:ascii="Calibri" w:eastAsia="Calibri" w:hAnsi="Calibri" w:cs="Calibri"/>
        </w:rPr>
        <w:t xml:space="preserve">to Adulthood </w:t>
      </w:r>
      <w:r w:rsidR="00ED06C9">
        <w:rPr>
          <w:rFonts w:ascii="Calibri" w:eastAsia="Calibri" w:hAnsi="Calibri" w:cs="Calibri"/>
        </w:rPr>
        <w:t>S</w:t>
      </w:r>
      <w:r w:rsidR="00460BE7" w:rsidRPr="399FB11E">
        <w:rPr>
          <w:rFonts w:ascii="Calibri" w:eastAsia="Calibri" w:hAnsi="Calibri" w:cs="Calibri"/>
        </w:rPr>
        <w:t>upplement (</w:t>
      </w:r>
      <w:r w:rsidRPr="399FB11E">
        <w:rPr>
          <w:rFonts w:ascii="Calibri" w:eastAsia="Calibri" w:hAnsi="Calibri" w:cs="Calibri"/>
        </w:rPr>
        <w:t>PSID-TAS</w:t>
      </w:r>
      <w:r w:rsidR="00460BE7" w:rsidRPr="399FB11E">
        <w:rPr>
          <w:rFonts w:ascii="Calibri" w:eastAsia="Calibri" w:hAnsi="Calibri" w:cs="Calibri"/>
        </w:rPr>
        <w:t>)</w:t>
      </w:r>
      <w:r w:rsidRPr="399FB11E">
        <w:rPr>
          <w:rFonts w:ascii="Calibri" w:eastAsia="Calibri" w:hAnsi="Calibri" w:cs="Calibri"/>
        </w:rPr>
        <w:t xml:space="preserve"> reveals that w</w:t>
      </w:r>
      <w:r w:rsidR="3FC7476F" w:rsidRPr="399FB11E">
        <w:rPr>
          <w:rFonts w:ascii="Calibri" w:eastAsia="Calibri" w:hAnsi="Calibri" w:cs="Calibri"/>
        </w:rPr>
        <w:t xml:space="preserve">ealth differences are far greater than income differences across racial and ethnic groups </w:t>
      </w:r>
      <w:r w:rsidR="00B53FB0" w:rsidRPr="399FB11E">
        <w:rPr>
          <w:rFonts w:ascii="Calibri" w:eastAsia="Calibri" w:hAnsi="Calibri" w:cs="Calibri"/>
        </w:rPr>
        <w:t>among households with a young adult</w:t>
      </w:r>
      <w:r w:rsidR="3FC7476F" w:rsidRPr="399FB11E">
        <w:rPr>
          <w:rFonts w:ascii="Calibri" w:eastAsia="Calibri" w:hAnsi="Calibri" w:cs="Calibri"/>
        </w:rPr>
        <w:t xml:space="preserve"> (</w:t>
      </w:r>
      <w:r w:rsidR="3FC7476F" w:rsidRPr="00F12147">
        <w:rPr>
          <w:rFonts w:ascii="Calibri" w:eastAsia="Calibri" w:hAnsi="Calibri" w:cs="Calibri"/>
          <w:b/>
          <w:bCs/>
        </w:rPr>
        <w:t>Figure 2</w:t>
      </w:r>
      <w:r w:rsidR="00CF0760">
        <w:rPr>
          <w:rFonts w:ascii="Calibri" w:eastAsia="Calibri" w:hAnsi="Calibri" w:cs="Calibri"/>
          <w:bCs/>
        </w:rPr>
        <w:t xml:space="preserve">; see </w:t>
      </w:r>
      <w:r w:rsidR="00907EE8" w:rsidRPr="399FB11E">
        <w:rPr>
          <w:rFonts w:ascii="Calibri" w:hAnsi="Calibri" w:cs="Calibri"/>
        </w:rPr>
        <w:t>the technical appendix</w:t>
      </w:r>
      <w:r w:rsidR="008B1920">
        <w:rPr>
          <w:rFonts w:ascii="Calibri" w:hAnsi="Calibri" w:cs="Calibri"/>
        </w:rPr>
        <w:t xml:space="preserve"> on page 3</w:t>
      </w:r>
      <w:r w:rsidR="00C06951">
        <w:rPr>
          <w:rFonts w:ascii="Calibri" w:hAnsi="Calibri" w:cs="Calibri"/>
        </w:rPr>
        <w:t>4</w:t>
      </w:r>
      <w:r w:rsidR="00907EE8" w:rsidRPr="399FB11E">
        <w:rPr>
          <w:rFonts w:ascii="Calibri" w:hAnsi="Calibri" w:cs="Calibri"/>
        </w:rPr>
        <w:t xml:space="preserve"> for a detailed discussion of this data source and its limitations)</w:t>
      </w:r>
      <w:r w:rsidR="00006FBC" w:rsidRPr="399FB11E">
        <w:rPr>
          <w:rFonts w:ascii="Calibri" w:hAnsi="Calibri" w:cs="Calibri"/>
        </w:rPr>
        <w:t>.</w:t>
      </w:r>
      <w:r w:rsidR="3FC7476F" w:rsidRPr="399FB11E">
        <w:rPr>
          <w:rFonts w:ascii="Calibri" w:eastAsia="Calibri" w:hAnsi="Calibri" w:cs="Calibri"/>
        </w:rPr>
        <w:t xml:space="preserve"> While the median income for White households is nearly twice as large as that of Black households, their median wealth is 13 times larger. Furthermore, the relatively low wealth of households in the “another race” category demonstrates the pressing need to enhance data systems </w:t>
      </w:r>
      <w:r w:rsidR="00E9745D">
        <w:rPr>
          <w:rFonts w:ascii="Calibri" w:eastAsia="Calibri" w:hAnsi="Calibri" w:cs="Calibri"/>
        </w:rPr>
        <w:t>so they can</w:t>
      </w:r>
      <w:r w:rsidR="00E9745D" w:rsidRPr="399FB11E">
        <w:rPr>
          <w:rFonts w:ascii="Calibri" w:eastAsia="Calibri" w:hAnsi="Calibri" w:cs="Calibri"/>
        </w:rPr>
        <w:t xml:space="preserve"> </w:t>
      </w:r>
      <w:r w:rsidR="6A1BD1E0" w:rsidRPr="1D392DF2">
        <w:rPr>
          <w:rFonts w:ascii="Calibri" w:eastAsia="Calibri" w:hAnsi="Calibri" w:cs="Calibri"/>
        </w:rPr>
        <w:t xml:space="preserve">collect more robust data and enable more detailed </w:t>
      </w:r>
      <w:r w:rsidR="6A1BD1E0" w:rsidRPr="25A16304">
        <w:rPr>
          <w:rFonts w:ascii="Calibri" w:eastAsia="Calibri" w:hAnsi="Calibri" w:cs="Calibri"/>
        </w:rPr>
        <w:t>analyses</w:t>
      </w:r>
      <w:r w:rsidR="3FC7476F" w:rsidRPr="399FB11E">
        <w:rPr>
          <w:rFonts w:ascii="Calibri" w:eastAsia="Calibri" w:hAnsi="Calibri" w:cs="Calibri"/>
        </w:rPr>
        <w:t>.</w:t>
      </w:r>
    </w:p>
    <w:p w14:paraId="11368BB3" w14:textId="370BF930" w:rsidR="480F19E1" w:rsidRDefault="480F19E1" w:rsidP="004B1105"/>
    <w:p w14:paraId="4DBDFCCB" w14:textId="196D490C" w:rsidR="00BA60EF" w:rsidRDefault="3FC7476F" w:rsidP="00DC2E28">
      <w:pPr>
        <w:pStyle w:val="NoSpacing"/>
        <w:rPr>
          <w:b/>
          <w:bCs/>
        </w:rPr>
      </w:pPr>
      <w:r w:rsidRPr="7CD68BD7">
        <w:rPr>
          <w:b/>
          <w:bCs/>
        </w:rPr>
        <w:t xml:space="preserve">Figure </w:t>
      </w:r>
      <w:r w:rsidR="480F19E1" w:rsidRPr="7CD68BD7">
        <w:rPr>
          <w:b/>
          <w:bCs/>
        </w:rPr>
        <w:fldChar w:fldCharType="begin"/>
      </w:r>
      <w:r w:rsidR="480F19E1" w:rsidRPr="7CD68BD7">
        <w:rPr>
          <w:b/>
          <w:bCs/>
        </w:rPr>
        <w:instrText xml:space="preserve"> SEQ Figure \* ARABIC </w:instrText>
      </w:r>
      <w:r w:rsidR="480F19E1" w:rsidRPr="7CD68BD7">
        <w:rPr>
          <w:b/>
          <w:bCs/>
        </w:rPr>
        <w:fldChar w:fldCharType="separate"/>
      </w:r>
      <w:r w:rsidR="00932B97">
        <w:rPr>
          <w:b/>
          <w:bCs/>
          <w:noProof/>
        </w:rPr>
        <w:t>2</w:t>
      </w:r>
      <w:r w:rsidR="480F19E1" w:rsidRPr="7CD68BD7">
        <w:rPr>
          <w:b/>
          <w:bCs/>
        </w:rPr>
        <w:fldChar w:fldCharType="end"/>
      </w:r>
      <w:r w:rsidRPr="7CD68BD7">
        <w:rPr>
          <w:b/>
          <w:bCs/>
        </w:rPr>
        <w:t xml:space="preserve">. </w:t>
      </w:r>
      <w:r w:rsidR="00C32C7B">
        <w:rPr>
          <w:b/>
          <w:bCs/>
        </w:rPr>
        <w:br/>
      </w:r>
      <w:r w:rsidRPr="7CD68BD7">
        <w:rPr>
          <w:b/>
          <w:bCs/>
        </w:rPr>
        <w:t>Median Income and Wealth in 2019</w:t>
      </w:r>
      <w:r w:rsidR="00C32C7B">
        <w:rPr>
          <w:b/>
          <w:bCs/>
        </w:rPr>
        <w:t xml:space="preserve"> Among Households </w:t>
      </w:r>
      <w:proofErr w:type="gramStart"/>
      <w:r w:rsidR="00C32C7B">
        <w:rPr>
          <w:b/>
          <w:bCs/>
        </w:rPr>
        <w:t>With</w:t>
      </w:r>
      <w:proofErr w:type="gramEnd"/>
      <w:r w:rsidR="00C32C7B">
        <w:rPr>
          <w:b/>
          <w:bCs/>
        </w:rPr>
        <w:t xml:space="preserve"> Young Adults</w:t>
      </w:r>
      <w:r w:rsidRPr="7CD68BD7">
        <w:rPr>
          <w:b/>
          <w:bCs/>
        </w:rPr>
        <w:t xml:space="preserve">, by Race </w:t>
      </w:r>
      <w:r w:rsidR="00F251D4">
        <w:rPr>
          <w:b/>
          <w:bCs/>
        </w:rPr>
        <w:t>and</w:t>
      </w:r>
      <w:r w:rsidR="00F251D4" w:rsidRPr="7CD68BD7">
        <w:rPr>
          <w:b/>
          <w:bCs/>
        </w:rPr>
        <w:t xml:space="preserve"> </w:t>
      </w:r>
      <w:r w:rsidRPr="7CD68BD7">
        <w:rPr>
          <w:b/>
          <w:bCs/>
        </w:rPr>
        <w:t>Ethnicity</w:t>
      </w:r>
    </w:p>
    <w:p w14:paraId="3B5B8E0D" w14:textId="37FFDF90" w:rsidR="00F71F20" w:rsidRDefault="00DD4BA1" w:rsidP="00DC2E28">
      <w:pPr>
        <w:pStyle w:val="NoSpacing"/>
      </w:pPr>
      <w:r>
        <w:rPr>
          <w:noProof/>
        </w:rPr>
        <w:drawing>
          <wp:inline distT="0" distB="0" distL="0" distR="0" wp14:anchorId="6E307964" wp14:editId="54EAE75E">
            <wp:extent cx="5175504" cy="3763298"/>
            <wp:effectExtent l="0" t="0" r="0" b="0"/>
            <wp:docPr id="21363057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305763" name="Picture 2136305763"/>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195111" cy="3777555"/>
                    </a:xfrm>
                    <a:prstGeom prst="rect">
                      <a:avLst/>
                    </a:prstGeom>
                  </pic:spPr>
                </pic:pic>
              </a:graphicData>
            </a:graphic>
          </wp:inline>
        </w:drawing>
      </w:r>
    </w:p>
    <w:p w14:paraId="20CDB981" w14:textId="77777777" w:rsidR="00DD4BA1" w:rsidRDefault="00DD4BA1" w:rsidP="00DC2E28">
      <w:pPr>
        <w:pStyle w:val="NoSpacing"/>
      </w:pPr>
    </w:p>
    <w:p w14:paraId="43D87943" w14:textId="77777777" w:rsidR="00762952" w:rsidRDefault="00762952" w:rsidP="004B1105"/>
    <w:p w14:paraId="6D4AF8A0" w14:textId="71786FC1" w:rsidR="480F19E1" w:rsidRDefault="3FC7476F" w:rsidP="004B1105">
      <w:pPr>
        <w:spacing w:line="257" w:lineRule="auto"/>
        <w:ind w:right="-20"/>
        <w:rPr>
          <w:rFonts w:eastAsia="Calibri" w:cstheme="minorBidi"/>
        </w:rPr>
      </w:pPr>
      <w:r w:rsidRPr="7CD68BD7">
        <w:rPr>
          <w:rFonts w:eastAsia="Calibri" w:cstheme="minorBidi"/>
        </w:rPr>
        <w:t>Even for individuals with similar incomes, large disparities in median wealth exist across racial and ethnic groups (</w:t>
      </w:r>
      <w:r w:rsidR="002C6601">
        <w:rPr>
          <w:rFonts w:eastAsia="Calibri" w:cstheme="minorBidi"/>
        </w:rPr>
        <w:fldChar w:fldCharType="begin"/>
      </w:r>
      <w:r w:rsidR="002C6601">
        <w:rPr>
          <w:rFonts w:eastAsia="Calibri" w:cstheme="minorBidi"/>
        </w:rPr>
        <w:instrText xml:space="preserve"> REF _Ref160791834 \h </w:instrText>
      </w:r>
      <w:r w:rsidR="004B1105">
        <w:rPr>
          <w:rFonts w:eastAsia="Calibri" w:cstheme="minorBidi"/>
        </w:rPr>
        <w:instrText xml:space="preserve"> \* MERGEFORMAT </w:instrText>
      </w:r>
      <w:r w:rsidR="002C6601">
        <w:rPr>
          <w:rFonts w:eastAsia="Calibri" w:cstheme="minorBidi"/>
        </w:rPr>
      </w:r>
      <w:r w:rsidR="002C6601">
        <w:rPr>
          <w:rFonts w:eastAsia="Calibri" w:cstheme="minorBidi"/>
        </w:rPr>
        <w:fldChar w:fldCharType="separate"/>
      </w:r>
      <w:r w:rsidR="00932B97" w:rsidRPr="7CD68BD7">
        <w:rPr>
          <w:b/>
          <w:bCs/>
        </w:rPr>
        <w:t xml:space="preserve">Figure </w:t>
      </w:r>
      <w:r w:rsidR="00932B97">
        <w:rPr>
          <w:b/>
          <w:bCs/>
          <w:noProof/>
        </w:rPr>
        <w:t>3</w:t>
      </w:r>
      <w:r w:rsidR="002C6601">
        <w:rPr>
          <w:rFonts w:eastAsia="Calibri" w:cstheme="minorBidi"/>
        </w:rPr>
        <w:fldChar w:fldCharType="end"/>
      </w:r>
      <w:r w:rsidRPr="7CD68BD7">
        <w:rPr>
          <w:rFonts w:eastAsia="Calibri" w:cstheme="minorBidi"/>
        </w:rPr>
        <w:t>). For example, among households with the lowest incomes, the median wealth of Black households is $0, far lower than that of their Latinx ($4,900), White ($2,840), and peers of another race ($2,000). This means</w:t>
      </w:r>
      <w:r w:rsidR="009B1600">
        <w:rPr>
          <w:rFonts w:eastAsia="Calibri" w:cstheme="minorBidi"/>
        </w:rPr>
        <w:t xml:space="preserve"> that</w:t>
      </w:r>
      <w:r w:rsidRPr="7CD68BD7">
        <w:rPr>
          <w:rFonts w:eastAsia="Calibri" w:cstheme="minorBidi"/>
        </w:rPr>
        <w:t xml:space="preserve"> at least half of Black families from the </w:t>
      </w:r>
      <w:r w:rsidR="00F37CB2" w:rsidRPr="7CD68BD7">
        <w:rPr>
          <w:rFonts w:eastAsia="Calibri" w:cstheme="minorBidi"/>
        </w:rPr>
        <w:t>lowest</w:t>
      </w:r>
      <w:r w:rsidR="00F37CB2">
        <w:rPr>
          <w:rFonts w:eastAsia="Calibri" w:cstheme="minorBidi"/>
        </w:rPr>
        <w:t>-</w:t>
      </w:r>
      <w:r w:rsidRPr="7CD68BD7">
        <w:rPr>
          <w:rFonts w:eastAsia="Calibri" w:cstheme="minorBidi"/>
        </w:rPr>
        <w:t xml:space="preserve">income households have no wealth to draw from and may be in debt. This trend is also true for the </w:t>
      </w:r>
      <w:r w:rsidR="00F37CB2" w:rsidRPr="7CD68BD7">
        <w:rPr>
          <w:rFonts w:eastAsia="Calibri" w:cstheme="minorBidi"/>
        </w:rPr>
        <w:t>highest</w:t>
      </w:r>
      <w:r w:rsidR="00F37CB2">
        <w:rPr>
          <w:rFonts w:eastAsia="Calibri" w:cstheme="minorBidi"/>
        </w:rPr>
        <w:t>-</w:t>
      </w:r>
      <w:r w:rsidRPr="7CD68BD7">
        <w:rPr>
          <w:rFonts w:eastAsia="Calibri" w:cstheme="minorBidi"/>
        </w:rPr>
        <w:t>earning households</w:t>
      </w:r>
      <w:r w:rsidR="004E0CF4">
        <w:rPr>
          <w:rFonts w:eastAsia="Calibri" w:cstheme="minorBidi"/>
        </w:rPr>
        <w:t>,</w:t>
      </w:r>
      <w:r w:rsidRPr="7CD68BD7">
        <w:rPr>
          <w:rFonts w:eastAsia="Calibri" w:cstheme="minorBidi"/>
        </w:rPr>
        <w:t xml:space="preserve"> which hold </w:t>
      </w:r>
      <w:proofErr w:type="gramStart"/>
      <w:r w:rsidRPr="7CD68BD7">
        <w:rPr>
          <w:rFonts w:eastAsia="Calibri" w:cstheme="minorBidi"/>
        </w:rPr>
        <w:t>the vast majority of</w:t>
      </w:r>
      <w:proofErr w:type="gramEnd"/>
      <w:r w:rsidRPr="7CD68BD7">
        <w:rPr>
          <w:rFonts w:eastAsia="Calibri" w:cstheme="minorBidi"/>
        </w:rPr>
        <w:t xml:space="preserve"> wealth. The highest-income Black households hold only roughly three-quarters of the wealth of the highest-income Latinx households and half the wealth of the highest-income White households. Clearly, income does not tell the entire story of a household’s financial health and ability to pay for college. </w:t>
      </w:r>
    </w:p>
    <w:p w14:paraId="68FABC0E" w14:textId="77777777" w:rsidR="00251D04" w:rsidRDefault="00251D04">
      <w:pPr>
        <w:spacing w:after="160" w:line="259" w:lineRule="auto"/>
        <w:rPr>
          <w:rFonts w:eastAsiaTheme="minorEastAsia" w:cstheme="minorBidi"/>
          <w:b/>
          <w:bCs/>
        </w:rPr>
      </w:pPr>
    </w:p>
    <w:p w14:paraId="0734CF9A" w14:textId="77777777" w:rsidR="00251D04" w:rsidRDefault="00251D04">
      <w:pPr>
        <w:spacing w:after="160" w:line="259" w:lineRule="auto"/>
        <w:rPr>
          <w:rFonts w:eastAsiaTheme="minorEastAsia" w:cstheme="minorBidi"/>
          <w:b/>
          <w:bCs/>
        </w:rPr>
      </w:pPr>
    </w:p>
    <w:p w14:paraId="44BA32BB" w14:textId="77777777" w:rsidR="00251D04" w:rsidRDefault="00251D04">
      <w:pPr>
        <w:spacing w:after="160" w:line="259" w:lineRule="auto"/>
        <w:rPr>
          <w:rFonts w:eastAsiaTheme="minorEastAsia" w:cstheme="minorBidi"/>
          <w:b/>
          <w:bCs/>
        </w:rPr>
      </w:pPr>
    </w:p>
    <w:p w14:paraId="43120066" w14:textId="325D5EA8" w:rsidR="00E25FC2" w:rsidRDefault="3FC7476F" w:rsidP="004B1105">
      <w:bookmarkStart w:id="23" w:name="_Ref160094276"/>
      <w:bookmarkStart w:id="24" w:name="_Ref160791834"/>
      <w:r w:rsidRPr="7CD68BD7">
        <w:rPr>
          <w:b/>
          <w:bCs/>
        </w:rPr>
        <w:t xml:space="preserve">Figure </w:t>
      </w:r>
      <w:r w:rsidR="480F19E1" w:rsidRPr="7CD68BD7">
        <w:rPr>
          <w:rFonts w:eastAsiaTheme="minorHAnsi" w:cstheme="minorBidi"/>
          <w:b/>
          <w:bCs/>
          <w:szCs w:val="22"/>
        </w:rPr>
        <w:fldChar w:fldCharType="begin"/>
      </w:r>
      <w:r w:rsidR="480F19E1" w:rsidRPr="7CD68BD7">
        <w:rPr>
          <w:b/>
          <w:bCs/>
        </w:rPr>
        <w:instrText xml:space="preserve"> SEQ Figure \* ARABIC </w:instrText>
      </w:r>
      <w:r w:rsidR="480F19E1" w:rsidRPr="7CD68BD7">
        <w:rPr>
          <w:rFonts w:eastAsiaTheme="minorHAnsi" w:cstheme="minorBidi"/>
          <w:b/>
          <w:bCs/>
          <w:szCs w:val="22"/>
        </w:rPr>
        <w:fldChar w:fldCharType="separate"/>
      </w:r>
      <w:r w:rsidR="00932B97">
        <w:rPr>
          <w:b/>
          <w:bCs/>
          <w:noProof/>
        </w:rPr>
        <w:t>3</w:t>
      </w:r>
      <w:r w:rsidR="480F19E1" w:rsidRPr="7CD68BD7">
        <w:rPr>
          <w:rFonts w:eastAsiaTheme="minorHAnsi" w:cstheme="minorBidi"/>
          <w:b/>
          <w:bCs/>
          <w:szCs w:val="22"/>
        </w:rPr>
        <w:fldChar w:fldCharType="end"/>
      </w:r>
      <w:bookmarkEnd w:id="23"/>
      <w:bookmarkEnd w:id="24"/>
      <w:r w:rsidRPr="7CD68BD7">
        <w:rPr>
          <w:b/>
          <w:bCs/>
        </w:rPr>
        <w:t xml:space="preserve">. </w:t>
      </w:r>
      <w:r w:rsidR="006C6162">
        <w:rPr>
          <w:b/>
          <w:bCs/>
        </w:rPr>
        <w:br/>
      </w:r>
      <w:r w:rsidRPr="7CD68BD7">
        <w:rPr>
          <w:b/>
          <w:bCs/>
        </w:rPr>
        <w:t>Median Wealth in 2019</w:t>
      </w:r>
      <w:r w:rsidR="006C6162">
        <w:rPr>
          <w:b/>
          <w:bCs/>
        </w:rPr>
        <w:t xml:space="preserve"> Among Households </w:t>
      </w:r>
      <w:proofErr w:type="gramStart"/>
      <w:r w:rsidR="006C6162">
        <w:rPr>
          <w:b/>
          <w:bCs/>
        </w:rPr>
        <w:t>With</w:t>
      </w:r>
      <w:proofErr w:type="gramEnd"/>
      <w:r w:rsidR="006C6162">
        <w:rPr>
          <w:b/>
          <w:bCs/>
        </w:rPr>
        <w:t xml:space="preserve"> Young Adults</w:t>
      </w:r>
      <w:r w:rsidRPr="7CD68BD7">
        <w:rPr>
          <w:b/>
          <w:bCs/>
        </w:rPr>
        <w:t xml:space="preserve">, by Income, Race </w:t>
      </w:r>
      <w:r w:rsidR="00987A43">
        <w:rPr>
          <w:b/>
          <w:bCs/>
        </w:rPr>
        <w:t>and</w:t>
      </w:r>
      <w:r w:rsidR="00987A43" w:rsidRPr="7CD68BD7">
        <w:rPr>
          <w:b/>
          <w:bCs/>
        </w:rPr>
        <w:t xml:space="preserve"> </w:t>
      </w:r>
      <w:r w:rsidRPr="7CD68BD7">
        <w:rPr>
          <w:b/>
          <w:bCs/>
        </w:rPr>
        <w:t>Ethnicity</w:t>
      </w:r>
    </w:p>
    <w:p w14:paraId="74B0A393" w14:textId="562696DD" w:rsidR="00593A5B" w:rsidRDefault="00C211E1" w:rsidP="004B1105">
      <w:r>
        <w:rPr>
          <w:noProof/>
        </w:rPr>
        <w:drawing>
          <wp:inline distT="0" distB="0" distL="0" distR="0" wp14:anchorId="2176876F" wp14:editId="61B2A7A0">
            <wp:extent cx="5128260" cy="3728398"/>
            <wp:effectExtent l="0" t="0" r="2540" b="5715"/>
            <wp:docPr id="75027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27361" name="Picture 7502736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147239" cy="3742196"/>
                    </a:xfrm>
                    <a:prstGeom prst="rect">
                      <a:avLst/>
                    </a:prstGeom>
                  </pic:spPr>
                </pic:pic>
              </a:graphicData>
            </a:graphic>
          </wp:inline>
        </w:drawing>
      </w:r>
    </w:p>
    <w:p w14:paraId="46C540A6" w14:textId="77777777" w:rsidR="00C211E1" w:rsidRDefault="00C211E1" w:rsidP="004B1105"/>
    <w:p w14:paraId="3A078F64" w14:textId="26CEE446" w:rsidR="005E269D" w:rsidRDefault="00033A07" w:rsidP="004B1105">
      <w:r>
        <w:t xml:space="preserve">By grouping respondents </w:t>
      </w:r>
      <w:r w:rsidR="00644808" w:rsidRPr="00644808">
        <w:t>by household income and wealth</w:t>
      </w:r>
      <w:r w:rsidR="00E06EAC">
        <w:t xml:space="preserve">, </w:t>
      </w:r>
      <w:r w:rsidR="00456B99">
        <w:fldChar w:fldCharType="begin"/>
      </w:r>
      <w:r w:rsidR="00456B99">
        <w:instrText xml:space="preserve"> REF _Ref160101728 \h </w:instrText>
      </w:r>
      <w:r w:rsidR="004B1105">
        <w:instrText xml:space="preserve"> \* MERGEFORMAT </w:instrText>
      </w:r>
      <w:r w:rsidR="00456B99">
        <w:fldChar w:fldCharType="separate"/>
      </w:r>
      <w:r w:rsidR="00932B97" w:rsidRPr="00417AAB">
        <w:rPr>
          <w:b/>
          <w:bCs/>
        </w:rPr>
        <w:t xml:space="preserve">Figure </w:t>
      </w:r>
      <w:r w:rsidR="00932B97">
        <w:rPr>
          <w:b/>
          <w:bCs/>
          <w:noProof/>
        </w:rPr>
        <w:t>4</w:t>
      </w:r>
      <w:r w:rsidR="00456B99">
        <w:fldChar w:fldCharType="end"/>
      </w:r>
      <w:r w:rsidR="00456B99">
        <w:t xml:space="preserve"> </w:t>
      </w:r>
      <w:r w:rsidR="00AF0AA5">
        <w:t xml:space="preserve">illustrates how </w:t>
      </w:r>
      <w:r w:rsidR="00CC05EF">
        <w:t xml:space="preserve">income and </w:t>
      </w:r>
      <w:r w:rsidR="0025586E">
        <w:t xml:space="preserve">wealth </w:t>
      </w:r>
      <w:r w:rsidR="00532F77">
        <w:t xml:space="preserve">vary </w:t>
      </w:r>
      <w:r w:rsidR="00127D60">
        <w:t>between race and ethnicity groups</w:t>
      </w:r>
      <w:r w:rsidR="00A52782">
        <w:t xml:space="preserve"> and illuminates </w:t>
      </w:r>
      <w:r w:rsidR="00D915AF">
        <w:t xml:space="preserve">notable </w:t>
      </w:r>
      <w:r w:rsidR="005C009C">
        <w:t>disparities in economic circumstances</w:t>
      </w:r>
      <w:r w:rsidR="004C3FD2">
        <w:t>, especially between Black and White individuals</w:t>
      </w:r>
      <w:r w:rsidR="00127D60">
        <w:t>.</w:t>
      </w:r>
      <w:r w:rsidR="00C00A3D">
        <w:rPr>
          <w:rStyle w:val="EndnoteReference"/>
        </w:rPr>
        <w:endnoteReference w:id="57"/>
      </w:r>
      <w:r w:rsidR="00127D60">
        <w:t xml:space="preserve"> For example, </w:t>
      </w:r>
      <w:r w:rsidR="00456B99">
        <w:t xml:space="preserve">more than a </w:t>
      </w:r>
      <w:r w:rsidR="00127D60">
        <w:t>quarter of Black young</w:t>
      </w:r>
      <w:r w:rsidR="002338A1">
        <w:t xml:space="preserve"> </w:t>
      </w:r>
      <w:r w:rsidR="00127D60">
        <w:t xml:space="preserve">adults </w:t>
      </w:r>
      <w:r w:rsidR="00456B99">
        <w:t>(26</w:t>
      </w:r>
      <w:r w:rsidR="00D61843">
        <w:t xml:space="preserve"> percent) </w:t>
      </w:r>
      <w:r w:rsidR="00715188">
        <w:t>are from low-income and low-wealth backgrounds, while nearly half (</w:t>
      </w:r>
      <w:r w:rsidR="00456B99">
        <w:t>48</w:t>
      </w:r>
      <w:r w:rsidR="00AB4E46">
        <w:t xml:space="preserve"> percent) </w:t>
      </w:r>
      <w:r w:rsidR="00456B99">
        <w:t xml:space="preserve">of White individuals are from </w:t>
      </w:r>
      <w:r w:rsidR="00CA1870">
        <w:t>high-</w:t>
      </w:r>
      <w:r w:rsidR="00456B99">
        <w:t xml:space="preserve">income and </w:t>
      </w:r>
      <w:r w:rsidR="00CA1870">
        <w:t>high-</w:t>
      </w:r>
      <w:r w:rsidR="00456B99">
        <w:t>wealth backgrounds.</w:t>
      </w:r>
    </w:p>
    <w:p w14:paraId="688AE9EA" w14:textId="77777777" w:rsidR="005E269D" w:rsidRPr="00273788" w:rsidRDefault="005E269D" w:rsidP="004B1105">
      <w:pPr>
        <w:rPr>
          <w:szCs w:val="22"/>
        </w:rPr>
      </w:pPr>
    </w:p>
    <w:tbl>
      <w:tblPr>
        <w:tblW w:w="0" w:type="auto"/>
        <w:tblLayout w:type="fixed"/>
        <w:tblLook w:val="04A0" w:firstRow="1" w:lastRow="0" w:firstColumn="1" w:lastColumn="0" w:noHBand="0" w:noVBand="1"/>
      </w:tblPr>
      <w:tblGrid>
        <w:gridCol w:w="1440"/>
        <w:gridCol w:w="1620"/>
        <w:gridCol w:w="1080"/>
        <w:gridCol w:w="1130"/>
        <w:gridCol w:w="1180"/>
        <w:gridCol w:w="1020"/>
        <w:gridCol w:w="41"/>
        <w:gridCol w:w="85"/>
      </w:tblGrid>
      <w:tr w:rsidR="00F03AAF" w:rsidRPr="00B4512D" w14:paraId="110EC0FF" w14:textId="77777777" w:rsidTr="00E00D1C">
        <w:trPr>
          <w:gridAfter w:val="1"/>
          <w:wAfter w:w="85" w:type="dxa"/>
          <w:trHeight w:val="340"/>
          <w:tblHeader/>
        </w:trPr>
        <w:tc>
          <w:tcPr>
            <w:tcW w:w="7511" w:type="dxa"/>
            <w:gridSpan w:val="7"/>
            <w:tcBorders>
              <w:top w:val="nil"/>
              <w:left w:val="nil"/>
              <w:bottom w:val="single" w:sz="8" w:space="0" w:color="auto"/>
              <w:right w:val="nil"/>
            </w:tcBorders>
            <w:shd w:val="clear" w:color="auto" w:fill="FFFFFF" w:themeFill="background1"/>
            <w:noWrap/>
            <w:vAlign w:val="bottom"/>
            <w:hideMark/>
          </w:tcPr>
          <w:p w14:paraId="369F1C55" w14:textId="51865C88" w:rsidR="00364FB5" w:rsidRPr="00267287" w:rsidRDefault="00267287" w:rsidP="004B1105">
            <w:pPr>
              <w:rPr>
                <w:rFonts w:ascii="Calibri" w:hAnsi="Calibri" w:cs="Calibri"/>
                <w:b/>
                <w:bCs/>
                <w:color w:val="000000"/>
              </w:rPr>
            </w:pPr>
            <w:bookmarkStart w:id="25" w:name="_Ref160101728"/>
            <w:bookmarkEnd w:id="21"/>
            <w:r w:rsidRPr="00417AAB">
              <w:rPr>
                <w:b/>
                <w:bCs/>
              </w:rPr>
              <w:t xml:space="preserve">Figure </w:t>
            </w:r>
            <w:r w:rsidRPr="00417AAB">
              <w:rPr>
                <w:b/>
                <w:bCs/>
              </w:rPr>
              <w:fldChar w:fldCharType="begin"/>
            </w:r>
            <w:r w:rsidRPr="00417AAB">
              <w:rPr>
                <w:b/>
                <w:bCs/>
              </w:rPr>
              <w:instrText xml:space="preserve"> SEQ Figure \* ARABIC </w:instrText>
            </w:r>
            <w:r w:rsidRPr="00417AAB">
              <w:rPr>
                <w:b/>
                <w:bCs/>
              </w:rPr>
              <w:fldChar w:fldCharType="separate"/>
            </w:r>
            <w:r w:rsidR="00932B97">
              <w:rPr>
                <w:b/>
                <w:bCs/>
                <w:noProof/>
              </w:rPr>
              <w:t>4</w:t>
            </w:r>
            <w:r w:rsidRPr="00417AAB">
              <w:rPr>
                <w:b/>
                <w:bCs/>
              </w:rPr>
              <w:fldChar w:fldCharType="end"/>
            </w:r>
            <w:bookmarkEnd w:id="25"/>
            <w:r w:rsidRPr="00417AAB">
              <w:rPr>
                <w:b/>
                <w:bCs/>
              </w:rPr>
              <w:t>. Heatmap of Income and Wealth Groups by Race and Ethnicity</w:t>
            </w:r>
            <w:r w:rsidRPr="00267287" w:rsidDel="00267287">
              <w:rPr>
                <w:rFonts w:ascii="Calibri" w:hAnsi="Calibri" w:cs="Calibri"/>
                <w:b/>
                <w:bCs/>
                <w:color w:val="000000" w:themeColor="text1"/>
              </w:rPr>
              <w:t xml:space="preserve"> </w:t>
            </w:r>
          </w:p>
        </w:tc>
      </w:tr>
      <w:tr w:rsidR="00F03AAF" w:rsidRPr="00B4512D" w14:paraId="63D46544" w14:textId="77777777" w:rsidTr="00E00D1C">
        <w:trPr>
          <w:gridAfter w:val="2"/>
          <w:wAfter w:w="126" w:type="dxa"/>
          <w:trHeight w:val="394"/>
          <w:tblHeader/>
        </w:trPr>
        <w:tc>
          <w:tcPr>
            <w:tcW w:w="1440" w:type="dxa"/>
            <w:tcBorders>
              <w:top w:val="nil"/>
              <w:left w:val="nil"/>
              <w:bottom w:val="single" w:sz="8" w:space="0" w:color="auto"/>
              <w:right w:val="nil"/>
            </w:tcBorders>
            <w:shd w:val="clear" w:color="auto" w:fill="auto"/>
            <w:hideMark/>
          </w:tcPr>
          <w:p w14:paraId="7E0EC17D" w14:textId="77777777" w:rsidR="00364FB5" w:rsidRPr="00B4512D" w:rsidRDefault="00364FB5" w:rsidP="004B1105">
            <w:pPr>
              <w:rPr>
                <w:rFonts w:ascii="Calibri" w:hAnsi="Calibri" w:cs="Calibri"/>
                <w:color w:val="000000"/>
              </w:rPr>
            </w:pPr>
            <w:r w:rsidRPr="399FB11E">
              <w:rPr>
                <w:rFonts w:ascii="Calibri" w:hAnsi="Calibri" w:cs="Calibri"/>
                <w:color w:val="000000" w:themeColor="text1"/>
              </w:rPr>
              <w:t> </w:t>
            </w:r>
          </w:p>
        </w:tc>
        <w:tc>
          <w:tcPr>
            <w:tcW w:w="1620" w:type="dxa"/>
            <w:tcBorders>
              <w:top w:val="nil"/>
              <w:left w:val="nil"/>
              <w:bottom w:val="single" w:sz="8" w:space="0" w:color="auto"/>
              <w:right w:val="nil"/>
            </w:tcBorders>
            <w:shd w:val="clear" w:color="auto" w:fill="auto"/>
            <w:hideMark/>
          </w:tcPr>
          <w:p w14:paraId="1721C3DC" w14:textId="77777777" w:rsidR="00364FB5" w:rsidRPr="00B4512D" w:rsidRDefault="00364FB5" w:rsidP="004B1105">
            <w:pPr>
              <w:rPr>
                <w:rFonts w:ascii="Calibri" w:hAnsi="Calibri" w:cs="Calibri"/>
                <w:color w:val="000000"/>
              </w:rPr>
            </w:pPr>
            <w:r w:rsidRPr="399FB11E">
              <w:rPr>
                <w:rFonts w:ascii="Calibri" w:hAnsi="Calibri" w:cs="Calibri"/>
                <w:color w:val="000000" w:themeColor="text1"/>
              </w:rPr>
              <w:t> </w:t>
            </w:r>
          </w:p>
        </w:tc>
        <w:tc>
          <w:tcPr>
            <w:tcW w:w="1080" w:type="dxa"/>
            <w:tcBorders>
              <w:top w:val="nil"/>
              <w:left w:val="nil"/>
              <w:bottom w:val="single" w:sz="8" w:space="0" w:color="auto"/>
              <w:right w:val="nil"/>
            </w:tcBorders>
            <w:shd w:val="clear" w:color="auto" w:fill="FFFFFF" w:themeFill="background1"/>
            <w:vAlign w:val="bottom"/>
            <w:hideMark/>
          </w:tcPr>
          <w:p w14:paraId="05639489" w14:textId="1CC0E1E3" w:rsidR="00364FB5" w:rsidRPr="00B4512D" w:rsidRDefault="00517A65" w:rsidP="000D3E77">
            <w:pPr>
              <w:rPr>
                <w:rFonts w:ascii="Calibri" w:hAnsi="Calibri" w:cs="Calibri"/>
                <w:color w:val="000000"/>
              </w:rPr>
            </w:pPr>
            <w:r>
              <w:rPr>
                <w:rFonts w:ascii="Calibri" w:hAnsi="Calibri" w:cs="Calibri"/>
                <w:color w:val="000000" w:themeColor="text1"/>
              </w:rPr>
              <w:t>Low</w:t>
            </w:r>
            <w:r w:rsidRPr="399FB11E">
              <w:rPr>
                <w:rFonts w:ascii="Calibri" w:hAnsi="Calibri" w:cs="Calibri"/>
                <w:color w:val="000000" w:themeColor="text1"/>
              </w:rPr>
              <w:t xml:space="preserve"> </w:t>
            </w:r>
            <w:r w:rsidR="00364FB5" w:rsidRPr="399FB11E">
              <w:rPr>
                <w:rFonts w:ascii="Calibri" w:hAnsi="Calibri" w:cs="Calibri"/>
                <w:color w:val="000000" w:themeColor="text1"/>
              </w:rPr>
              <w:t xml:space="preserve">Wealth </w:t>
            </w:r>
          </w:p>
        </w:tc>
        <w:tc>
          <w:tcPr>
            <w:tcW w:w="1130" w:type="dxa"/>
            <w:tcBorders>
              <w:top w:val="nil"/>
              <w:left w:val="nil"/>
              <w:bottom w:val="single" w:sz="8" w:space="0" w:color="auto"/>
              <w:right w:val="nil"/>
            </w:tcBorders>
            <w:shd w:val="clear" w:color="auto" w:fill="FFFFFF" w:themeFill="background1"/>
            <w:vAlign w:val="bottom"/>
            <w:hideMark/>
          </w:tcPr>
          <w:p w14:paraId="5845F56E" w14:textId="03208CD9" w:rsidR="00364FB5" w:rsidRPr="00B4512D" w:rsidRDefault="00364FB5" w:rsidP="000D3E77">
            <w:pPr>
              <w:rPr>
                <w:rFonts w:ascii="Calibri" w:hAnsi="Calibri" w:cs="Calibri"/>
                <w:color w:val="000000"/>
              </w:rPr>
            </w:pPr>
            <w:r w:rsidRPr="399FB11E">
              <w:rPr>
                <w:rFonts w:ascii="Calibri" w:hAnsi="Calibri" w:cs="Calibri"/>
                <w:color w:val="000000" w:themeColor="text1"/>
              </w:rPr>
              <w:t xml:space="preserve">Middle Wealth </w:t>
            </w:r>
          </w:p>
        </w:tc>
        <w:tc>
          <w:tcPr>
            <w:tcW w:w="1180" w:type="dxa"/>
            <w:tcBorders>
              <w:top w:val="nil"/>
              <w:left w:val="nil"/>
              <w:bottom w:val="single" w:sz="8" w:space="0" w:color="auto"/>
              <w:right w:val="nil"/>
            </w:tcBorders>
            <w:shd w:val="clear" w:color="auto" w:fill="FFFFFF" w:themeFill="background1"/>
            <w:vAlign w:val="bottom"/>
            <w:hideMark/>
          </w:tcPr>
          <w:p w14:paraId="0EE55681" w14:textId="48D2F3C9" w:rsidR="00364FB5" w:rsidRPr="00B4512D" w:rsidRDefault="006272D8" w:rsidP="000D3E77">
            <w:pPr>
              <w:rPr>
                <w:rFonts w:ascii="Calibri" w:hAnsi="Calibri" w:cs="Calibri"/>
                <w:color w:val="000000"/>
              </w:rPr>
            </w:pPr>
            <w:r>
              <w:rPr>
                <w:rFonts w:ascii="Calibri" w:hAnsi="Calibri" w:cs="Calibri"/>
                <w:color w:val="000000" w:themeColor="text1"/>
              </w:rPr>
              <w:t>High</w:t>
            </w:r>
            <w:r w:rsidRPr="399FB11E">
              <w:rPr>
                <w:rFonts w:ascii="Calibri" w:hAnsi="Calibri" w:cs="Calibri"/>
                <w:color w:val="000000" w:themeColor="text1"/>
              </w:rPr>
              <w:t xml:space="preserve"> </w:t>
            </w:r>
            <w:r w:rsidR="00364FB5" w:rsidRPr="399FB11E">
              <w:rPr>
                <w:rFonts w:ascii="Calibri" w:hAnsi="Calibri" w:cs="Calibri"/>
                <w:color w:val="000000" w:themeColor="text1"/>
              </w:rPr>
              <w:t xml:space="preserve">Wealth </w:t>
            </w:r>
          </w:p>
        </w:tc>
        <w:tc>
          <w:tcPr>
            <w:tcW w:w="1020" w:type="dxa"/>
            <w:tcBorders>
              <w:top w:val="nil"/>
              <w:left w:val="nil"/>
              <w:bottom w:val="single" w:sz="8" w:space="0" w:color="auto"/>
              <w:right w:val="nil"/>
            </w:tcBorders>
            <w:shd w:val="clear" w:color="auto" w:fill="auto"/>
            <w:noWrap/>
            <w:vAlign w:val="bottom"/>
            <w:hideMark/>
          </w:tcPr>
          <w:p w14:paraId="0F3448AA" w14:textId="5DA6C896" w:rsidR="00364FB5" w:rsidRPr="00B4512D" w:rsidRDefault="00364FB5" w:rsidP="000D3E77">
            <w:pPr>
              <w:rPr>
                <w:rFonts w:ascii="Calibri" w:hAnsi="Calibri" w:cs="Calibri"/>
                <w:color w:val="000000"/>
              </w:rPr>
            </w:pPr>
            <w:r w:rsidRPr="399FB11E">
              <w:rPr>
                <w:rFonts w:ascii="Calibri" w:hAnsi="Calibri" w:cs="Calibri" w:hint="eastAsia"/>
                <w:color w:val="000000" w:themeColor="text1"/>
              </w:rPr>
              <w:t> </w:t>
            </w:r>
            <w:r w:rsidR="00294DF8" w:rsidRPr="399FB11E">
              <w:rPr>
                <w:rFonts w:ascii="Calibri" w:hAnsi="Calibri" w:cs="Calibri"/>
                <w:color w:val="000000" w:themeColor="text1"/>
              </w:rPr>
              <w:t>Total</w:t>
            </w:r>
          </w:p>
        </w:tc>
      </w:tr>
      <w:tr w:rsidR="00F03AAF" w:rsidRPr="00B4512D" w14:paraId="780C86A1" w14:textId="77777777" w:rsidTr="003D6C30">
        <w:trPr>
          <w:gridAfter w:val="2"/>
          <w:wAfter w:w="126" w:type="dxa"/>
          <w:trHeight w:val="320"/>
        </w:trPr>
        <w:tc>
          <w:tcPr>
            <w:tcW w:w="1440" w:type="dxa"/>
            <w:tcBorders>
              <w:top w:val="nil"/>
              <w:left w:val="nil"/>
              <w:bottom w:val="nil"/>
              <w:right w:val="nil"/>
            </w:tcBorders>
            <w:shd w:val="clear" w:color="auto" w:fill="FFFFFF" w:themeFill="background1"/>
            <w:noWrap/>
            <w:vAlign w:val="center"/>
            <w:hideMark/>
          </w:tcPr>
          <w:p w14:paraId="663DD4CA" w14:textId="2539C016" w:rsidR="00364FB5" w:rsidRPr="00B4512D" w:rsidRDefault="00364FB5" w:rsidP="004B1105">
            <w:pPr>
              <w:rPr>
                <w:rFonts w:ascii="Calibri" w:hAnsi="Calibri" w:cs="Calibri"/>
                <w:b/>
                <w:color w:val="000000"/>
              </w:rPr>
            </w:pPr>
          </w:p>
        </w:tc>
        <w:tc>
          <w:tcPr>
            <w:tcW w:w="1620" w:type="dxa"/>
            <w:tcBorders>
              <w:top w:val="nil"/>
              <w:left w:val="nil"/>
              <w:bottom w:val="nil"/>
              <w:right w:val="nil"/>
            </w:tcBorders>
            <w:shd w:val="clear" w:color="auto" w:fill="FFFFFF" w:themeFill="background1"/>
            <w:noWrap/>
            <w:vAlign w:val="center"/>
            <w:hideMark/>
          </w:tcPr>
          <w:p w14:paraId="6D194995" w14:textId="1FE9BDD5" w:rsidR="00364FB5" w:rsidRPr="00B4512D" w:rsidRDefault="00A273C8" w:rsidP="004B1105">
            <w:pPr>
              <w:rPr>
                <w:rFonts w:ascii="Calibri" w:hAnsi="Calibri" w:cs="Calibri"/>
                <w:color w:val="000000"/>
              </w:rPr>
            </w:pPr>
            <w:r>
              <w:rPr>
                <w:rFonts w:ascii="Calibri" w:hAnsi="Calibri" w:cs="Calibri"/>
                <w:color w:val="000000" w:themeColor="text1"/>
              </w:rPr>
              <w:t>Low</w:t>
            </w:r>
            <w:r w:rsidRPr="399FB11E">
              <w:rPr>
                <w:rFonts w:ascii="Calibri" w:hAnsi="Calibri" w:cs="Calibri"/>
                <w:color w:val="000000" w:themeColor="text1"/>
              </w:rPr>
              <w:t xml:space="preserve"> </w:t>
            </w:r>
            <w:r w:rsidR="00364FB5" w:rsidRPr="399FB11E">
              <w:rPr>
                <w:rFonts w:ascii="Calibri" w:hAnsi="Calibri" w:cs="Calibri"/>
                <w:color w:val="000000" w:themeColor="text1"/>
              </w:rPr>
              <w:t xml:space="preserve">Income </w:t>
            </w:r>
          </w:p>
        </w:tc>
        <w:tc>
          <w:tcPr>
            <w:tcW w:w="1080" w:type="dxa"/>
            <w:tcBorders>
              <w:top w:val="single" w:sz="8" w:space="0" w:color="auto"/>
              <w:left w:val="nil"/>
              <w:bottom w:val="nil"/>
              <w:right w:val="nil"/>
            </w:tcBorders>
            <w:shd w:val="clear" w:color="auto" w:fill="BF7B8B"/>
            <w:noWrap/>
            <w:vAlign w:val="bottom"/>
            <w:hideMark/>
          </w:tcPr>
          <w:p w14:paraId="7E28D129" w14:textId="77777777" w:rsidR="00364FB5" w:rsidRPr="00B4512D" w:rsidRDefault="00364FB5" w:rsidP="000D3E77">
            <w:pPr>
              <w:rPr>
                <w:rFonts w:ascii="Calibri" w:hAnsi="Calibri" w:cs="Calibri"/>
                <w:color w:val="000000"/>
              </w:rPr>
            </w:pPr>
            <w:r w:rsidRPr="399FB11E">
              <w:rPr>
                <w:rFonts w:ascii="Calibri" w:hAnsi="Calibri" w:cs="Calibri"/>
                <w:color w:val="000000" w:themeColor="text1"/>
              </w:rPr>
              <w:t>25.5%</w:t>
            </w:r>
          </w:p>
        </w:tc>
        <w:tc>
          <w:tcPr>
            <w:tcW w:w="1130" w:type="dxa"/>
            <w:tcBorders>
              <w:top w:val="single" w:sz="8" w:space="0" w:color="auto"/>
              <w:left w:val="nil"/>
              <w:bottom w:val="nil"/>
              <w:right w:val="nil"/>
            </w:tcBorders>
            <w:shd w:val="clear" w:color="auto" w:fill="DBB5BE"/>
            <w:noWrap/>
            <w:vAlign w:val="bottom"/>
            <w:hideMark/>
          </w:tcPr>
          <w:p w14:paraId="7EED11A5" w14:textId="77777777" w:rsidR="00364FB5" w:rsidRPr="00B4512D" w:rsidRDefault="00364FB5" w:rsidP="000D3E77">
            <w:pPr>
              <w:rPr>
                <w:rFonts w:ascii="Calibri" w:hAnsi="Calibri" w:cs="Calibri"/>
                <w:color w:val="000000"/>
              </w:rPr>
            </w:pPr>
            <w:r w:rsidRPr="399FB11E">
              <w:rPr>
                <w:rFonts w:ascii="Calibri" w:hAnsi="Calibri" w:cs="Calibri"/>
                <w:color w:val="000000" w:themeColor="text1"/>
              </w:rPr>
              <w:t>15.0%</w:t>
            </w:r>
          </w:p>
        </w:tc>
        <w:tc>
          <w:tcPr>
            <w:tcW w:w="1180" w:type="dxa"/>
            <w:tcBorders>
              <w:top w:val="single" w:sz="8" w:space="0" w:color="auto"/>
              <w:left w:val="nil"/>
              <w:bottom w:val="nil"/>
              <w:right w:val="nil"/>
            </w:tcBorders>
            <w:shd w:val="clear" w:color="auto" w:fill="F9F3F4"/>
            <w:noWrap/>
            <w:vAlign w:val="bottom"/>
            <w:hideMark/>
          </w:tcPr>
          <w:p w14:paraId="67CADB9A" w14:textId="77777777" w:rsidR="00364FB5" w:rsidRPr="00B4512D" w:rsidRDefault="00364FB5" w:rsidP="000D3E77">
            <w:pPr>
              <w:rPr>
                <w:rFonts w:ascii="Calibri" w:hAnsi="Calibri" w:cs="Calibri"/>
                <w:color w:val="000000"/>
              </w:rPr>
            </w:pPr>
            <w:r w:rsidRPr="399FB11E">
              <w:rPr>
                <w:rFonts w:ascii="Calibri" w:hAnsi="Calibri" w:cs="Calibri"/>
                <w:color w:val="000000" w:themeColor="text1"/>
              </w:rPr>
              <w:t>3.8%</w:t>
            </w:r>
          </w:p>
        </w:tc>
        <w:tc>
          <w:tcPr>
            <w:tcW w:w="1020" w:type="dxa"/>
            <w:tcBorders>
              <w:top w:val="nil"/>
              <w:left w:val="nil"/>
              <w:bottom w:val="nil"/>
              <w:right w:val="nil"/>
            </w:tcBorders>
            <w:shd w:val="clear" w:color="auto" w:fill="auto"/>
            <w:noWrap/>
            <w:vAlign w:val="center"/>
            <w:hideMark/>
          </w:tcPr>
          <w:p w14:paraId="6C579C1A" w14:textId="77777777" w:rsidR="00364FB5" w:rsidRPr="00B4512D" w:rsidRDefault="00364FB5" w:rsidP="004B1105">
            <w:pPr>
              <w:rPr>
                <w:rFonts w:ascii="Calibri" w:hAnsi="Calibri" w:cs="Calibri"/>
                <w:color w:val="000000"/>
              </w:rPr>
            </w:pPr>
            <w:r w:rsidRPr="399FB11E">
              <w:rPr>
                <w:rFonts w:ascii="Calibri" w:hAnsi="Calibri" w:cs="Calibri" w:hint="eastAsia"/>
                <w:color w:val="000000" w:themeColor="text1"/>
              </w:rPr>
              <w:t> </w:t>
            </w:r>
          </w:p>
        </w:tc>
      </w:tr>
      <w:tr w:rsidR="00F03AAF" w:rsidRPr="00B4512D" w14:paraId="1996BB20" w14:textId="77777777" w:rsidTr="003D6C30">
        <w:trPr>
          <w:gridAfter w:val="2"/>
          <w:wAfter w:w="126" w:type="dxa"/>
          <w:trHeight w:val="320"/>
        </w:trPr>
        <w:tc>
          <w:tcPr>
            <w:tcW w:w="1440" w:type="dxa"/>
            <w:tcBorders>
              <w:top w:val="nil"/>
              <w:left w:val="nil"/>
              <w:bottom w:val="nil"/>
              <w:right w:val="nil"/>
            </w:tcBorders>
            <w:shd w:val="clear" w:color="auto" w:fill="FFFFFF" w:themeFill="background1"/>
            <w:noWrap/>
            <w:vAlign w:val="bottom"/>
            <w:hideMark/>
          </w:tcPr>
          <w:p w14:paraId="1395D1FE" w14:textId="3C34BC14" w:rsidR="00364FB5" w:rsidRPr="00E00D1C" w:rsidRDefault="00364FB5" w:rsidP="004B1105">
            <w:pPr>
              <w:rPr>
                <w:rFonts w:ascii="Calibri" w:hAnsi="Calibri" w:cs="Calibri"/>
                <w:bCs/>
                <w:color w:val="000000"/>
              </w:rPr>
            </w:pPr>
            <w:r w:rsidRPr="399FB11E">
              <w:rPr>
                <w:rFonts w:ascii="Calibri" w:hAnsi="Calibri" w:cs="Calibri"/>
                <w:b/>
                <w:color w:val="000000" w:themeColor="text1"/>
              </w:rPr>
              <w:t> </w:t>
            </w:r>
            <w:r w:rsidR="00C71AC7" w:rsidRPr="00C71AC7">
              <w:rPr>
                <w:rFonts w:ascii="Calibri" w:hAnsi="Calibri" w:cs="Calibri"/>
                <w:bCs/>
                <w:color w:val="000000" w:themeColor="text1"/>
              </w:rPr>
              <w:t>Black</w:t>
            </w:r>
          </w:p>
        </w:tc>
        <w:tc>
          <w:tcPr>
            <w:tcW w:w="1620" w:type="dxa"/>
            <w:tcBorders>
              <w:top w:val="nil"/>
              <w:left w:val="nil"/>
              <w:bottom w:val="nil"/>
              <w:right w:val="nil"/>
            </w:tcBorders>
            <w:shd w:val="clear" w:color="auto" w:fill="FFFFFF" w:themeFill="background1"/>
            <w:noWrap/>
            <w:vAlign w:val="center"/>
            <w:hideMark/>
          </w:tcPr>
          <w:p w14:paraId="75A5A85B" w14:textId="4DD9401F" w:rsidR="00364FB5" w:rsidRPr="00B4512D" w:rsidRDefault="00364FB5" w:rsidP="004B1105">
            <w:pPr>
              <w:rPr>
                <w:rFonts w:ascii="Calibri" w:hAnsi="Calibri" w:cs="Calibri"/>
                <w:color w:val="000000"/>
              </w:rPr>
            </w:pPr>
            <w:r w:rsidRPr="399FB11E">
              <w:rPr>
                <w:rFonts w:ascii="Calibri" w:hAnsi="Calibri" w:cs="Calibri"/>
                <w:color w:val="000000" w:themeColor="text1"/>
              </w:rPr>
              <w:t xml:space="preserve">Middle Income </w:t>
            </w:r>
          </w:p>
        </w:tc>
        <w:tc>
          <w:tcPr>
            <w:tcW w:w="1080" w:type="dxa"/>
            <w:tcBorders>
              <w:top w:val="nil"/>
              <w:left w:val="nil"/>
              <w:bottom w:val="nil"/>
              <w:right w:val="nil"/>
            </w:tcBorders>
            <w:shd w:val="clear" w:color="auto" w:fill="E7CED4"/>
            <w:noWrap/>
            <w:vAlign w:val="bottom"/>
            <w:hideMark/>
          </w:tcPr>
          <w:p w14:paraId="6F3895E7" w14:textId="77777777" w:rsidR="00364FB5" w:rsidRPr="00B4512D" w:rsidRDefault="00364FB5" w:rsidP="000D3E77">
            <w:pPr>
              <w:rPr>
                <w:rFonts w:ascii="Calibri" w:hAnsi="Calibri" w:cs="Calibri"/>
                <w:color w:val="000000"/>
              </w:rPr>
            </w:pPr>
            <w:r w:rsidRPr="399FB11E">
              <w:rPr>
                <w:rFonts w:ascii="Calibri" w:hAnsi="Calibri" w:cs="Calibri"/>
                <w:color w:val="000000" w:themeColor="text1"/>
              </w:rPr>
              <w:t>10.5%</w:t>
            </w:r>
          </w:p>
        </w:tc>
        <w:tc>
          <w:tcPr>
            <w:tcW w:w="1130" w:type="dxa"/>
            <w:tcBorders>
              <w:top w:val="nil"/>
              <w:left w:val="nil"/>
              <w:bottom w:val="nil"/>
              <w:right w:val="nil"/>
            </w:tcBorders>
            <w:shd w:val="clear" w:color="auto" w:fill="D7ACB6"/>
            <w:noWrap/>
            <w:vAlign w:val="bottom"/>
            <w:hideMark/>
          </w:tcPr>
          <w:p w14:paraId="68DBBFDE" w14:textId="77777777" w:rsidR="00364FB5" w:rsidRPr="00B4512D" w:rsidRDefault="00364FB5" w:rsidP="000D3E77">
            <w:pPr>
              <w:rPr>
                <w:rFonts w:ascii="Calibri" w:hAnsi="Calibri" w:cs="Calibri"/>
                <w:color w:val="000000"/>
              </w:rPr>
            </w:pPr>
            <w:r w:rsidRPr="399FB11E">
              <w:rPr>
                <w:rFonts w:ascii="Calibri" w:hAnsi="Calibri" w:cs="Calibri"/>
                <w:color w:val="000000" w:themeColor="text1"/>
              </w:rPr>
              <w:t>16.6%</w:t>
            </w:r>
          </w:p>
        </w:tc>
        <w:tc>
          <w:tcPr>
            <w:tcW w:w="1180" w:type="dxa"/>
            <w:tcBorders>
              <w:top w:val="nil"/>
              <w:left w:val="nil"/>
              <w:bottom w:val="nil"/>
              <w:right w:val="nil"/>
            </w:tcBorders>
            <w:shd w:val="clear" w:color="auto" w:fill="EFDEE2"/>
            <w:noWrap/>
            <w:vAlign w:val="bottom"/>
            <w:hideMark/>
          </w:tcPr>
          <w:p w14:paraId="515C98B7" w14:textId="77777777" w:rsidR="00364FB5" w:rsidRPr="00B4512D" w:rsidRDefault="00364FB5" w:rsidP="000D3E77">
            <w:pPr>
              <w:rPr>
                <w:rFonts w:ascii="Calibri" w:hAnsi="Calibri" w:cs="Calibri"/>
                <w:color w:val="000000"/>
              </w:rPr>
            </w:pPr>
            <w:r w:rsidRPr="399FB11E">
              <w:rPr>
                <w:rFonts w:ascii="Calibri" w:hAnsi="Calibri" w:cs="Calibri"/>
                <w:color w:val="000000" w:themeColor="text1"/>
              </w:rPr>
              <w:t>7.5%</w:t>
            </w:r>
          </w:p>
        </w:tc>
        <w:tc>
          <w:tcPr>
            <w:tcW w:w="1020" w:type="dxa"/>
            <w:tcBorders>
              <w:top w:val="nil"/>
              <w:left w:val="nil"/>
              <w:bottom w:val="nil"/>
              <w:right w:val="nil"/>
            </w:tcBorders>
            <w:shd w:val="clear" w:color="auto" w:fill="auto"/>
            <w:noWrap/>
            <w:vAlign w:val="center"/>
            <w:hideMark/>
          </w:tcPr>
          <w:p w14:paraId="685B81FD" w14:textId="77777777" w:rsidR="00364FB5" w:rsidRPr="00B4512D" w:rsidRDefault="00364FB5" w:rsidP="000D3E77">
            <w:pPr>
              <w:rPr>
                <w:rFonts w:ascii="Calibri" w:hAnsi="Calibri" w:cs="Calibri"/>
                <w:color w:val="000000"/>
              </w:rPr>
            </w:pPr>
            <w:r w:rsidRPr="399FB11E">
              <w:rPr>
                <w:rFonts w:ascii="Calibri" w:hAnsi="Calibri" w:cs="Calibri"/>
                <w:color w:val="000000" w:themeColor="text1"/>
              </w:rPr>
              <w:t>100%</w:t>
            </w:r>
          </w:p>
        </w:tc>
      </w:tr>
      <w:tr w:rsidR="00F03AAF" w:rsidRPr="00B4512D" w14:paraId="44746217" w14:textId="77777777" w:rsidTr="003D6C30">
        <w:trPr>
          <w:gridAfter w:val="2"/>
          <w:wAfter w:w="126" w:type="dxa"/>
          <w:trHeight w:val="340"/>
        </w:trPr>
        <w:tc>
          <w:tcPr>
            <w:tcW w:w="1440" w:type="dxa"/>
            <w:tcBorders>
              <w:top w:val="nil"/>
              <w:left w:val="nil"/>
              <w:bottom w:val="single" w:sz="8" w:space="0" w:color="auto"/>
              <w:right w:val="nil"/>
            </w:tcBorders>
            <w:shd w:val="clear" w:color="auto" w:fill="FFFFFF" w:themeFill="background1"/>
            <w:noWrap/>
            <w:vAlign w:val="bottom"/>
            <w:hideMark/>
          </w:tcPr>
          <w:p w14:paraId="469589E6" w14:textId="77777777" w:rsidR="00364FB5" w:rsidRPr="00B4512D" w:rsidRDefault="00364FB5" w:rsidP="004B1105">
            <w:pPr>
              <w:rPr>
                <w:rFonts w:ascii="Calibri" w:hAnsi="Calibri" w:cs="Calibri"/>
                <w:b/>
                <w:color w:val="000000"/>
              </w:rPr>
            </w:pPr>
            <w:r w:rsidRPr="399FB11E">
              <w:rPr>
                <w:rFonts w:ascii="Calibri" w:hAnsi="Calibri" w:cs="Calibri"/>
                <w:b/>
                <w:color w:val="000000" w:themeColor="text1"/>
              </w:rPr>
              <w:t> </w:t>
            </w:r>
          </w:p>
        </w:tc>
        <w:tc>
          <w:tcPr>
            <w:tcW w:w="1620" w:type="dxa"/>
            <w:tcBorders>
              <w:top w:val="nil"/>
              <w:left w:val="nil"/>
              <w:bottom w:val="single" w:sz="8" w:space="0" w:color="auto"/>
              <w:right w:val="nil"/>
            </w:tcBorders>
            <w:shd w:val="clear" w:color="auto" w:fill="FFFFFF" w:themeFill="background1"/>
            <w:noWrap/>
            <w:vAlign w:val="center"/>
            <w:hideMark/>
          </w:tcPr>
          <w:p w14:paraId="71D81D22" w14:textId="69E985E0" w:rsidR="00364FB5" w:rsidRPr="00B4512D" w:rsidRDefault="006272D8" w:rsidP="004B1105">
            <w:pPr>
              <w:rPr>
                <w:rFonts w:ascii="Calibri" w:hAnsi="Calibri" w:cs="Calibri"/>
                <w:color w:val="000000"/>
              </w:rPr>
            </w:pPr>
            <w:r>
              <w:rPr>
                <w:rFonts w:ascii="Calibri" w:hAnsi="Calibri" w:cs="Calibri"/>
                <w:color w:val="000000" w:themeColor="text1"/>
              </w:rPr>
              <w:t>High</w:t>
            </w:r>
            <w:r w:rsidRPr="399FB11E">
              <w:rPr>
                <w:rFonts w:ascii="Calibri" w:hAnsi="Calibri" w:cs="Calibri"/>
                <w:color w:val="000000" w:themeColor="text1"/>
              </w:rPr>
              <w:t xml:space="preserve"> </w:t>
            </w:r>
            <w:r w:rsidR="00364FB5" w:rsidRPr="399FB11E">
              <w:rPr>
                <w:rFonts w:ascii="Calibri" w:hAnsi="Calibri" w:cs="Calibri"/>
                <w:color w:val="000000" w:themeColor="text1"/>
              </w:rPr>
              <w:t xml:space="preserve">Income </w:t>
            </w:r>
          </w:p>
        </w:tc>
        <w:tc>
          <w:tcPr>
            <w:tcW w:w="1080" w:type="dxa"/>
            <w:tcBorders>
              <w:top w:val="nil"/>
              <w:left w:val="nil"/>
              <w:bottom w:val="single" w:sz="8" w:space="0" w:color="auto"/>
              <w:right w:val="nil"/>
            </w:tcBorders>
            <w:shd w:val="clear" w:color="auto" w:fill="FBF5F7"/>
            <w:noWrap/>
            <w:vAlign w:val="bottom"/>
            <w:hideMark/>
          </w:tcPr>
          <w:p w14:paraId="0AE2A6BA" w14:textId="77777777" w:rsidR="00364FB5" w:rsidRPr="00B4512D" w:rsidRDefault="00364FB5" w:rsidP="000D3E77">
            <w:pPr>
              <w:rPr>
                <w:rFonts w:ascii="Calibri" w:hAnsi="Calibri" w:cs="Calibri"/>
                <w:color w:val="000000"/>
              </w:rPr>
            </w:pPr>
            <w:r w:rsidRPr="399FB11E">
              <w:rPr>
                <w:rFonts w:ascii="Calibri" w:hAnsi="Calibri" w:cs="Calibri"/>
                <w:color w:val="000000" w:themeColor="text1"/>
              </w:rPr>
              <w:t>3.3%</w:t>
            </w:r>
          </w:p>
        </w:tc>
        <w:tc>
          <w:tcPr>
            <w:tcW w:w="1130" w:type="dxa"/>
            <w:tcBorders>
              <w:top w:val="nil"/>
              <w:left w:val="nil"/>
              <w:bottom w:val="single" w:sz="8" w:space="0" w:color="auto"/>
              <w:right w:val="nil"/>
            </w:tcBorders>
            <w:shd w:val="clear" w:color="auto" w:fill="EFDEE2"/>
            <w:noWrap/>
            <w:vAlign w:val="bottom"/>
            <w:hideMark/>
          </w:tcPr>
          <w:p w14:paraId="3422ED56" w14:textId="77777777" w:rsidR="00364FB5" w:rsidRPr="00B4512D" w:rsidRDefault="00364FB5" w:rsidP="000D3E77">
            <w:pPr>
              <w:rPr>
                <w:rFonts w:ascii="Calibri" w:hAnsi="Calibri" w:cs="Calibri"/>
                <w:color w:val="000000"/>
              </w:rPr>
            </w:pPr>
            <w:r w:rsidRPr="399FB11E">
              <w:rPr>
                <w:rFonts w:ascii="Calibri" w:hAnsi="Calibri" w:cs="Calibri"/>
                <w:color w:val="000000" w:themeColor="text1"/>
              </w:rPr>
              <w:t>7.7%</w:t>
            </w:r>
          </w:p>
        </w:tc>
        <w:tc>
          <w:tcPr>
            <w:tcW w:w="1180" w:type="dxa"/>
            <w:tcBorders>
              <w:top w:val="nil"/>
              <w:left w:val="nil"/>
              <w:bottom w:val="single" w:sz="8" w:space="0" w:color="auto"/>
              <w:right w:val="nil"/>
            </w:tcBorders>
            <w:shd w:val="clear" w:color="auto" w:fill="E9D1D6"/>
            <w:noWrap/>
            <w:vAlign w:val="bottom"/>
            <w:hideMark/>
          </w:tcPr>
          <w:p w14:paraId="3AF7C5D3" w14:textId="77777777" w:rsidR="00364FB5" w:rsidRPr="00B4512D" w:rsidRDefault="00364FB5" w:rsidP="000D3E77">
            <w:pPr>
              <w:rPr>
                <w:rFonts w:ascii="Calibri" w:hAnsi="Calibri" w:cs="Calibri"/>
                <w:color w:val="000000"/>
              </w:rPr>
            </w:pPr>
            <w:r w:rsidRPr="399FB11E">
              <w:rPr>
                <w:rFonts w:ascii="Calibri" w:hAnsi="Calibri" w:cs="Calibri"/>
                <w:color w:val="000000" w:themeColor="text1"/>
              </w:rPr>
              <w:t>10.0%</w:t>
            </w:r>
          </w:p>
        </w:tc>
        <w:tc>
          <w:tcPr>
            <w:tcW w:w="1020" w:type="dxa"/>
            <w:tcBorders>
              <w:top w:val="nil"/>
              <w:left w:val="nil"/>
              <w:bottom w:val="single" w:sz="8" w:space="0" w:color="auto"/>
              <w:right w:val="nil"/>
            </w:tcBorders>
            <w:shd w:val="clear" w:color="auto" w:fill="auto"/>
            <w:noWrap/>
            <w:vAlign w:val="center"/>
            <w:hideMark/>
          </w:tcPr>
          <w:p w14:paraId="4E6CF15D" w14:textId="77777777" w:rsidR="00364FB5" w:rsidRPr="00B4512D" w:rsidRDefault="00364FB5" w:rsidP="004B1105">
            <w:pPr>
              <w:rPr>
                <w:rFonts w:ascii="Calibri" w:hAnsi="Calibri" w:cs="Calibri"/>
                <w:color w:val="000000"/>
              </w:rPr>
            </w:pPr>
            <w:r w:rsidRPr="399FB11E">
              <w:rPr>
                <w:rFonts w:ascii="Calibri" w:hAnsi="Calibri" w:cs="Calibri" w:hint="eastAsia"/>
                <w:color w:val="000000" w:themeColor="text1"/>
              </w:rPr>
              <w:t> </w:t>
            </w:r>
          </w:p>
        </w:tc>
      </w:tr>
      <w:tr w:rsidR="00787BF9" w:rsidRPr="00B4512D" w14:paraId="2A97E1B6" w14:textId="77777777" w:rsidTr="003D6C30">
        <w:trPr>
          <w:gridAfter w:val="2"/>
          <w:wAfter w:w="126" w:type="dxa"/>
          <w:trHeight w:val="320"/>
        </w:trPr>
        <w:tc>
          <w:tcPr>
            <w:tcW w:w="1440" w:type="dxa"/>
            <w:tcBorders>
              <w:top w:val="nil"/>
              <w:left w:val="nil"/>
              <w:bottom w:val="nil"/>
              <w:right w:val="nil"/>
            </w:tcBorders>
            <w:shd w:val="clear" w:color="auto" w:fill="FFFFFF" w:themeFill="background1"/>
            <w:noWrap/>
            <w:vAlign w:val="bottom"/>
            <w:hideMark/>
          </w:tcPr>
          <w:p w14:paraId="3FE3D603" w14:textId="62B2130E" w:rsidR="00787BF9" w:rsidRPr="00B4512D" w:rsidRDefault="00787BF9" w:rsidP="004B1105">
            <w:pPr>
              <w:rPr>
                <w:rFonts w:ascii="Calibri" w:hAnsi="Calibri" w:cs="Calibri"/>
                <w:b/>
                <w:color w:val="000000"/>
              </w:rPr>
            </w:pPr>
          </w:p>
        </w:tc>
        <w:tc>
          <w:tcPr>
            <w:tcW w:w="1620" w:type="dxa"/>
            <w:tcBorders>
              <w:top w:val="nil"/>
              <w:left w:val="nil"/>
              <w:bottom w:val="nil"/>
              <w:right w:val="nil"/>
            </w:tcBorders>
            <w:shd w:val="clear" w:color="auto" w:fill="FFFFFF" w:themeFill="background1"/>
            <w:noWrap/>
            <w:vAlign w:val="center"/>
            <w:hideMark/>
          </w:tcPr>
          <w:p w14:paraId="2295F9C6" w14:textId="0EF67B3F" w:rsidR="00787BF9" w:rsidRPr="00B4512D" w:rsidRDefault="00A273C8" w:rsidP="004B1105">
            <w:pPr>
              <w:rPr>
                <w:rFonts w:ascii="Calibri" w:hAnsi="Calibri" w:cs="Calibri"/>
                <w:color w:val="000000"/>
              </w:rPr>
            </w:pPr>
            <w:r>
              <w:rPr>
                <w:rFonts w:ascii="Calibri" w:hAnsi="Calibri" w:cs="Calibri"/>
                <w:color w:val="000000" w:themeColor="text1"/>
              </w:rPr>
              <w:t>Low</w:t>
            </w:r>
            <w:r w:rsidRPr="399FB11E">
              <w:rPr>
                <w:rFonts w:ascii="Calibri" w:hAnsi="Calibri" w:cs="Calibri"/>
                <w:color w:val="000000" w:themeColor="text1"/>
              </w:rPr>
              <w:t xml:space="preserve"> </w:t>
            </w:r>
            <w:r w:rsidR="00787BF9" w:rsidRPr="399FB11E">
              <w:rPr>
                <w:rFonts w:ascii="Calibri" w:hAnsi="Calibri" w:cs="Calibri"/>
                <w:color w:val="000000" w:themeColor="text1"/>
              </w:rPr>
              <w:t xml:space="preserve">Income </w:t>
            </w:r>
          </w:p>
        </w:tc>
        <w:tc>
          <w:tcPr>
            <w:tcW w:w="1080" w:type="dxa"/>
            <w:tcBorders>
              <w:top w:val="single" w:sz="8" w:space="0" w:color="auto"/>
              <w:left w:val="nil"/>
              <w:bottom w:val="nil"/>
              <w:right w:val="nil"/>
            </w:tcBorders>
            <w:shd w:val="clear" w:color="auto" w:fill="E0BEC6"/>
            <w:noWrap/>
            <w:vAlign w:val="bottom"/>
            <w:hideMark/>
          </w:tcPr>
          <w:p w14:paraId="6E9BDBBF" w14:textId="77777777" w:rsidR="00787BF9" w:rsidRPr="00B4512D" w:rsidRDefault="00787BF9" w:rsidP="000D3E77">
            <w:pPr>
              <w:rPr>
                <w:rFonts w:ascii="Calibri" w:hAnsi="Calibri" w:cs="Calibri"/>
                <w:color w:val="000000"/>
              </w:rPr>
            </w:pPr>
            <w:r w:rsidRPr="399FB11E">
              <w:rPr>
                <w:rFonts w:ascii="Calibri" w:hAnsi="Calibri" w:cs="Calibri"/>
                <w:color w:val="000000" w:themeColor="text1"/>
              </w:rPr>
              <w:t>13.4%</w:t>
            </w:r>
          </w:p>
        </w:tc>
        <w:tc>
          <w:tcPr>
            <w:tcW w:w="1130" w:type="dxa"/>
            <w:tcBorders>
              <w:top w:val="single" w:sz="8" w:space="0" w:color="auto"/>
              <w:left w:val="nil"/>
              <w:bottom w:val="nil"/>
              <w:right w:val="nil"/>
            </w:tcBorders>
            <w:shd w:val="clear" w:color="auto" w:fill="E6CBD2"/>
            <w:noWrap/>
            <w:vAlign w:val="bottom"/>
            <w:hideMark/>
          </w:tcPr>
          <w:p w14:paraId="6C4A1EC7" w14:textId="77777777" w:rsidR="00787BF9" w:rsidRPr="00B4512D" w:rsidRDefault="00787BF9" w:rsidP="000D3E77">
            <w:pPr>
              <w:rPr>
                <w:rFonts w:ascii="Calibri" w:hAnsi="Calibri" w:cs="Calibri"/>
                <w:color w:val="000000"/>
              </w:rPr>
            </w:pPr>
            <w:r w:rsidRPr="399FB11E">
              <w:rPr>
                <w:rFonts w:ascii="Calibri" w:hAnsi="Calibri" w:cs="Calibri"/>
                <w:color w:val="000000" w:themeColor="text1"/>
              </w:rPr>
              <w:t>11.0%</w:t>
            </w:r>
          </w:p>
        </w:tc>
        <w:tc>
          <w:tcPr>
            <w:tcW w:w="1180" w:type="dxa"/>
            <w:tcBorders>
              <w:top w:val="single" w:sz="8" w:space="0" w:color="auto"/>
              <w:left w:val="nil"/>
              <w:bottom w:val="nil"/>
              <w:right w:val="nil"/>
            </w:tcBorders>
            <w:shd w:val="clear" w:color="auto" w:fill="F2E3E7"/>
            <w:noWrap/>
            <w:vAlign w:val="bottom"/>
            <w:hideMark/>
          </w:tcPr>
          <w:p w14:paraId="728BA3D0" w14:textId="77777777" w:rsidR="00787BF9" w:rsidRPr="00B4512D" w:rsidRDefault="00787BF9" w:rsidP="000D3E77">
            <w:pPr>
              <w:rPr>
                <w:rFonts w:ascii="Calibri" w:hAnsi="Calibri" w:cs="Calibri"/>
                <w:color w:val="000000"/>
              </w:rPr>
            </w:pPr>
            <w:r w:rsidRPr="399FB11E">
              <w:rPr>
                <w:rFonts w:ascii="Calibri" w:hAnsi="Calibri" w:cs="Calibri"/>
                <w:color w:val="000000" w:themeColor="text1"/>
              </w:rPr>
              <w:t>6.6%</w:t>
            </w:r>
          </w:p>
        </w:tc>
        <w:tc>
          <w:tcPr>
            <w:tcW w:w="1020" w:type="dxa"/>
            <w:tcBorders>
              <w:top w:val="nil"/>
              <w:left w:val="nil"/>
              <w:bottom w:val="nil"/>
              <w:right w:val="nil"/>
            </w:tcBorders>
            <w:shd w:val="clear" w:color="auto" w:fill="auto"/>
            <w:noWrap/>
            <w:vAlign w:val="center"/>
            <w:hideMark/>
          </w:tcPr>
          <w:p w14:paraId="72185593" w14:textId="77777777" w:rsidR="00787BF9" w:rsidRPr="00B4512D" w:rsidRDefault="00787BF9" w:rsidP="000D3E77">
            <w:pPr>
              <w:rPr>
                <w:rFonts w:ascii="Calibri" w:hAnsi="Calibri" w:cs="Calibri"/>
                <w:color w:val="000000"/>
              </w:rPr>
            </w:pPr>
          </w:p>
        </w:tc>
      </w:tr>
      <w:tr w:rsidR="00787BF9" w:rsidRPr="00B4512D" w14:paraId="5B20B259" w14:textId="77777777" w:rsidTr="003D6C30">
        <w:trPr>
          <w:gridAfter w:val="2"/>
          <w:wAfter w:w="126" w:type="dxa"/>
          <w:trHeight w:val="320"/>
        </w:trPr>
        <w:tc>
          <w:tcPr>
            <w:tcW w:w="1440" w:type="dxa"/>
            <w:tcBorders>
              <w:top w:val="nil"/>
              <w:left w:val="nil"/>
              <w:bottom w:val="nil"/>
              <w:right w:val="nil"/>
            </w:tcBorders>
            <w:shd w:val="clear" w:color="auto" w:fill="FFFFFF" w:themeFill="background1"/>
            <w:noWrap/>
            <w:vAlign w:val="bottom"/>
            <w:hideMark/>
          </w:tcPr>
          <w:p w14:paraId="1FBADFF5" w14:textId="75554C1A" w:rsidR="00787BF9" w:rsidRPr="00E00D1C" w:rsidRDefault="00787BF9" w:rsidP="004B1105">
            <w:pPr>
              <w:rPr>
                <w:rFonts w:ascii="Calibri" w:hAnsi="Calibri" w:cs="Calibri"/>
                <w:bCs/>
                <w:color w:val="000000"/>
              </w:rPr>
            </w:pPr>
            <w:r w:rsidRPr="399FB11E">
              <w:rPr>
                <w:rFonts w:ascii="Calibri" w:hAnsi="Calibri" w:cs="Calibri"/>
                <w:b/>
                <w:color w:val="000000" w:themeColor="text1"/>
              </w:rPr>
              <w:t> </w:t>
            </w:r>
            <w:r w:rsidR="00C71AC7" w:rsidRPr="00C71AC7">
              <w:rPr>
                <w:rFonts w:ascii="Calibri" w:hAnsi="Calibri" w:cs="Calibri"/>
                <w:bCs/>
                <w:color w:val="000000" w:themeColor="text1"/>
              </w:rPr>
              <w:t>Latinx</w:t>
            </w:r>
          </w:p>
        </w:tc>
        <w:tc>
          <w:tcPr>
            <w:tcW w:w="1620" w:type="dxa"/>
            <w:tcBorders>
              <w:top w:val="nil"/>
              <w:left w:val="nil"/>
              <w:bottom w:val="nil"/>
              <w:right w:val="nil"/>
            </w:tcBorders>
            <w:shd w:val="clear" w:color="auto" w:fill="FFFFFF" w:themeFill="background1"/>
            <w:noWrap/>
            <w:vAlign w:val="center"/>
            <w:hideMark/>
          </w:tcPr>
          <w:p w14:paraId="5F2E6F80" w14:textId="370093DF" w:rsidR="00787BF9" w:rsidRPr="00B4512D" w:rsidRDefault="00787BF9" w:rsidP="004B1105">
            <w:pPr>
              <w:rPr>
                <w:rFonts w:ascii="Calibri" w:hAnsi="Calibri" w:cs="Calibri"/>
                <w:color w:val="000000"/>
              </w:rPr>
            </w:pPr>
            <w:r w:rsidRPr="399FB11E">
              <w:rPr>
                <w:rFonts w:ascii="Calibri" w:hAnsi="Calibri" w:cs="Calibri"/>
                <w:color w:val="000000" w:themeColor="text1"/>
              </w:rPr>
              <w:t xml:space="preserve">Middle Income </w:t>
            </w:r>
          </w:p>
        </w:tc>
        <w:tc>
          <w:tcPr>
            <w:tcW w:w="1080" w:type="dxa"/>
            <w:tcBorders>
              <w:top w:val="nil"/>
              <w:left w:val="nil"/>
              <w:bottom w:val="nil"/>
              <w:right w:val="nil"/>
            </w:tcBorders>
            <w:shd w:val="clear" w:color="auto" w:fill="E9D1D6"/>
            <w:noWrap/>
            <w:vAlign w:val="bottom"/>
            <w:hideMark/>
          </w:tcPr>
          <w:p w14:paraId="137875DE" w14:textId="77777777" w:rsidR="00787BF9" w:rsidRPr="00B4512D" w:rsidRDefault="00787BF9" w:rsidP="000D3E77">
            <w:pPr>
              <w:rPr>
                <w:rFonts w:ascii="Calibri" w:hAnsi="Calibri" w:cs="Calibri"/>
                <w:color w:val="000000"/>
              </w:rPr>
            </w:pPr>
            <w:r w:rsidRPr="399FB11E">
              <w:rPr>
                <w:rFonts w:ascii="Calibri" w:hAnsi="Calibri" w:cs="Calibri"/>
                <w:color w:val="000000" w:themeColor="text1"/>
              </w:rPr>
              <w:t>10.0%</w:t>
            </w:r>
          </w:p>
        </w:tc>
        <w:tc>
          <w:tcPr>
            <w:tcW w:w="1130" w:type="dxa"/>
            <w:tcBorders>
              <w:top w:val="nil"/>
              <w:left w:val="nil"/>
              <w:bottom w:val="nil"/>
              <w:right w:val="nil"/>
            </w:tcBorders>
            <w:shd w:val="clear" w:color="auto" w:fill="D1A0AB"/>
            <w:noWrap/>
            <w:vAlign w:val="bottom"/>
            <w:hideMark/>
          </w:tcPr>
          <w:p w14:paraId="0F4E7C80" w14:textId="77777777" w:rsidR="00787BF9" w:rsidRPr="00B4512D" w:rsidRDefault="00787BF9" w:rsidP="000D3E77">
            <w:pPr>
              <w:rPr>
                <w:rFonts w:ascii="Calibri" w:hAnsi="Calibri" w:cs="Calibri"/>
                <w:color w:val="000000"/>
              </w:rPr>
            </w:pPr>
            <w:r w:rsidRPr="399FB11E">
              <w:rPr>
                <w:rFonts w:ascii="Calibri" w:hAnsi="Calibri" w:cs="Calibri"/>
                <w:color w:val="000000" w:themeColor="text1"/>
              </w:rPr>
              <w:t>18.8%</w:t>
            </w:r>
          </w:p>
        </w:tc>
        <w:tc>
          <w:tcPr>
            <w:tcW w:w="1180" w:type="dxa"/>
            <w:tcBorders>
              <w:top w:val="nil"/>
              <w:left w:val="nil"/>
              <w:bottom w:val="nil"/>
              <w:right w:val="nil"/>
            </w:tcBorders>
            <w:shd w:val="clear" w:color="auto" w:fill="DEBAC3"/>
            <w:noWrap/>
            <w:vAlign w:val="bottom"/>
            <w:hideMark/>
          </w:tcPr>
          <w:p w14:paraId="510AEC7A" w14:textId="77777777" w:rsidR="00787BF9" w:rsidRPr="00B4512D" w:rsidRDefault="00787BF9" w:rsidP="000D3E77">
            <w:pPr>
              <w:rPr>
                <w:rFonts w:ascii="Calibri" w:hAnsi="Calibri" w:cs="Calibri"/>
                <w:color w:val="000000"/>
              </w:rPr>
            </w:pPr>
            <w:r w:rsidRPr="399FB11E">
              <w:rPr>
                <w:rFonts w:ascii="Calibri" w:hAnsi="Calibri" w:cs="Calibri"/>
                <w:color w:val="000000" w:themeColor="text1"/>
              </w:rPr>
              <w:t>14.0%</w:t>
            </w:r>
          </w:p>
        </w:tc>
        <w:tc>
          <w:tcPr>
            <w:tcW w:w="1020" w:type="dxa"/>
            <w:tcBorders>
              <w:top w:val="nil"/>
              <w:left w:val="nil"/>
              <w:bottom w:val="nil"/>
              <w:right w:val="nil"/>
            </w:tcBorders>
            <w:shd w:val="clear" w:color="auto" w:fill="auto"/>
            <w:noWrap/>
            <w:vAlign w:val="center"/>
            <w:hideMark/>
          </w:tcPr>
          <w:p w14:paraId="2B1EE415" w14:textId="77777777" w:rsidR="00787BF9" w:rsidRPr="00B4512D" w:rsidRDefault="00787BF9" w:rsidP="000D3E77">
            <w:pPr>
              <w:rPr>
                <w:rFonts w:ascii="Calibri" w:hAnsi="Calibri" w:cs="Calibri"/>
                <w:color w:val="000000"/>
              </w:rPr>
            </w:pPr>
            <w:r w:rsidRPr="399FB11E">
              <w:rPr>
                <w:rFonts w:ascii="Calibri" w:hAnsi="Calibri" w:cs="Calibri"/>
                <w:color w:val="000000" w:themeColor="text1"/>
              </w:rPr>
              <w:t>100%</w:t>
            </w:r>
          </w:p>
        </w:tc>
      </w:tr>
      <w:tr w:rsidR="00787BF9" w:rsidRPr="00B4512D" w14:paraId="3E196821" w14:textId="77777777" w:rsidTr="003D6C30">
        <w:trPr>
          <w:gridAfter w:val="2"/>
          <w:wAfter w:w="126" w:type="dxa"/>
          <w:trHeight w:val="340"/>
        </w:trPr>
        <w:tc>
          <w:tcPr>
            <w:tcW w:w="1440" w:type="dxa"/>
            <w:tcBorders>
              <w:top w:val="nil"/>
              <w:left w:val="nil"/>
              <w:bottom w:val="single" w:sz="8" w:space="0" w:color="auto"/>
              <w:right w:val="nil"/>
            </w:tcBorders>
            <w:shd w:val="clear" w:color="auto" w:fill="FFFFFF" w:themeFill="background1"/>
            <w:noWrap/>
            <w:vAlign w:val="bottom"/>
            <w:hideMark/>
          </w:tcPr>
          <w:p w14:paraId="1066ED6E" w14:textId="77777777" w:rsidR="00787BF9" w:rsidRPr="00B4512D" w:rsidRDefault="00787BF9" w:rsidP="004B1105">
            <w:pPr>
              <w:rPr>
                <w:rFonts w:ascii="Calibri" w:hAnsi="Calibri" w:cs="Calibri"/>
                <w:b/>
                <w:color w:val="000000"/>
              </w:rPr>
            </w:pPr>
            <w:r w:rsidRPr="399FB11E">
              <w:rPr>
                <w:rFonts w:ascii="Calibri" w:hAnsi="Calibri" w:cs="Calibri"/>
                <w:b/>
                <w:color w:val="000000" w:themeColor="text1"/>
              </w:rPr>
              <w:t> </w:t>
            </w:r>
          </w:p>
        </w:tc>
        <w:tc>
          <w:tcPr>
            <w:tcW w:w="1620" w:type="dxa"/>
            <w:tcBorders>
              <w:top w:val="nil"/>
              <w:left w:val="nil"/>
              <w:bottom w:val="single" w:sz="8" w:space="0" w:color="auto"/>
              <w:right w:val="nil"/>
            </w:tcBorders>
            <w:shd w:val="clear" w:color="auto" w:fill="FFFFFF" w:themeFill="background1"/>
            <w:noWrap/>
            <w:vAlign w:val="center"/>
            <w:hideMark/>
          </w:tcPr>
          <w:p w14:paraId="57AF5A6B" w14:textId="7C272AEF" w:rsidR="00787BF9" w:rsidRPr="00B4512D" w:rsidRDefault="006272D8" w:rsidP="004B1105">
            <w:pPr>
              <w:rPr>
                <w:rFonts w:ascii="Calibri" w:hAnsi="Calibri" w:cs="Calibri"/>
                <w:color w:val="000000"/>
              </w:rPr>
            </w:pPr>
            <w:r>
              <w:rPr>
                <w:rFonts w:ascii="Calibri" w:hAnsi="Calibri" w:cs="Calibri"/>
                <w:color w:val="000000" w:themeColor="text1"/>
              </w:rPr>
              <w:t>High</w:t>
            </w:r>
            <w:r w:rsidRPr="399FB11E">
              <w:rPr>
                <w:rFonts w:ascii="Calibri" w:hAnsi="Calibri" w:cs="Calibri"/>
                <w:color w:val="000000" w:themeColor="text1"/>
              </w:rPr>
              <w:t xml:space="preserve"> </w:t>
            </w:r>
            <w:r w:rsidR="00787BF9" w:rsidRPr="399FB11E">
              <w:rPr>
                <w:rFonts w:ascii="Calibri" w:hAnsi="Calibri" w:cs="Calibri"/>
                <w:color w:val="000000" w:themeColor="text1"/>
              </w:rPr>
              <w:t xml:space="preserve">Income </w:t>
            </w:r>
          </w:p>
        </w:tc>
        <w:tc>
          <w:tcPr>
            <w:tcW w:w="1080" w:type="dxa"/>
            <w:tcBorders>
              <w:top w:val="nil"/>
              <w:left w:val="nil"/>
              <w:bottom w:val="single" w:sz="8" w:space="0" w:color="auto"/>
              <w:right w:val="nil"/>
            </w:tcBorders>
            <w:shd w:val="clear" w:color="auto" w:fill="FDFAFA"/>
            <w:noWrap/>
            <w:vAlign w:val="bottom"/>
            <w:hideMark/>
          </w:tcPr>
          <w:p w14:paraId="7D2CA351" w14:textId="77777777" w:rsidR="00787BF9" w:rsidRPr="00B4512D" w:rsidRDefault="00787BF9" w:rsidP="000D3E77">
            <w:pPr>
              <w:rPr>
                <w:rFonts w:ascii="Calibri" w:hAnsi="Calibri" w:cs="Calibri"/>
                <w:color w:val="000000"/>
              </w:rPr>
            </w:pPr>
            <w:r w:rsidRPr="399FB11E">
              <w:rPr>
                <w:rFonts w:ascii="Calibri" w:hAnsi="Calibri" w:cs="Calibri"/>
                <w:color w:val="000000" w:themeColor="text1"/>
              </w:rPr>
              <w:t>2.6%</w:t>
            </w:r>
          </w:p>
        </w:tc>
        <w:tc>
          <w:tcPr>
            <w:tcW w:w="1130" w:type="dxa"/>
            <w:tcBorders>
              <w:top w:val="nil"/>
              <w:left w:val="nil"/>
              <w:bottom w:val="single" w:sz="8" w:space="0" w:color="auto"/>
              <w:right w:val="nil"/>
            </w:tcBorders>
            <w:shd w:val="clear" w:color="auto" w:fill="F4E7EA"/>
            <w:noWrap/>
            <w:vAlign w:val="bottom"/>
            <w:hideMark/>
          </w:tcPr>
          <w:p w14:paraId="34826292" w14:textId="77777777" w:rsidR="00787BF9" w:rsidRPr="00B4512D" w:rsidRDefault="00787BF9" w:rsidP="000D3E77">
            <w:pPr>
              <w:rPr>
                <w:rFonts w:ascii="Calibri" w:hAnsi="Calibri" w:cs="Calibri"/>
                <w:color w:val="000000"/>
              </w:rPr>
            </w:pPr>
            <w:r w:rsidRPr="399FB11E">
              <w:rPr>
                <w:rFonts w:ascii="Calibri" w:hAnsi="Calibri" w:cs="Calibri"/>
                <w:color w:val="000000" w:themeColor="text1"/>
              </w:rPr>
              <w:t>6.0%</w:t>
            </w:r>
          </w:p>
        </w:tc>
        <w:tc>
          <w:tcPr>
            <w:tcW w:w="1180" w:type="dxa"/>
            <w:tcBorders>
              <w:top w:val="nil"/>
              <w:left w:val="nil"/>
              <w:bottom w:val="single" w:sz="8" w:space="0" w:color="auto"/>
              <w:right w:val="nil"/>
            </w:tcBorders>
            <w:shd w:val="clear" w:color="auto" w:fill="D4A6B1"/>
            <w:noWrap/>
            <w:vAlign w:val="bottom"/>
            <w:hideMark/>
          </w:tcPr>
          <w:p w14:paraId="090C5688" w14:textId="77777777" w:rsidR="00787BF9" w:rsidRPr="00B4512D" w:rsidRDefault="00787BF9" w:rsidP="000D3E77">
            <w:pPr>
              <w:rPr>
                <w:rFonts w:ascii="Calibri" w:hAnsi="Calibri" w:cs="Calibri"/>
                <w:color w:val="000000"/>
              </w:rPr>
            </w:pPr>
            <w:r w:rsidRPr="399FB11E">
              <w:rPr>
                <w:rFonts w:ascii="Calibri" w:hAnsi="Calibri" w:cs="Calibri"/>
                <w:color w:val="000000" w:themeColor="text1"/>
              </w:rPr>
              <w:t>17.7%</w:t>
            </w:r>
          </w:p>
        </w:tc>
        <w:tc>
          <w:tcPr>
            <w:tcW w:w="1020" w:type="dxa"/>
            <w:tcBorders>
              <w:top w:val="nil"/>
              <w:left w:val="nil"/>
              <w:bottom w:val="single" w:sz="8" w:space="0" w:color="auto"/>
              <w:right w:val="nil"/>
            </w:tcBorders>
            <w:shd w:val="clear" w:color="auto" w:fill="auto"/>
            <w:noWrap/>
            <w:vAlign w:val="center"/>
            <w:hideMark/>
          </w:tcPr>
          <w:p w14:paraId="39604A91" w14:textId="77777777" w:rsidR="00787BF9" w:rsidRPr="00B4512D" w:rsidRDefault="00787BF9" w:rsidP="004B1105">
            <w:pPr>
              <w:rPr>
                <w:rFonts w:ascii="Calibri" w:hAnsi="Calibri" w:cs="Calibri"/>
                <w:color w:val="000000"/>
              </w:rPr>
            </w:pPr>
            <w:r w:rsidRPr="399FB11E">
              <w:rPr>
                <w:rFonts w:ascii="Calibri" w:hAnsi="Calibri" w:cs="Calibri" w:hint="eastAsia"/>
                <w:color w:val="000000" w:themeColor="text1"/>
              </w:rPr>
              <w:t> </w:t>
            </w:r>
          </w:p>
        </w:tc>
      </w:tr>
      <w:tr w:rsidR="00787BF9" w:rsidRPr="00B4512D" w14:paraId="6E78C85D" w14:textId="77777777" w:rsidTr="003D6C30">
        <w:trPr>
          <w:gridAfter w:val="2"/>
          <w:wAfter w:w="126" w:type="dxa"/>
          <w:trHeight w:val="320"/>
        </w:trPr>
        <w:tc>
          <w:tcPr>
            <w:tcW w:w="1440" w:type="dxa"/>
            <w:tcBorders>
              <w:top w:val="nil"/>
              <w:left w:val="nil"/>
              <w:bottom w:val="nil"/>
              <w:right w:val="nil"/>
            </w:tcBorders>
            <w:shd w:val="clear" w:color="auto" w:fill="FFFFFF" w:themeFill="background1"/>
            <w:noWrap/>
            <w:vAlign w:val="bottom"/>
            <w:hideMark/>
          </w:tcPr>
          <w:p w14:paraId="6FBC9074" w14:textId="608C222A" w:rsidR="00787BF9" w:rsidRPr="00B4512D" w:rsidRDefault="00787BF9" w:rsidP="004B1105">
            <w:pPr>
              <w:rPr>
                <w:rFonts w:ascii="Calibri" w:hAnsi="Calibri" w:cs="Calibri"/>
                <w:b/>
                <w:color w:val="000000"/>
              </w:rPr>
            </w:pPr>
          </w:p>
        </w:tc>
        <w:tc>
          <w:tcPr>
            <w:tcW w:w="1620" w:type="dxa"/>
            <w:tcBorders>
              <w:top w:val="nil"/>
              <w:left w:val="nil"/>
              <w:bottom w:val="nil"/>
              <w:right w:val="nil"/>
            </w:tcBorders>
            <w:shd w:val="clear" w:color="auto" w:fill="FFFFFF" w:themeFill="background1"/>
            <w:noWrap/>
            <w:vAlign w:val="center"/>
            <w:hideMark/>
          </w:tcPr>
          <w:p w14:paraId="2FFEA382" w14:textId="2910A50F" w:rsidR="00787BF9" w:rsidRPr="00B4512D" w:rsidRDefault="00A273C8" w:rsidP="004B1105">
            <w:pPr>
              <w:rPr>
                <w:rFonts w:ascii="Calibri" w:hAnsi="Calibri" w:cs="Calibri"/>
                <w:color w:val="000000"/>
              </w:rPr>
            </w:pPr>
            <w:r>
              <w:rPr>
                <w:rFonts w:ascii="Calibri" w:hAnsi="Calibri" w:cs="Calibri"/>
                <w:color w:val="000000" w:themeColor="text1"/>
              </w:rPr>
              <w:t>Low</w:t>
            </w:r>
            <w:r w:rsidRPr="399FB11E">
              <w:rPr>
                <w:rFonts w:ascii="Calibri" w:hAnsi="Calibri" w:cs="Calibri"/>
                <w:color w:val="000000" w:themeColor="text1"/>
              </w:rPr>
              <w:t xml:space="preserve"> </w:t>
            </w:r>
            <w:r w:rsidR="00787BF9" w:rsidRPr="399FB11E">
              <w:rPr>
                <w:rFonts w:ascii="Calibri" w:hAnsi="Calibri" w:cs="Calibri"/>
                <w:color w:val="000000" w:themeColor="text1"/>
              </w:rPr>
              <w:t xml:space="preserve">Income </w:t>
            </w:r>
          </w:p>
        </w:tc>
        <w:tc>
          <w:tcPr>
            <w:tcW w:w="1080" w:type="dxa"/>
            <w:tcBorders>
              <w:top w:val="single" w:sz="8" w:space="0" w:color="auto"/>
              <w:left w:val="nil"/>
              <w:bottom w:val="nil"/>
              <w:right w:val="nil"/>
            </w:tcBorders>
            <w:shd w:val="clear" w:color="auto" w:fill="F0DFE3"/>
            <w:noWrap/>
            <w:vAlign w:val="bottom"/>
            <w:hideMark/>
          </w:tcPr>
          <w:p w14:paraId="56D38552" w14:textId="77777777" w:rsidR="00787BF9" w:rsidRPr="00B4512D" w:rsidRDefault="00787BF9" w:rsidP="000D3E77">
            <w:pPr>
              <w:rPr>
                <w:rFonts w:ascii="Calibri" w:hAnsi="Calibri" w:cs="Calibri"/>
                <w:color w:val="000000"/>
              </w:rPr>
            </w:pPr>
            <w:r w:rsidRPr="399FB11E">
              <w:rPr>
                <w:rFonts w:ascii="Calibri" w:hAnsi="Calibri" w:cs="Calibri"/>
                <w:color w:val="000000" w:themeColor="text1"/>
              </w:rPr>
              <w:t>7.4%</w:t>
            </w:r>
          </w:p>
        </w:tc>
        <w:tc>
          <w:tcPr>
            <w:tcW w:w="1130" w:type="dxa"/>
            <w:tcBorders>
              <w:top w:val="single" w:sz="8" w:space="0" w:color="auto"/>
              <w:left w:val="nil"/>
              <w:bottom w:val="nil"/>
              <w:right w:val="nil"/>
            </w:tcBorders>
            <w:shd w:val="clear" w:color="auto" w:fill="F4E8EB"/>
            <w:noWrap/>
            <w:vAlign w:val="bottom"/>
            <w:hideMark/>
          </w:tcPr>
          <w:p w14:paraId="0BAE857E" w14:textId="77777777" w:rsidR="00787BF9" w:rsidRPr="00B4512D" w:rsidRDefault="00787BF9" w:rsidP="000D3E77">
            <w:pPr>
              <w:rPr>
                <w:rFonts w:ascii="Calibri" w:hAnsi="Calibri" w:cs="Calibri"/>
                <w:color w:val="000000"/>
              </w:rPr>
            </w:pPr>
            <w:r w:rsidRPr="399FB11E">
              <w:rPr>
                <w:rFonts w:ascii="Calibri" w:hAnsi="Calibri" w:cs="Calibri"/>
                <w:color w:val="000000" w:themeColor="text1"/>
              </w:rPr>
              <w:t>5.7%</w:t>
            </w:r>
          </w:p>
        </w:tc>
        <w:tc>
          <w:tcPr>
            <w:tcW w:w="1180" w:type="dxa"/>
            <w:tcBorders>
              <w:top w:val="single" w:sz="8" w:space="0" w:color="auto"/>
              <w:left w:val="nil"/>
              <w:bottom w:val="nil"/>
              <w:right w:val="nil"/>
            </w:tcBorders>
            <w:shd w:val="clear" w:color="auto" w:fill="FFFFFF" w:themeFill="background1"/>
            <w:noWrap/>
            <w:vAlign w:val="bottom"/>
            <w:hideMark/>
          </w:tcPr>
          <w:p w14:paraId="4143D910" w14:textId="77777777" w:rsidR="00787BF9" w:rsidRPr="00B4512D" w:rsidRDefault="00787BF9" w:rsidP="000D3E77">
            <w:pPr>
              <w:rPr>
                <w:rFonts w:ascii="Calibri" w:hAnsi="Calibri" w:cs="Calibri"/>
                <w:color w:val="000000"/>
              </w:rPr>
            </w:pPr>
            <w:r w:rsidRPr="399FB11E">
              <w:rPr>
                <w:rFonts w:ascii="Calibri" w:hAnsi="Calibri" w:cs="Calibri"/>
                <w:color w:val="000000" w:themeColor="text1"/>
              </w:rPr>
              <w:t>1.5%</w:t>
            </w:r>
          </w:p>
        </w:tc>
        <w:tc>
          <w:tcPr>
            <w:tcW w:w="1020" w:type="dxa"/>
            <w:tcBorders>
              <w:top w:val="nil"/>
              <w:left w:val="nil"/>
              <w:bottom w:val="nil"/>
              <w:right w:val="nil"/>
            </w:tcBorders>
            <w:shd w:val="clear" w:color="auto" w:fill="auto"/>
            <w:noWrap/>
            <w:vAlign w:val="center"/>
            <w:hideMark/>
          </w:tcPr>
          <w:p w14:paraId="62EB0DAE" w14:textId="77777777" w:rsidR="00787BF9" w:rsidRPr="00B4512D" w:rsidRDefault="00787BF9" w:rsidP="000D3E77">
            <w:pPr>
              <w:rPr>
                <w:rFonts w:ascii="Calibri" w:hAnsi="Calibri" w:cs="Calibri"/>
                <w:color w:val="000000"/>
              </w:rPr>
            </w:pPr>
          </w:p>
        </w:tc>
      </w:tr>
      <w:tr w:rsidR="00787BF9" w:rsidRPr="00B4512D" w14:paraId="0A9F2E55" w14:textId="77777777" w:rsidTr="003D6C30">
        <w:trPr>
          <w:gridAfter w:val="2"/>
          <w:wAfter w:w="126" w:type="dxa"/>
          <w:trHeight w:val="320"/>
        </w:trPr>
        <w:tc>
          <w:tcPr>
            <w:tcW w:w="1440" w:type="dxa"/>
            <w:tcBorders>
              <w:top w:val="nil"/>
              <w:left w:val="nil"/>
              <w:bottom w:val="nil"/>
              <w:right w:val="nil"/>
            </w:tcBorders>
            <w:shd w:val="clear" w:color="auto" w:fill="FFFFFF" w:themeFill="background1"/>
            <w:noWrap/>
            <w:vAlign w:val="bottom"/>
            <w:hideMark/>
          </w:tcPr>
          <w:p w14:paraId="2AAB972A" w14:textId="1B3CDBD4" w:rsidR="00787BF9" w:rsidRPr="00E00D1C" w:rsidRDefault="00787BF9" w:rsidP="004B1105">
            <w:pPr>
              <w:rPr>
                <w:rFonts w:ascii="Calibri" w:hAnsi="Calibri" w:cs="Calibri"/>
                <w:bCs/>
                <w:color w:val="000000"/>
              </w:rPr>
            </w:pPr>
            <w:r w:rsidRPr="399FB11E">
              <w:rPr>
                <w:rFonts w:ascii="Calibri" w:hAnsi="Calibri" w:cs="Calibri"/>
                <w:b/>
                <w:color w:val="000000" w:themeColor="text1"/>
              </w:rPr>
              <w:t> </w:t>
            </w:r>
            <w:r w:rsidR="00C71AC7" w:rsidRPr="00C71AC7">
              <w:rPr>
                <w:rFonts w:ascii="Calibri" w:hAnsi="Calibri" w:cs="Calibri"/>
                <w:bCs/>
                <w:color w:val="000000" w:themeColor="text1"/>
              </w:rPr>
              <w:t>White</w:t>
            </w:r>
          </w:p>
        </w:tc>
        <w:tc>
          <w:tcPr>
            <w:tcW w:w="1620" w:type="dxa"/>
            <w:tcBorders>
              <w:top w:val="nil"/>
              <w:left w:val="nil"/>
              <w:bottom w:val="nil"/>
              <w:right w:val="nil"/>
            </w:tcBorders>
            <w:shd w:val="clear" w:color="auto" w:fill="FFFFFF" w:themeFill="background1"/>
            <w:noWrap/>
            <w:vAlign w:val="center"/>
            <w:hideMark/>
          </w:tcPr>
          <w:p w14:paraId="13D2F802" w14:textId="3222E99C" w:rsidR="00787BF9" w:rsidRPr="00B4512D" w:rsidRDefault="00787BF9" w:rsidP="004B1105">
            <w:pPr>
              <w:rPr>
                <w:rFonts w:ascii="Calibri" w:hAnsi="Calibri" w:cs="Calibri"/>
                <w:color w:val="000000"/>
              </w:rPr>
            </w:pPr>
            <w:r w:rsidRPr="399FB11E">
              <w:rPr>
                <w:rFonts w:ascii="Calibri" w:hAnsi="Calibri" w:cs="Calibri"/>
                <w:color w:val="000000" w:themeColor="text1"/>
              </w:rPr>
              <w:t xml:space="preserve">Middle Income </w:t>
            </w:r>
          </w:p>
        </w:tc>
        <w:tc>
          <w:tcPr>
            <w:tcW w:w="1080" w:type="dxa"/>
            <w:tcBorders>
              <w:top w:val="nil"/>
              <w:left w:val="nil"/>
              <w:bottom w:val="nil"/>
              <w:right w:val="nil"/>
            </w:tcBorders>
            <w:shd w:val="clear" w:color="auto" w:fill="F6ECEF"/>
            <w:noWrap/>
            <w:vAlign w:val="bottom"/>
            <w:hideMark/>
          </w:tcPr>
          <w:p w14:paraId="1F811EB9" w14:textId="77777777" w:rsidR="00787BF9" w:rsidRPr="00B4512D" w:rsidRDefault="00787BF9" w:rsidP="000D3E77">
            <w:pPr>
              <w:rPr>
                <w:rFonts w:ascii="Calibri" w:hAnsi="Calibri" w:cs="Calibri"/>
                <w:color w:val="000000"/>
              </w:rPr>
            </w:pPr>
            <w:r w:rsidRPr="399FB11E">
              <w:rPr>
                <w:rFonts w:ascii="Calibri" w:hAnsi="Calibri" w:cs="Calibri"/>
                <w:color w:val="000000" w:themeColor="text1"/>
              </w:rPr>
              <w:t>5.0%</w:t>
            </w:r>
          </w:p>
        </w:tc>
        <w:tc>
          <w:tcPr>
            <w:tcW w:w="1130" w:type="dxa"/>
            <w:tcBorders>
              <w:top w:val="nil"/>
              <w:left w:val="nil"/>
              <w:bottom w:val="nil"/>
              <w:right w:val="nil"/>
            </w:tcBorders>
            <w:shd w:val="clear" w:color="auto" w:fill="ECD8DD"/>
            <w:noWrap/>
            <w:vAlign w:val="bottom"/>
            <w:hideMark/>
          </w:tcPr>
          <w:p w14:paraId="37846950" w14:textId="77777777" w:rsidR="00787BF9" w:rsidRPr="00B4512D" w:rsidRDefault="00787BF9" w:rsidP="000D3E77">
            <w:pPr>
              <w:rPr>
                <w:rFonts w:ascii="Calibri" w:hAnsi="Calibri" w:cs="Calibri"/>
                <w:color w:val="000000"/>
              </w:rPr>
            </w:pPr>
            <w:r w:rsidRPr="399FB11E">
              <w:rPr>
                <w:rFonts w:ascii="Calibri" w:hAnsi="Calibri" w:cs="Calibri"/>
                <w:color w:val="000000" w:themeColor="text1"/>
              </w:rPr>
              <w:t>8.6%</w:t>
            </w:r>
          </w:p>
        </w:tc>
        <w:tc>
          <w:tcPr>
            <w:tcW w:w="1180" w:type="dxa"/>
            <w:tcBorders>
              <w:top w:val="nil"/>
              <w:left w:val="nil"/>
              <w:bottom w:val="nil"/>
              <w:right w:val="nil"/>
            </w:tcBorders>
            <w:shd w:val="clear" w:color="auto" w:fill="E7CDD3"/>
            <w:noWrap/>
            <w:vAlign w:val="bottom"/>
            <w:hideMark/>
          </w:tcPr>
          <w:p w14:paraId="6DC8EE30" w14:textId="77777777" w:rsidR="00787BF9" w:rsidRPr="00B4512D" w:rsidRDefault="00787BF9" w:rsidP="000D3E77">
            <w:pPr>
              <w:rPr>
                <w:rFonts w:ascii="Calibri" w:hAnsi="Calibri" w:cs="Calibri"/>
                <w:color w:val="000000"/>
              </w:rPr>
            </w:pPr>
            <w:r w:rsidRPr="399FB11E">
              <w:rPr>
                <w:rFonts w:ascii="Calibri" w:hAnsi="Calibri" w:cs="Calibri"/>
                <w:color w:val="000000" w:themeColor="text1"/>
              </w:rPr>
              <w:t>10.6%</w:t>
            </w:r>
          </w:p>
        </w:tc>
        <w:tc>
          <w:tcPr>
            <w:tcW w:w="1020" w:type="dxa"/>
            <w:tcBorders>
              <w:top w:val="nil"/>
              <w:left w:val="nil"/>
              <w:bottom w:val="nil"/>
              <w:right w:val="nil"/>
            </w:tcBorders>
            <w:shd w:val="clear" w:color="auto" w:fill="auto"/>
            <w:noWrap/>
            <w:vAlign w:val="center"/>
            <w:hideMark/>
          </w:tcPr>
          <w:p w14:paraId="50669641" w14:textId="77777777" w:rsidR="00787BF9" w:rsidRPr="00B4512D" w:rsidRDefault="00787BF9" w:rsidP="000D3E77">
            <w:pPr>
              <w:rPr>
                <w:rFonts w:ascii="Calibri" w:hAnsi="Calibri" w:cs="Calibri"/>
                <w:color w:val="000000"/>
              </w:rPr>
            </w:pPr>
            <w:r w:rsidRPr="399FB11E">
              <w:rPr>
                <w:rFonts w:ascii="Calibri" w:hAnsi="Calibri" w:cs="Calibri"/>
                <w:color w:val="000000" w:themeColor="text1"/>
              </w:rPr>
              <w:t>100%</w:t>
            </w:r>
          </w:p>
        </w:tc>
      </w:tr>
      <w:tr w:rsidR="00787BF9" w:rsidRPr="00B4512D" w14:paraId="76EFFE77" w14:textId="77777777" w:rsidTr="003D6C30">
        <w:trPr>
          <w:gridAfter w:val="2"/>
          <w:wAfter w:w="126" w:type="dxa"/>
          <w:trHeight w:val="340"/>
        </w:trPr>
        <w:tc>
          <w:tcPr>
            <w:tcW w:w="1440" w:type="dxa"/>
            <w:tcBorders>
              <w:top w:val="nil"/>
              <w:left w:val="nil"/>
              <w:bottom w:val="single" w:sz="8" w:space="0" w:color="auto"/>
              <w:right w:val="nil"/>
            </w:tcBorders>
            <w:shd w:val="clear" w:color="auto" w:fill="FFFFFF" w:themeFill="background1"/>
            <w:noWrap/>
            <w:vAlign w:val="bottom"/>
            <w:hideMark/>
          </w:tcPr>
          <w:p w14:paraId="17C129E1" w14:textId="77777777" w:rsidR="00787BF9" w:rsidRPr="00B4512D" w:rsidRDefault="00787BF9" w:rsidP="004B1105">
            <w:pPr>
              <w:rPr>
                <w:rFonts w:ascii="Calibri" w:hAnsi="Calibri" w:cs="Calibri"/>
                <w:b/>
                <w:color w:val="000000"/>
              </w:rPr>
            </w:pPr>
            <w:r w:rsidRPr="399FB11E">
              <w:rPr>
                <w:rFonts w:ascii="Calibri" w:hAnsi="Calibri" w:cs="Calibri"/>
                <w:b/>
                <w:color w:val="000000" w:themeColor="text1"/>
              </w:rPr>
              <w:lastRenderedPageBreak/>
              <w:t> </w:t>
            </w:r>
          </w:p>
        </w:tc>
        <w:tc>
          <w:tcPr>
            <w:tcW w:w="1620" w:type="dxa"/>
            <w:tcBorders>
              <w:top w:val="nil"/>
              <w:left w:val="nil"/>
              <w:bottom w:val="single" w:sz="8" w:space="0" w:color="auto"/>
              <w:right w:val="nil"/>
            </w:tcBorders>
            <w:shd w:val="clear" w:color="auto" w:fill="FFFFFF" w:themeFill="background1"/>
            <w:noWrap/>
            <w:vAlign w:val="center"/>
            <w:hideMark/>
          </w:tcPr>
          <w:p w14:paraId="68705CA6" w14:textId="348D3E48" w:rsidR="00787BF9" w:rsidRPr="00B4512D" w:rsidRDefault="006272D8" w:rsidP="004B1105">
            <w:pPr>
              <w:rPr>
                <w:rFonts w:ascii="Calibri" w:hAnsi="Calibri" w:cs="Calibri"/>
                <w:color w:val="000000"/>
              </w:rPr>
            </w:pPr>
            <w:r>
              <w:rPr>
                <w:rFonts w:ascii="Calibri" w:hAnsi="Calibri" w:cs="Calibri"/>
                <w:color w:val="000000" w:themeColor="text1"/>
              </w:rPr>
              <w:t>High</w:t>
            </w:r>
            <w:r w:rsidRPr="399FB11E">
              <w:rPr>
                <w:rFonts w:ascii="Calibri" w:hAnsi="Calibri" w:cs="Calibri"/>
                <w:color w:val="000000" w:themeColor="text1"/>
              </w:rPr>
              <w:t xml:space="preserve"> </w:t>
            </w:r>
            <w:r w:rsidR="00787BF9" w:rsidRPr="399FB11E">
              <w:rPr>
                <w:rFonts w:ascii="Calibri" w:hAnsi="Calibri" w:cs="Calibri"/>
                <w:color w:val="000000" w:themeColor="text1"/>
              </w:rPr>
              <w:t xml:space="preserve">Income </w:t>
            </w:r>
          </w:p>
        </w:tc>
        <w:tc>
          <w:tcPr>
            <w:tcW w:w="1080" w:type="dxa"/>
            <w:tcBorders>
              <w:top w:val="nil"/>
              <w:left w:val="nil"/>
              <w:bottom w:val="single" w:sz="8" w:space="0" w:color="auto"/>
              <w:right w:val="nil"/>
            </w:tcBorders>
            <w:shd w:val="clear" w:color="auto" w:fill="F8EFF1"/>
            <w:noWrap/>
            <w:vAlign w:val="bottom"/>
            <w:hideMark/>
          </w:tcPr>
          <w:p w14:paraId="399F4A2F" w14:textId="77777777" w:rsidR="00787BF9" w:rsidRPr="00B4512D" w:rsidRDefault="00787BF9" w:rsidP="000D3E77">
            <w:pPr>
              <w:rPr>
                <w:rFonts w:ascii="Calibri" w:hAnsi="Calibri" w:cs="Calibri"/>
                <w:color w:val="000000"/>
              </w:rPr>
            </w:pPr>
            <w:r w:rsidRPr="399FB11E">
              <w:rPr>
                <w:rFonts w:ascii="Calibri" w:hAnsi="Calibri" w:cs="Calibri"/>
                <w:color w:val="000000" w:themeColor="text1"/>
              </w:rPr>
              <w:t>4.5%</w:t>
            </w:r>
          </w:p>
        </w:tc>
        <w:tc>
          <w:tcPr>
            <w:tcW w:w="1130" w:type="dxa"/>
            <w:tcBorders>
              <w:top w:val="nil"/>
              <w:left w:val="nil"/>
              <w:bottom w:val="single" w:sz="8" w:space="0" w:color="auto"/>
              <w:right w:val="nil"/>
            </w:tcBorders>
            <w:shd w:val="clear" w:color="auto" w:fill="EBD6DB"/>
            <w:noWrap/>
            <w:vAlign w:val="bottom"/>
            <w:hideMark/>
          </w:tcPr>
          <w:p w14:paraId="2EEDCCE9" w14:textId="77777777" w:rsidR="00787BF9" w:rsidRPr="00B4512D" w:rsidRDefault="00787BF9" w:rsidP="000D3E77">
            <w:pPr>
              <w:rPr>
                <w:rFonts w:ascii="Calibri" w:hAnsi="Calibri" w:cs="Calibri"/>
                <w:color w:val="000000"/>
              </w:rPr>
            </w:pPr>
            <w:r w:rsidRPr="399FB11E">
              <w:rPr>
                <w:rFonts w:ascii="Calibri" w:hAnsi="Calibri" w:cs="Calibri"/>
                <w:color w:val="000000" w:themeColor="text1"/>
              </w:rPr>
              <w:t>9.0%</w:t>
            </w:r>
          </w:p>
        </w:tc>
        <w:tc>
          <w:tcPr>
            <w:tcW w:w="1180" w:type="dxa"/>
            <w:tcBorders>
              <w:top w:val="nil"/>
              <w:left w:val="nil"/>
              <w:bottom w:val="single" w:sz="8" w:space="0" w:color="auto"/>
              <w:right w:val="nil"/>
            </w:tcBorders>
            <w:shd w:val="clear" w:color="auto" w:fill="83001E"/>
            <w:noWrap/>
            <w:vAlign w:val="bottom"/>
            <w:hideMark/>
          </w:tcPr>
          <w:p w14:paraId="73DAC655" w14:textId="77777777" w:rsidR="00787BF9" w:rsidRPr="00B4512D" w:rsidRDefault="00787BF9" w:rsidP="000D3E77">
            <w:pPr>
              <w:rPr>
                <w:rFonts w:ascii="Calibri" w:hAnsi="Calibri" w:cs="Calibri"/>
                <w:color w:val="000000"/>
              </w:rPr>
            </w:pPr>
            <w:r w:rsidRPr="399FB11E">
              <w:rPr>
                <w:rFonts w:ascii="Calibri" w:hAnsi="Calibri" w:cs="Calibri"/>
                <w:color w:val="000000" w:themeColor="text1"/>
              </w:rPr>
              <w:t>47.7%</w:t>
            </w:r>
          </w:p>
        </w:tc>
        <w:tc>
          <w:tcPr>
            <w:tcW w:w="1020" w:type="dxa"/>
            <w:tcBorders>
              <w:top w:val="nil"/>
              <w:left w:val="nil"/>
              <w:bottom w:val="single" w:sz="8" w:space="0" w:color="auto"/>
              <w:right w:val="nil"/>
            </w:tcBorders>
            <w:shd w:val="clear" w:color="auto" w:fill="auto"/>
            <w:noWrap/>
            <w:vAlign w:val="center"/>
            <w:hideMark/>
          </w:tcPr>
          <w:p w14:paraId="2AF793DB" w14:textId="77777777" w:rsidR="00787BF9" w:rsidRPr="00B4512D" w:rsidRDefault="00787BF9" w:rsidP="004B1105">
            <w:pPr>
              <w:rPr>
                <w:rFonts w:ascii="Calibri" w:hAnsi="Calibri" w:cs="Calibri"/>
                <w:color w:val="000000"/>
              </w:rPr>
            </w:pPr>
            <w:r w:rsidRPr="399FB11E">
              <w:rPr>
                <w:rFonts w:ascii="Calibri" w:hAnsi="Calibri" w:cs="Calibri" w:hint="eastAsia"/>
                <w:color w:val="000000" w:themeColor="text1"/>
              </w:rPr>
              <w:t> </w:t>
            </w:r>
          </w:p>
        </w:tc>
      </w:tr>
      <w:tr w:rsidR="00787BF9" w:rsidRPr="00B4512D" w14:paraId="42A93378" w14:textId="77777777" w:rsidTr="003D6C30">
        <w:trPr>
          <w:gridAfter w:val="2"/>
          <w:wAfter w:w="126" w:type="dxa"/>
          <w:trHeight w:val="205"/>
        </w:trPr>
        <w:tc>
          <w:tcPr>
            <w:tcW w:w="1440" w:type="dxa"/>
            <w:tcBorders>
              <w:top w:val="nil"/>
              <w:left w:val="nil"/>
              <w:bottom w:val="nil"/>
              <w:right w:val="nil"/>
            </w:tcBorders>
            <w:shd w:val="clear" w:color="auto" w:fill="FFFFFF" w:themeFill="background1"/>
            <w:noWrap/>
            <w:vAlign w:val="bottom"/>
            <w:hideMark/>
          </w:tcPr>
          <w:p w14:paraId="70020720" w14:textId="4C23F083" w:rsidR="00787BF9" w:rsidRPr="00B4512D" w:rsidRDefault="00787BF9" w:rsidP="004B1105">
            <w:pPr>
              <w:rPr>
                <w:rFonts w:ascii="Calibri" w:hAnsi="Calibri" w:cs="Calibri"/>
                <w:b/>
                <w:color w:val="000000"/>
              </w:rPr>
            </w:pPr>
          </w:p>
        </w:tc>
        <w:tc>
          <w:tcPr>
            <w:tcW w:w="1620" w:type="dxa"/>
            <w:tcBorders>
              <w:top w:val="nil"/>
              <w:left w:val="nil"/>
              <w:bottom w:val="nil"/>
              <w:right w:val="nil"/>
            </w:tcBorders>
            <w:shd w:val="clear" w:color="auto" w:fill="FFFFFF" w:themeFill="background1"/>
            <w:noWrap/>
            <w:vAlign w:val="center"/>
            <w:hideMark/>
          </w:tcPr>
          <w:p w14:paraId="18D8460C" w14:textId="46C5183E" w:rsidR="00787BF9" w:rsidRPr="00B4512D" w:rsidRDefault="00A273C8" w:rsidP="004B1105">
            <w:pPr>
              <w:rPr>
                <w:rFonts w:ascii="Calibri" w:hAnsi="Calibri" w:cs="Calibri"/>
                <w:color w:val="000000"/>
              </w:rPr>
            </w:pPr>
            <w:r>
              <w:rPr>
                <w:rFonts w:ascii="Calibri" w:hAnsi="Calibri" w:cs="Calibri"/>
                <w:color w:val="000000" w:themeColor="text1"/>
              </w:rPr>
              <w:t>Low</w:t>
            </w:r>
            <w:r w:rsidRPr="399FB11E">
              <w:rPr>
                <w:rFonts w:ascii="Calibri" w:hAnsi="Calibri" w:cs="Calibri"/>
                <w:color w:val="000000" w:themeColor="text1"/>
              </w:rPr>
              <w:t xml:space="preserve"> </w:t>
            </w:r>
            <w:r w:rsidR="00787BF9" w:rsidRPr="399FB11E">
              <w:rPr>
                <w:rFonts w:ascii="Calibri" w:hAnsi="Calibri" w:cs="Calibri"/>
                <w:color w:val="000000" w:themeColor="text1"/>
              </w:rPr>
              <w:t xml:space="preserve">Income </w:t>
            </w:r>
          </w:p>
        </w:tc>
        <w:tc>
          <w:tcPr>
            <w:tcW w:w="1080" w:type="dxa"/>
            <w:tcBorders>
              <w:top w:val="single" w:sz="8" w:space="0" w:color="auto"/>
              <w:left w:val="nil"/>
              <w:bottom w:val="nil"/>
              <w:right w:val="nil"/>
            </w:tcBorders>
            <w:shd w:val="clear" w:color="auto" w:fill="D09EA9"/>
            <w:noWrap/>
            <w:vAlign w:val="bottom"/>
            <w:hideMark/>
          </w:tcPr>
          <w:p w14:paraId="3C03F1BB" w14:textId="77777777" w:rsidR="00787BF9" w:rsidRPr="00B4512D" w:rsidRDefault="00787BF9" w:rsidP="000D3E77">
            <w:pPr>
              <w:rPr>
                <w:rFonts w:ascii="Calibri" w:hAnsi="Calibri" w:cs="Calibri"/>
                <w:color w:val="000000"/>
              </w:rPr>
            </w:pPr>
            <w:r w:rsidRPr="399FB11E">
              <w:rPr>
                <w:rFonts w:ascii="Calibri" w:hAnsi="Calibri" w:cs="Calibri"/>
                <w:color w:val="000000" w:themeColor="text1"/>
              </w:rPr>
              <w:t>19.2%</w:t>
            </w:r>
          </w:p>
        </w:tc>
        <w:tc>
          <w:tcPr>
            <w:tcW w:w="1130" w:type="dxa"/>
            <w:tcBorders>
              <w:top w:val="single" w:sz="8" w:space="0" w:color="auto"/>
              <w:left w:val="nil"/>
              <w:bottom w:val="nil"/>
              <w:right w:val="nil"/>
            </w:tcBorders>
            <w:shd w:val="clear" w:color="auto" w:fill="EAD2D8"/>
            <w:noWrap/>
            <w:vAlign w:val="bottom"/>
            <w:hideMark/>
          </w:tcPr>
          <w:p w14:paraId="7E5D75B0" w14:textId="77777777" w:rsidR="00787BF9" w:rsidRPr="00B4512D" w:rsidRDefault="00787BF9" w:rsidP="000D3E77">
            <w:pPr>
              <w:rPr>
                <w:rFonts w:ascii="Calibri" w:hAnsi="Calibri" w:cs="Calibri"/>
                <w:color w:val="000000"/>
              </w:rPr>
            </w:pPr>
            <w:r w:rsidRPr="399FB11E">
              <w:rPr>
                <w:rFonts w:ascii="Calibri" w:hAnsi="Calibri" w:cs="Calibri"/>
                <w:color w:val="000000" w:themeColor="text1"/>
              </w:rPr>
              <w:t>9.7%</w:t>
            </w:r>
          </w:p>
        </w:tc>
        <w:tc>
          <w:tcPr>
            <w:tcW w:w="1180" w:type="dxa"/>
            <w:tcBorders>
              <w:top w:val="single" w:sz="8" w:space="0" w:color="auto"/>
              <w:left w:val="nil"/>
              <w:bottom w:val="nil"/>
              <w:right w:val="nil"/>
            </w:tcBorders>
            <w:shd w:val="clear" w:color="auto" w:fill="F7EDEF"/>
            <w:noWrap/>
            <w:vAlign w:val="bottom"/>
            <w:hideMark/>
          </w:tcPr>
          <w:p w14:paraId="6278CA36" w14:textId="77777777" w:rsidR="00787BF9" w:rsidRPr="00B4512D" w:rsidRDefault="00787BF9" w:rsidP="000D3E77">
            <w:pPr>
              <w:rPr>
                <w:rFonts w:ascii="Calibri" w:hAnsi="Calibri" w:cs="Calibri"/>
                <w:color w:val="000000"/>
              </w:rPr>
            </w:pPr>
            <w:r w:rsidRPr="399FB11E">
              <w:rPr>
                <w:rFonts w:ascii="Calibri" w:hAnsi="Calibri" w:cs="Calibri"/>
                <w:color w:val="000000" w:themeColor="text1"/>
              </w:rPr>
              <w:t>4.8%</w:t>
            </w:r>
          </w:p>
        </w:tc>
        <w:tc>
          <w:tcPr>
            <w:tcW w:w="1020" w:type="dxa"/>
            <w:tcBorders>
              <w:top w:val="single" w:sz="8" w:space="0" w:color="auto"/>
              <w:left w:val="nil"/>
              <w:bottom w:val="nil"/>
              <w:right w:val="nil"/>
            </w:tcBorders>
            <w:shd w:val="clear" w:color="auto" w:fill="auto"/>
            <w:noWrap/>
            <w:vAlign w:val="center"/>
            <w:hideMark/>
          </w:tcPr>
          <w:p w14:paraId="4EF25B66" w14:textId="77777777" w:rsidR="00787BF9" w:rsidRPr="00B4512D" w:rsidRDefault="00787BF9" w:rsidP="000D3E77">
            <w:pPr>
              <w:rPr>
                <w:rFonts w:ascii="Calibri" w:hAnsi="Calibri" w:cs="Calibri"/>
                <w:color w:val="000000"/>
              </w:rPr>
            </w:pPr>
          </w:p>
        </w:tc>
      </w:tr>
      <w:tr w:rsidR="00787BF9" w:rsidRPr="00B4512D" w14:paraId="50001F93" w14:textId="77777777" w:rsidTr="003D6C30">
        <w:trPr>
          <w:gridAfter w:val="2"/>
          <w:wAfter w:w="126" w:type="dxa"/>
          <w:trHeight w:val="320"/>
        </w:trPr>
        <w:tc>
          <w:tcPr>
            <w:tcW w:w="1440" w:type="dxa"/>
            <w:tcBorders>
              <w:top w:val="nil"/>
              <w:left w:val="nil"/>
              <w:bottom w:val="nil"/>
              <w:right w:val="nil"/>
            </w:tcBorders>
            <w:shd w:val="clear" w:color="auto" w:fill="FFFFFF" w:themeFill="background1"/>
            <w:noWrap/>
            <w:vAlign w:val="bottom"/>
            <w:hideMark/>
          </w:tcPr>
          <w:p w14:paraId="70284D25" w14:textId="5328AB61" w:rsidR="00787BF9" w:rsidRPr="00E00D1C" w:rsidRDefault="00787BF9" w:rsidP="004B1105">
            <w:pPr>
              <w:rPr>
                <w:rFonts w:ascii="Calibri" w:hAnsi="Calibri" w:cs="Calibri"/>
                <w:bCs/>
                <w:color w:val="000000"/>
              </w:rPr>
            </w:pPr>
            <w:r w:rsidRPr="00E00D1C">
              <w:rPr>
                <w:rFonts w:ascii="Calibri" w:hAnsi="Calibri" w:cs="Calibri"/>
                <w:bCs/>
                <w:color w:val="000000" w:themeColor="text1"/>
              </w:rPr>
              <w:t>Another race</w:t>
            </w:r>
          </w:p>
        </w:tc>
        <w:tc>
          <w:tcPr>
            <w:tcW w:w="1620" w:type="dxa"/>
            <w:tcBorders>
              <w:top w:val="nil"/>
              <w:left w:val="nil"/>
              <w:bottom w:val="nil"/>
              <w:right w:val="nil"/>
            </w:tcBorders>
            <w:shd w:val="clear" w:color="auto" w:fill="FFFFFF" w:themeFill="background1"/>
            <w:noWrap/>
            <w:vAlign w:val="center"/>
            <w:hideMark/>
          </w:tcPr>
          <w:p w14:paraId="55247A61" w14:textId="4B09B0A9" w:rsidR="00787BF9" w:rsidRPr="00B4512D" w:rsidRDefault="00787BF9" w:rsidP="004B1105">
            <w:pPr>
              <w:rPr>
                <w:rFonts w:ascii="Calibri" w:hAnsi="Calibri" w:cs="Calibri"/>
                <w:color w:val="000000"/>
              </w:rPr>
            </w:pPr>
            <w:r w:rsidRPr="399FB11E">
              <w:rPr>
                <w:rFonts w:ascii="Calibri" w:hAnsi="Calibri" w:cs="Calibri"/>
                <w:color w:val="000000" w:themeColor="text1"/>
              </w:rPr>
              <w:t xml:space="preserve">Middle Income </w:t>
            </w:r>
          </w:p>
        </w:tc>
        <w:tc>
          <w:tcPr>
            <w:tcW w:w="1080" w:type="dxa"/>
            <w:tcBorders>
              <w:top w:val="nil"/>
              <w:left w:val="nil"/>
              <w:bottom w:val="nil"/>
              <w:right w:val="nil"/>
            </w:tcBorders>
            <w:shd w:val="clear" w:color="auto" w:fill="E9D0D6"/>
            <w:noWrap/>
            <w:vAlign w:val="bottom"/>
            <w:hideMark/>
          </w:tcPr>
          <w:p w14:paraId="7377B154" w14:textId="77777777" w:rsidR="00787BF9" w:rsidRPr="00B4512D" w:rsidRDefault="00787BF9" w:rsidP="000D3E77">
            <w:pPr>
              <w:rPr>
                <w:rFonts w:ascii="Calibri" w:hAnsi="Calibri" w:cs="Calibri"/>
                <w:color w:val="000000"/>
              </w:rPr>
            </w:pPr>
            <w:r w:rsidRPr="399FB11E">
              <w:rPr>
                <w:rFonts w:ascii="Calibri" w:hAnsi="Calibri" w:cs="Calibri"/>
                <w:color w:val="000000" w:themeColor="text1"/>
              </w:rPr>
              <w:t>10.1%</w:t>
            </w:r>
          </w:p>
        </w:tc>
        <w:tc>
          <w:tcPr>
            <w:tcW w:w="1130" w:type="dxa"/>
            <w:tcBorders>
              <w:top w:val="nil"/>
              <w:left w:val="nil"/>
              <w:bottom w:val="nil"/>
              <w:right w:val="nil"/>
            </w:tcBorders>
            <w:shd w:val="clear" w:color="auto" w:fill="E0BEC6"/>
            <w:noWrap/>
            <w:vAlign w:val="bottom"/>
            <w:hideMark/>
          </w:tcPr>
          <w:p w14:paraId="51DAD867" w14:textId="77777777" w:rsidR="00787BF9" w:rsidRPr="00B4512D" w:rsidRDefault="00787BF9" w:rsidP="000D3E77">
            <w:pPr>
              <w:rPr>
                <w:rFonts w:ascii="Calibri" w:hAnsi="Calibri" w:cs="Calibri"/>
                <w:color w:val="000000"/>
              </w:rPr>
            </w:pPr>
            <w:r w:rsidRPr="399FB11E">
              <w:rPr>
                <w:rFonts w:ascii="Calibri" w:hAnsi="Calibri" w:cs="Calibri"/>
                <w:color w:val="000000" w:themeColor="text1"/>
              </w:rPr>
              <w:t>13.4%</w:t>
            </w:r>
          </w:p>
        </w:tc>
        <w:tc>
          <w:tcPr>
            <w:tcW w:w="1180" w:type="dxa"/>
            <w:tcBorders>
              <w:top w:val="nil"/>
              <w:left w:val="nil"/>
              <w:bottom w:val="nil"/>
              <w:right w:val="nil"/>
            </w:tcBorders>
            <w:shd w:val="clear" w:color="auto" w:fill="EDD9DD"/>
            <w:noWrap/>
            <w:vAlign w:val="bottom"/>
            <w:hideMark/>
          </w:tcPr>
          <w:p w14:paraId="53ACCF0B" w14:textId="77777777" w:rsidR="00787BF9" w:rsidRPr="00B4512D" w:rsidRDefault="00787BF9" w:rsidP="000D3E77">
            <w:pPr>
              <w:rPr>
                <w:rFonts w:ascii="Calibri" w:hAnsi="Calibri" w:cs="Calibri"/>
                <w:color w:val="000000"/>
              </w:rPr>
            </w:pPr>
            <w:r w:rsidRPr="399FB11E">
              <w:rPr>
                <w:rFonts w:ascii="Calibri" w:hAnsi="Calibri" w:cs="Calibri"/>
                <w:color w:val="000000" w:themeColor="text1"/>
              </w:rPr>
              <w:t>8.6%</w:t>
            </w:r>
          </w:p>
        </w:tc>
        <w:tc>
          <w:tcPr>
            <w:tcW w:w="1020" w:type="dxa"/>
            <w:tcBorders>
              <w:top w:val="nil"/>
              <w:left w:val="nil"/>
              <w:bottom w:val="nil"/>
              <w:right w:val="nil"/>
            </w:tcBorders>
            <w:shd w:val="clear" w:color="auto" w:fill="auto"/>
            <w:noWrap/>
            <w:vAlign w:val="center"/>
            <w:hideMark/>
          </w:tcPr>
          <w:p w14:paraId="278FBADB" w14:textId="77777777" w:rsidR="00787BF9" w:rsidRPr="00B4512D" w:rsidRDefault="00787BF9" w:rsidP="000D3E77">
            <w:pPr>
              <w:rPr>
                <w:rFonts w:ascii="Calibri" w:hAnsi="Calibri" w:cs="Calibri"/>
                <w:color w:val="000000"/>
              </w:rPr>
            </w:pPr>
            <w:r w:rsidRPr="399FB11E">
              <w:rPr>
                <w:rFonts w:ascii="Calibri" w:hAnsi="Calibri" w:cs="Calibri"/>
                <w:color w:val="000000" w:themeColor="text1"/>
              </w:rPr>
              <w:t>100%</w:t>
            </w:r>
          </w:p>
        </w:tc>
      </w:tr>
      <w:tr w:rsidR="00787BF9" w:rsidRPr="00B4512D" w14:paraId="5388D961" w14:textId="77777777" w:rsidTr="003D6C30">
        <w:trPr>
          <w:gridAfter w:val="2"/>
          <w:wAfter w:w="126" w:type="dxa"/>
          <w:trHeight w:val="340"/>
        </w:trPr>
        <w:tc>
          <w:tcPr>
            <w:tcW w:w="1440" w:type="dxa"/>
            <w:tcBorders>
              <w:top w:val="nil"/>
              <w:left w:val="nil"/>
              <w:bottom w:val="single" w:sz="4" w:space="0" w:color="auto"/>
              <w:right w:val="nil"/>
            </w:tcBorders>
            <w:shd w:val="clear" w:color="auto" w:fill="FFFFFF" w:themeFill="background1"/>
            <w:noWrap/>
            <w:vAlign w:val="bottom"/>
            <w:hideMark/>
          </w:tcPr>
          <w:p w14:paraId="2FC83733" w14:textId="77777777" w:rsidR="00787BF9" w:rsidRPr="00B4512D" w:rsidRDefault="00787BF9" w:rsidP="004B1105">
            <w:pPr>
              <w:rPr>
                <w:rFonts w:ascii="Calibri" w:hAnsi="Calibri" w:cs="Calibri"/>
                <w:b/>
                <w:color w:val="000000"/>
              </w:rPr>
            </w:pPr>
            <w:r w:rsidRPr="399FB11E">
              <w:rPr>
                <w:rFonts w:ascii="Calibri" w:hAnsi="Calibri" w:cs="Calibri"/>
                <w:b/>
                <w:color w:val="000000" w:themeColor="text1"/>
              </w:rPr>
              <w:t> </w:t>
            </w:r>
          </w:p>
        </w:tc>
        <w:tc>
          <w:tcPr>
            <w:tcW w:w="1620" w:type="dxa"/>
            <w:tcBorders>
              <w:top w:val="nil"/>
              <w:left w:val="nil"/>
              <w:bottom w:val="single" w:sz="4" w:space="0" w:color="auto"/>
              <w:right w:val="nil"/>
            </w:tcBorders>
            <w:shd w:val="clear" w:color="auto" w:fill="FFFFFF" w:themeFill="background1"/>
            <w:noWrap/>
            <w:vAlign w:val="center"/>
            <w:hideMark/>
          </w:tcPr>
          <w:p w14:paraId="2EFA6F7A" w14:textId="7A79D230" w:rsidR="00787BF9" w:rsidRPr="00B4512D" w:rsidRDefault="006272D8" w:rsidP="004B1105">
            <w:pPr>
              <w:rPr>
                <w:rFonts w:ascii="Calibri" w:hAnsi="Calibri" w:cs="Calibri"/>
                <w:color w:val="000000"/>
              </w:rPr>
            </w:pPr>
            <w:r>
              <w:rPr>
                <w:rFonts w:ascii="Calibri" w:hAnsi="Calibri" w:cs="Calibri"/>
                <w:color w:val="000000" w:themeColor="text1"/>
              </w:rPr>
              <w:t>High</w:t>
            </w:r>
            <w:r w:rsidRPr="399FB11E">
              <w:rPr>
                <w:rFonts w:ascii="Calibri" w:hAnsi="Calibri" w:cs="Calibri"/>
                <w:color w:val="000000" w:themeColor="text1"/>
              </w:rPr>
              <w:t xml:space="preserve"> </w:t>
            </w:r>
            <w:r w:rsidR="00787BF9" w:rsidRPr="399FB11E">
              <w:rPr>
                <w:rFonts w:ascii="Calibri" w:hAnsi="Calibri" w:cs="Calibri"/>
                <w:color w:val="000000" w:themeColor="text1"/>
              </w:rPr>
              <w:t xml:space="preserve">Income </w:t>
            </w:r>
          </w:p>
        </w:tc>
        <w:tc>
          <w:tcPr>
            <w:tcW w:w="1080" w:type="dxa"/>
            <w:tcBorders>
              <w:top w:val="nil"/>
              <w:left w:val="nil"/>
              <w:bottom w:val="single" w:sz="4" w:space="0" w:color="auto"/>
              <w:right w:val="nil"/>
            </w:tcBorders>
            <w:shd w:val="clear" w:color="auto" w:fill="F7EDEF"/>
            <w:noWrap/>
            <w:vAlign w:val="bottom"/>
            <w:hideMark/>
          </w:tcPr>
          <w:p w14:paraId="58936DE4" w14:textId="77777777" w:rsidR="00787BF9" w:rsidRPr="00B4512D" w:rsidRDefault="00787BF9" w:rsidP="000D3E77">
            <w:pPr>
              <w:rPr>
                <w:rFonts w:ascii="Calibri" w:hAnsi="Calibri" w:cs="Calibri"/>
                <w:color w:val="000000"/>
              </w:rPr>
            </w:pPr>
            <w:r w:rsidRPr="399FB11E">
              <w:rPr>
                <w:rFonts w:ascii="Calibri" w:hAnsi="Calibri" w:cs="Calibri"/>
                <w:color w:val="000000" w:themeColor="text1"/>
              </w:rPr>
              <w:t>4.8%</w:t>
            </w:r>
          </w:p>
        </w:tc>
        <w:tc>
          <w:tcPr>
            <w:tcW w:w="1130" w:type="dxa"/>
            <w:tcBorders>
              <w:top w:val="nil"/>
              <w:left w:val="nil"/>
              <w:bottom w:val="single" w:sz="4" w:space="0" w:color="auto"/>
              <w:right w:val="nil"/>
            </w:tcBorders>
            <w:shd w:val="clear" w:color="auto" w:fill="EEDCE0"/>
            <w:noWrap/>
            <w:vAlign w:val="bottom"/>
            <w:hideMark/>
          </w:tcPr>
          <w:p w14:paraId="2AEBA41D" w14:textId="77777777" w:rsidR="00787BF9" w:rsidRPr="00B4512D" w:rsidRDefault="00787BF9" w:rsidP="000D3E77">
            <w:pPr>
              <w:rPr>
                <w:rFonts w:ascii="Calibri" w:hAnsi="Calibri" w:cs="Calibri"/>
                <w:color w:val="000000"/>
              </w:rPr>
            </w:pPr>
            <w:r w:rsidRPr="399FB11E">
              <w:rPr>
                <w:rFonts w:ascii="Calibri" w:hAnsi="Calibri" w:cs="Calibri"/>
                <w:color w:val="000000" w:themeColor="text1"/>
              </w:rPr>
              <w:t>8.0%</w:t>
            </w:r>
          </w:p>
        </w:tc>
        <w:tc>
          <w:tcPr>
            <w:tcW w:w="1180" w:type="dxa"/>
            <w:tcBorders>
              <w:top w:val="nil"/>
              <w:left w:val="nil"/>
              <w:bottom w:val="single" w:sz="4" w:space="0" w:color="auto"/>
              <w:right w:val="nil"/>
            </w:tcBorders>
            <w:shd w:val="clear" w:color="auto" w:fill="CA929F"/>
            <w:noWrap/>
            <w:vAlign w:val="bottom"/>
            <w:hideMark/>
          </w:tcPr>
          <w:p w14:paraId="2D03AFAC" w14:textId="77777777" w:rsidR="00787BF9" w:rsidRPr="00B4512D" w:rsidRDefault="00787BF9" w:rsidP="000D3E77">
            <w:pPr>
              <w:rPr>
                <w:rFonts w:ascii="Calibri" w:hAnsi="Calibri" w:cs="Calibri"/>
                <w:color w:val="000000"/>
              </w:rPr>
            </w:pPr>
            <w:r w:rsidRPr="399FB11E">
              <w:rPr>
                <w:rFonts w:ascii="Calibri" w:hAnsi="Calibri" w:cs="Calibri"/>
                <w:color w:val="000000" w:themeColor="text1"/>
              </w:rPr>
              <w:t>21.4%</w:t>
            </w:r>
          </w:p>
        </w:tc>
        <w:tc>
          <w:tcPr>
            <w:tcW w:w="1020" w:type="dxa"/>
            <w:tcBorders>
              <w:top w:val="nil"/>
              <w:left w:val="nil"/>
              <w:bottom w:val="single" w:sz="4" w:space="0" w:color="auto"/>
              <w:right w:val="nil"/>
            </w:tcBorders>
            <w:shd w:val="clear" w:color="auto" w:fill="auto"/>
            <w:noWrap/>
            <w:vAlign w:val="center"/>
            <w:hideMark/>
          </w:tcPr>
          <w:p w14:paraId="017729BD" w14:textId="77777777" w:rsidR="00787BF9" w:rsidRPr="00B4512D" w:rsidRDefault="00787BF9" w:rsidP="004B1105">
            <w:pPr>
              <w:rPr>
                <w:rFonts w:ascii="Calibri" w:hAnsi="Calibri" w:cs="Calibri"/>
                <w:color w:val="000000"/>
              </w:rPr>
            </w:pPr>
            <w:r w:rsidRPr="399FB11E">
              <w:rPr>
                <w:rFonts w:ascii="Calibri" w:hAnsi="Calibri" w:cs="Calibri" w:hint="eastAsia"/>
                <w:color w:val="000000" w:themeColor="text1"/>
              </w:rPr>
              <w:t> </w:t>
            </w:r>
          </w:p>
        </w:tc>
      </w:tr>
      <w:tr w:rsidR="00F03AAF" w:rsidRPr="00364FB5" w14:paraId="6F8EA8EA" w14:textId="77777777" w:rsidTr="00E00D1C">
        <w:trPr>
          <w:trHeight w:val="340"/>
        </w:trPr>
        <w:tc>
          <w:tcPr>
            <w:tcW w:w="7596" w:type="dxa"/>
            <w:gridSpan w:val="8"/>
            <w:tcBorders>
              <w:top w:val="single" w:sz="4" w:space="0" w:color="auto"/>
              <w:left w:val="nil"/>
              <w:right w:val="nil"/>
            </w:tcBorders>
            <w:shd w:val="clear" w:color="auto" w:fill="auto"/>
            <w:noWrap/>
            <w:vAlign w:val="bottom"/>
          </w:tcPr>
          <w:p w14:paraId="5103FC4E" w14:textId="77777777" w:rsidR="000964EA" w:rsidRDefault="000964EA" w:rsidP="004B1105">
            <w:pPr>
              <w:rPr>
                <w:rFonts w:ascii="Calibri" w:hAnsi="Calibri" w:cs="Calibri"/>
                <w:color w:val="000000" w:themeColor="text1"/>
                <w:sz w:val="20"/>
                <w:szCs w:val="20"/>
              </w:rPr>
            </w:pPr>
            <w:r w:rsidRPr="000D3E77">
              <w:rPr>
                <w:rFonts w:ascii="Calibri" w:hAnsi="Calibri" w:cs="Calibri"/>
                <w:color w:val="000000" w:themeColor="text1"/>
                <w:sz w:val="20"/>
                <w:szCs w:val="20"/>
              </w:rPr>
              <w:t xml:space="preserve">Cells </w:t>
            </w:r>
            <w:proofErr w:type="gramStart"/>
            <w:r w:rsidRPr="000D3E77">
              <w:rPr>
                <w:rFonts w:ascii="Calibri" w:hAnsi="Calibri" w:cs="Calibri"/>
                <w:color w:val="000000" w:themeColor="text1"/>
                <w:sz w:val="20"/>
                <w:szCs w:val="20"/>
              </w:rPr>
              <w:t>shaded</w:t>
            </w:r>
            <w:proofErr w:type="gramEnd"/>
            <w:r w:rsidRPr="000D3E77">
              <w:rPr>
                <w:rFonts w:ascii="Calibri" w:hAnsi="Calibri" w:cs="Calibri"/>
                <w:color w:val="000000" w:themeColor="text1"/>
                <w:sz w:val="20"/>
                <w:szCs w:val="20"/>
              </w:rPr>
              <w:t xml:space="preserve"> to denote proportion of </w:t>
            </w:r>
            <w:r w:rsidR="00AD741F" w:rsidRPr="000D3E77">
              <w:rPr>
                <w:rFonts w:ascii="Calibri" w:hAnsi="Calibri" w:cs="Calibri"/>
                <w:color w:val="000000" w:themeColor="text1"/>
                <w:sz w:val="20"/>
                <w:szCs w:val="20"/>
              </w:rPr>
              <w:t>income and wealth</w:t>
            </w:r>
            <w:r w:rsidRPr="000D3E77">
              <w:rPr>
                <w:rFonts w:ascii="Calibri" w:hAnsi="Calibri" w:cs="Calibri"/>
                <w:color w:val="000000" w:themeColor="text1"/>
                <w:sz w:val="20"/>
                <w:szCs w:val="20"/>
              </w:rPr>
              <w:t xml:space="preserve"> group </w:t>
            </w:r>
            <w:r w:rsidR="006E0CB1" w:rsidRPr="000D3E77">
              <w:rPr>
                <w:rFonts w:ascii="Calibri" w:hAnsi="Calibri" w:cs="Calibri"/>
                <w:color w:val="000000" w:themeColor="text1"/>
                <w:sz w:val="20"/>
                <w:szCs w:val="20"/>
              </w:rPr>
              <w:t>within</w:t>
            </w:r>
            <w:r w:rsidRPr="000D3E77">
              <w:rPr>
                <w:rFonts w:ascii="Calibri" w:hAnsi="Calibri" w:cs="Calibri"/>
                <w:color w:val="000000" w:themeColor="text1"/>
                <w:sz w:val="20"/>
                <w:szCs w:val="20"/>
              </w:rPr>
              <w:t xml:space="preserve"> </w:t>
            </w:r>
            <w:r w:rsidR="00AD741F" w:rsidRPr="000D3E77">
              <w:rPr>
                <w:rFonts w:ascii="Calibri" w:hAnsi="Calibri" w:cs="Calibri"/>
                <w:color w:val="000000" w:themeColor="text1"/>
                <w:sz w:val="20"/>
                <w:szCs w:val="20"/>
              </w:rPr>
              <w:t>each</w:t>
            </w:r>
            <w:r w:rsidRPr="000D3E77">
              <w:rPr>
                <w:rFonts w:ascii="Calibri" w:hAnsi="Calibri" w:cs="Calibri"/>
                <w:color w:val="000000" w:themeColor="text1"/>
                <w:sz w:val="20"/>
                <w:szCs w:val="20"/>
              </w:rPr>
              <w:t xml:space="preserve"> race. Darker cells denote larger </w:t>
            </w:r>
            <w:r w:rsidR="006E0CB1" w:rsidRPr="000D3E77">
              <w:rPr>
                <w:rFonts w:ascii="Calibri" w:hAnsi="Calibri" w:cs="Calibri"/>
                <w:color w:val="000000" w:themeColor="text1"/>
                <w:sz w:val="20"/>
                <w:szCs w:val="20"/>
              </w:rPr>
              <w:t>shares</w:t>
            </w:r>
            <w:r w:rsidRPr="000D3E77">
              <w:rPr>
                <w:rFonts w:ascii="Calibri" w:hAnsi="Calibri" w:cs="Calibri"/>
                <w:color w:val="000000" w:themeColor="text1"/>
                <w:sz w:val="20"/>
                <w:szCs w:val="20"/>
              </w:rPr>
              <w:t>.</w:t>
            </w:r>
          </w:p>
          <w:p w14:paraId="112FBDBD" w14:textId="2D16925F" w:rsidR="000964EA" w:rsidRPr="000D3E77" w:rsidRDefault="00A7153D" w:rsidP="004B1105">
            <w:pPr>
              <w:rPr>
                <w:rFonts w:ascii="Calibri" w:hAnsi="Calibri" w:cs="Calibri"/>
                <w:color w:val="000000"/>
                <w:sz w:val="20"/>
                <w:szCs w:val="20"/>
              </w:rPr>
            </w:pPr>
            <w:r>
              <w:rPr>
                <w:rFonts w:ascii="Calibri" w:hAnsi="Calibri" w:cs="Calibri"/>
                <w:color w:val="000000" w:themeColor="text1"/>
                <w:sz w:val="20"/>
                <w:szCs w:val="20"/>
              </w:rPr>
              <w:t>SOURCE: IHEP analysis of PSID-TAS data (2005 – 2009).</w:t>
            </w:r>
          </w:p>
        </w:tc>
      </w:tr>
    </w:tbl>
    <w:p w14:paraId="3FDCE2A5" w14:textId="77777777" w:rsidR="003D6C30" w:rsidRPr="003D6C30" w:rsidRDefault="003D6C30" w:rsidP="004B1105">
      <w:pPr>
        <w:sectPr w:rsidR="003D6C30" w:rsidRPr="003D6C30" w:rsidSect="001A7A59">
          <w:footnotePr>
            <w:numFmt w:val="lowerRoman"/>
          </w:footnotePr>
          <w:endnotePr>
            <w:numFmt w:val="decimal"/>
          </w:endnotePr>
          <w:pgSz w:w="12240" w:h="15840"/>
          <w:pgMar w:top="1440" w:right="1440" w:bottom="1440" w:left="1440" w:header="720" w:footer="720" w:gutter="0"/>
          <w:cols w:space="720"/>
          <w:docGrid w:linePitch="360"/>
        </w:sectPr>
      </w:pPr>
    </w:p>
    <w:p w14:paraId="11D9AEAE" w14:textId="0E650C7C" w:rsidR="2B22875A" w:rsidRDefault="2B22875A" w:rsidP="004B1105">
      <w:pPr>
        <w:pStyle w:val="Heading1"/>
      </w:pPr>
      <w:bookmarkStart w:id="26" w:name="_Toc167901749"/>
      <w:r>
        <w:lastRenderedPageBreak/>
        <w:t xml:space="preserve">How </w:t>
      </w:r>
      <w:r w:rsidR="00D344C8">
        <w:t xml:space="preserve">Is </w:t>
      </w:r>
      <w:r>
        <w:t>Wealth</w:t>
      </w:r>
      <w:r w:rsidR="6E491CC4">
        <w:t xml:space="preserve"> </w:t>
      </w:r>
      <w:r w:rsidR="00F40349">
        <w:t xml:space="preserve">Associated </w:t>
      </w:r>
      <w:proofErr w:type="gramStart"/>
      <w:r w:rsidR="008A127E">
        <w:t>With</w:t>
      </w:r>
      <w:proofErr w:type="gramEnd"/>
      <w:r w:rsidR="008A127E">
        <w:t xml:space="preserve"> </w:t>
      </w:r>
      <w:r w:rsidR="00FC57EE">
        <w:t xml:space="preserve">College </w:t>
      </w:r>
      <w:r w:rsidR="00B24B43">
        <w:t>Saving</w:t>
      </w:r>
      <w:r w:rsidR="0083719B">
        <w:t>s,</w:t>
      </w:r>
      <w:r w:rsidR="00B24B43">
        <w:t xml:space="preserve"> </w:t>
      </w:r>
      <w:r w:rsidR="1EFBD0DD">
        <w:t>Enrollment</w:t>
      </w:r>
      <w:r w:rsidR="6E491CC4">
        <w:t xml:space="preserve">, Completion, </w:t>
      </w:r>
      <w:r w:rsidR="00751E07">
        <w:t xml:space="preserve">And </w:t>
      </w:r>
      <w:r w:rsidR="6E491CC4">
        <w:t>Borrowing</w:t>
      </w:r>
      <w:r w:rsidR="00F40349">
        <w:t>?</w:t>
      </w:r>
      <w:bookmarkEnd w:id="26"/>
    </w:p>
    <w:p w14:paraId="6EFB99D6" w14:textId="1260E263" w:rsidR="008E571D" w:rsidRDefault="008E571D" w:rsidP="004B1105">
      <w:pPr>
        <w:pStyle w:val="NoSpacing"/>
      </w:pPr>
    </w:p>
    <w:p w14:paraId="0E482E4B" w14:textId="4729CA8D" w:rsidR="00CA2994" w:rsidRDefault="006E2FE7" w:rsidP="004B1105">
      <w:pPr>
        <w:rPr>
          <w:rFonts w:ascii="Calibri" w:eastAsia="Calibri" w:hAnsi="Calibri" w:cs="Calibri"/>
        </w:rPr>
      </w:pPr>
      <w:r>
        <w:rPr>
          <w:rFonts w:ascii="Calibri" w:eastAsia="Calibri" w:hAnsi="Calibri" w:cs="Calibri"/>
        </w:rPr>
        <w:t xml:space="preserve">To explore </w:t>
      </w:r>
      <w:r w:rsidR="00583A73">
        <w:rPr>
          <w:rFonts w:ascii="Calibri" w:eastAsia="Calibri" w:hAnsi="Calibri" w:cs="Calibri"/>
        </w:rPr>
        <w:t xml:space="preserve">part of </w:t>
      </w:r>
      <w:r>
        <w:rPr>
          <w:rFonts w:ascii="Calibri" w:eastAsia="Calibri" w:hAnsi="Calibri" w:cs="Calibri"/>
        </w:rPr>
        <w:t xml:space="preserve">the cyclical relationship between higher education and </w:t>
      </w:r>
      <w:r w:rsidR="001B27D9">
        <w:rPr>
          <w:rFonts w:ascii="Calibri" w:eastAsia="Calibri" w:hAnsi="Calibri" w:cs="Calibri"/>
        </w:rPr>
        <w:t>wealth</w:t>
      </w:r>
      <w:r>
        <w:rPr>
          <w:rFonts w:ascii="Calibri" w:eastAsia="Calibri" w:hAnsi="Calibri" w:cs="Calibri"/>
        </w:rPr>
        <w:t>,</w:t>
      </w:r>
      <w:r w:rsidR="00B96BA5">
        <w:rPr>
          <w:rFonts w:ascii="Calibri" w:eastAsia="Calibri" w:hAnsi="Calibri" w:cs="Calibri"/>
        </w:rPr>
        <w:t xml:space="preserve"> </w:t>
      </w:r>
      <w:r w:rsidR="0790F808" w:rsidRPr="7A3AE31B">
        <w:rPr>
          <w:rFonts w:ascii="Calibri" w:eastAsia="Calibri" w:hAnsi="Calibri" w:cs="Calibri"/>
        </w:rPr>
        <w:t xml:space="preserve">this report </w:t>
      </w:r>
      <w:r w:rsidR="00C10F01" w:rsidRPr="58086C66">
        <w:rPr>
          <w:rFonts w:ascii="Calibri" w:eastAsia="Calibri" w:hAnsi="Calibri" w:cs="Calibri"/>
        </w:rPr>
        <w:t>analyze</w:t>
      </w:r>
      <w:r w:rsidR="2AF0476A" w:rsidRPr="58086C66">
        <w:rPr>
          <w:rFonts w:ascii="Calibri" w:eastAsia="Calibri" w:hAnsi="Calibri" w:cs="Calibri"/>
        </w:rPr>
        <w:t>s</w:t>
      </w:r>
      <w:r w:rsidR="00C10F01">
        <w:rPr>
          <w:rFonts w:ascii="Calibri" w:eastAsia="Calibri" w:hAnsi="Calibri" w:cs="Calibri"/>
        </w:rPr>
        <w:t xml:space="preserve"> selected research questions on</w:t>
      </w:r>
      <w:r w:rsidR="00B96BA5">
        <w:rPr>
          <w:rFonts w:ascii="Calibri" w:eastAsia="Calibri" w:hAnsi="Calibri" w:cs="Calibri"/>
        </w:rPr>
        <w:t xml:space="preserve"> </w:t>
      </w:r>
      <w:r w:rsidR="00583A73">
        <w:rPr>
          <w:rFonts w:ascii="Calibri" w:eastAsia="Calibri" w:hAnsi="Calibri" w:cs="Calibri"/>
        </w:rPr>
        <w:t xml:space="preserve">the relationship between wealth and college savings, attendance, borrowing, and completion. </w:t>
      </w:r>
      <w:r w:rsidR="795985C3" w:rsidRPr="09A32BED">
        <w:rPr>
          <w:rFonts w:ascii="Calibri" w:eastAsia="Calibri" w:hAnsi="Calibri" w:cs="Calibri"/>
        </w:rPr>
        <w:t>Specifically</w:t>
      </w:r>
      <w:r w:rsidR="002B245C">
        <w:rPr>
          <w:rFonts w:ascii="Calibri" w:eastAsia="Calibri" w:hAnsi="Calibri" w:cs="Calibri"/>
        </w:rPr>
        <w:t xml:space="preserve">, </w:t>
      </w:r>
      <w:r w:rsidR="007B346B" w:rsidRPr="58086C66">
        <w:rPr>
          <w:rFonts w:ascii="Calibri" w:eastAsia="Calibri" w:hAnsi="Calibri" w:cs="Calibri"/>
        </w:rPr>
        <w:t>it</w:t>
      </w:r>
      <w:r w:rsidR="002B245C" w:rsidRPr="58086C66">
        <w:rPr>
          <w:rFonts w:ascii="Calibri" w:eastAsia="Calibri" w:hAnsi="Calibri" w:cs="Calibri"/>
        </w:rPr>
        <w:t xml:space="preserve"> </w:t>
      </w:r>
      <w:r w:rsidR="795985C3" w:rsidRPr="58086C66">
        <w:rPr>
          <w:rFonts w:ascii="Calibri" w:eastAsia="Calibri" w:hAnsi="Calibri" w:cs="Calibri"/>
        </w:rPr>
        <w:t>examine</w:t>
      </w:r>
      <w:r w:rsidR="2220FF71" w:rsidRPr="58086C66">
        <w:rPr>
          <w:rFonts w:ascii="Calibri" w:eastAsia="Calibri" w:hAnsi="Calibri" w:cs="Calibri"/>
        </w:rPr>
        <w:t>s</w:t>
      </w:r>
      <w:r w:rsidR="000E2989">
        <w:rPr>
          <w:rFonts w:ascii="Calibri" w:eastAsia="Calibri" w:hAnsi="Calibri" w:cs="Calibri"/>
        </w:rPr>
        <w:t xml:space="preserve"> </w:t>
      </w:r>
      <w:r w:rsidR="3554B1D5" w:rsidRPr="09A32BED">
        <w:rPr>
          <w:rFonts w:ascii="Calibri" w:eastAsia="Calibri" w:hAnsi="Calibri" w:cs="Calibri"/>
        </w:rPr>
        <w:t xml:space="preserve">how considering </w:t>
      </w:r>
      <w:r w:rsidR="000E2989">
        <w:rPr>
          <w:rFonts w:ascii="Calibri" w:eastAsia="Calibri" w:hAnsi="Calibri" w:cs="Calibri"/>
        </w:rPr>
        <w:t xml:space="preserve">wealth data </w:t>
      </w:r>
      <w:r w:rsidR="32D5C2DB">
        <w:rPr>
          <w:rFonts w:ascii="Calibri" w:eastAsia="Calibri" w:hAnsi="Calibri" w:cs="Calibri"/>
        </w:rPr>
        <w:t>alongside income data</w:t>
      </w:r>
      <w:r w:rsidR="635894A5">
        <w:rPr>
          <w:rFonts w:ascii="Calibri" w:eastAsia="Calibri" w:hAnsi="Calibri" w:cs="Calibri"/>
        </w:rPr>
        <w:t xml:space="preserve"> </w:t>
      </w:r>
      <w:r w:rsidR="00D64EDC">
        <w:rPr>
          <w:rFonts w:ascii="Calibri" w:eastAsia="Calibri" w:hAnsi="Calibri" w:cs="Calibri"/>
        </w:rPr>
        <w:t>provides new insights on those outcomes</w:t>
      </w:r>
      <w:r w:rsidR="000F5E7D">
        <w:rPr>
          <w:rFonts w:ascii="Calibri" w:eastAsia="Calibri" w:hAnsi="Calibri" w:cs="Calibri"/>
        </w:rPr>
        <w:t xml:space="preserve">. </w:t>
      </w:r>
    </w:p>
    <w:p w14:paraId="2BE3F636" w14:textId="77777777" w:rsidR="009E452C" w:rsidRDefault="009E452C" w:rsidP="004B1105"/>
    <w:p w14:paraId="41ABA277" w14:textId="62500E72" w:rsidR="009E452C" w:rsidRPr="00DB75E8" w:rsidRDefault="00A917FE" w:rsidP="004B1105">
      <w:pPr>
        <w:rPr>
          <w:rFonts w:eastAsia="Calibri" w:cstheme="minorBidi"/>
        </w:rPr>
      </w:pPr>
      <w:r w:rsidRPr="2C4B3493">
        <w:rPr>
          <w:rFonts w:eastAsia="Calibri" w:cstheme="minorBidi"/>
        </w:rPr>
        <w:t>T</w:t>
      </w:r>
      <w:r w:rsidR="009E452C" w:rsidRPr="2C4B3493">
        <w:rPr>
          <w:rFonts w:eastAsia="Calibri" w:cstheme="minorBidi"/>
        </w:rPr>
        <w:t>h</w:t>
      </w:r>
      <w:r w:rsidRPr="2C4B3493">
        <w:rPr>
          <w:rFonts w:eastAsia="Calibri" w:cstheme="minorBidi"/>
        </w:rPr>
        <w:t>es</w:t>
      </w:r>
      <w:r w:rsidR="009E452C" w:rsidRPr="2C4B3493">
        <w:rPr>
          <w:rFonts w:eastAsia="Calibri" w:cstheme="minorBidi"/>
        </w:rPr>
        <w:t xml:space="preserve">e </w:t>
      </w:r>
      <w:r w:rsidRPr="2C4B3493">
        <w:rPr>
          <w:rFonts w:eastAsia="Calibri" w:cstheme="minorBidi"/>
        </w:rPr>
        <w:t>analyses rely</w:t>
      </w:r>
      <w:r w:rsidR="009E452C" w:rsidRPr="2C4B3493">
        <w:rPr>
          <w:rFonts w:eastAsia="Calibri" w:cstheme="minorBidi"/>
        </w:rPr>
        <w:t xml:space="preserve"> on data from the </w:t>
      </w:r>
      <w:r w:rsidR="00046D97" w:rsidRPr="2C4B3493">
        <w:rPr>
          <w:rFonts w:eastAsia="Calibri" w:cstheme="minorBidi"/>
        </w:rPr>
        <w:t>National Financial Capability Study (NFCS)</w:t>
      </w:r>
      <w:r w:rsidR="00046D97">
        <w:rPr>
          <w:rFonts w:eastAsia="Calibri" w:cstheme="minorBidi"/>
        </w:rPr>
        <w:t xml:space="preserve"> and the </w:t>
      </w:r>
      <w:r w:rsidR="009E452C" w:rsidRPr="2C4B3493">
        <w:rPr>
          <w:rFonts w:eastAsia="Calibri" w:cstheme="minorBidi"/>
        </w:rPr>
        <w:t xml:space="preserve">Panel Study of Income Dynamics Transition </w:t>
      </w:r>
      <w:r w:rsidR="00EE772F">
        <w:rPr>
          <w:rFonts w:eastAsia="Calibri" w:cstheme="minorBidi"/>
        </w:rPr>
        <w:t>in</w:t>
      </w:r>
      <w:r w:rsidR="009E452C" w:rsidRPr="2C4B3493">
        <w:rPr>
          <w:rFonts w:eastAsia="Calibri" w:cstheme="minorBidi"/>
        </w:rPr>
        <w:t xml:space="preserve">to Adulthood </w:t>
      </w:r>
      <w:r w:rsidR="00B423CF">
        <w:rPr>
          <w:rFonts w:eastAsia="Calibri" w:cstheme="minorBidi"/>
        </w:rPr>
        <w:t>S</w:t>
      </w:r>
      <w:r w:rsidR="009E452C" w:rsidRPr="2C4B3493">
        <w:rPr>
          <w:rFonts w:eastAsia="Calibri" w:cstheme="minorBidi"/>
        </w:rPr>
        <w:t xml:space="preserve">upplement </w:t>
      </w:r>
      <w:r w:rsidR="28848228" w:rsidRPr="2C4B3493">
        <w:rPr>
          <w:rFonts w:eastAsia="Calibri" w:cstheme="minorBidi"/>
        </w:rPr>
        <w:t>(</w:t>
      </w:r>
      <w:r w:rsidR="009E452C" w:rsidRPr="2C4B3493">
        <w:rPr>
          <w:rFonts w:eastAsia="Calibri" w:cstheme="minorBidi"/>
        </w:rPr>
        <w:t>PSID-TAS). U</w:t>
      </w:r>
      <w:r w:rsidR="00EE772F">
        <w:rPr>
          <w:rFonts w:eastAsia="Calibri" w:cstheme="minorBidi"/>
        </w:rPr>
        <w:t>s</w:t>
      </w:r>
      <w:r w:rsidR="009E452C" w:rsidRPr="2C4B3493">
        <w:rPr>
          <w:rFonts w:eastAsia="Calibri" w:cstheme="minorBidi"/>
        </w:rPr>
        <w:t xml:space="preserve">ing </w:t>
      </w:r>
      <w:r w:rsidR="0040748C" w:rsidRPr="2AE97BF5">
        <w:rPr>
          <w:rFonts w:eastAsia="Calibri" w:cstheme="minorBidi"/>
        </w:rPr>
        <w:t>NFCS shows</w:t>
      </w:r>
      <w:r w:rsidR="0040748C" w:rsidRPr="2C4B3493">
        <w:rPr>
          <w:rFonts w:eastAsia="Calibri" w:cstheme="minorBidi"/>
        </w:rPr>
        <w:t xml:space="preserve"> how wealth transfers </w:t>
      </w:r>
      <w:r w:rsidR="0040748C">
        <w:rPr>
          <w:rFonts w:eastAsia="Calibri" w:cstheme="minorBidi"/>
        </w:rPr>
        <w:t>are related to respondents’</w:t>
      </w:r>
      <w:r w:rsidR="0040748C" w:rsidRPr="2C4B3493">
        <w:rPr>
          <w:rFonts w:eastAsia="Calibri" w:cstheme="minorBidi"/>
        </w:rPr>
        <w:t xml:space="preserve"> ability to save money for the college education of their </w:t>
      </w:r>
      <w:r w:rsidR="0040748C" w:rsidRPr="2AE97BF5">
        <w:rPr>
          <w:rFonts w:eastAsia="Calibri" w:cstheme="minorBidi"/>
        </w:rPr>
        <w:t>children</w:t>
      </w:r>
      <w:r w:rsidR="00813428">
        <w:rPr>
          <w:rFonts w:eastAsia="Calibri" w:cstheme="minorBidi"/>
        </w:rPr>
        <w:t>. T</w:t>
      </w:r>
      <w:r w:rsidR="00046D97">
        <w:rPr>
          <w:rFonts w:eastAsia="Calibri" w:cstheme="minorBidi"/>
        </w:rPr>
        <w:t>he</w:t>
      </w:r>
      <w:r w:rsidR="009E452C" w:rsidRPr="2C4B3493">
        <w:rPr>
          <w:rFonts w:eastAsia="Calibri" w:cstheme="minorBidi"/>
        </w:rPr>
        <w:t xml:space="preserve"> PSID-TAS provides </w:t>
      </w:r>
      <w:r w:rsidR="03FD0632" w:rsidRPr="2C4B3493">
        <w:rPr>
          <w:rFonts w:eastAsia="Calibri" w:cstheme="minorBidi"/>
        </w:rPr>
        <w:t xml:space="preserve">insight </w:t>
      </w:r>
      <w:r w:rsidR="03FD0632" w:rsidRPr="2AE97BF5">
        <w:rPr>
          <w:rFonts w:eastAsia="Calibri" w:cstheme="minorBidi"/>
        </w:rPr>
        <w:t>into</w:t>
      </w:r>
      <w:r w:rsidR="009E452C" w:rsidRPr="2C4B3493">
        <w:rPr>
          <w:rFonts w:eastAsia="Calibri" w:cstheme="minorBidi"/>
        </w:rPr>
        <w:t xml:space="preserve"> associations between wealth and college-going, completion, and student loan borrowing for students from </w:t>
      </w:r>
      <w:r w:rsidR="00813428" w:rsidRPr="2C4B3493">
        <w:rPr>
          <w:rFonts w:eastAsia="Calibri" w:cstheme="minorBidi"/>
        </w:rPr>
        <w:t>similar</w:t>
      </w:r>
      <w:r w:rsidR="00813428">
        <w:rPr>
          <w:rFonts w:eastAsia="Calibri" w:cstheme="minorBidi"/>
        </w:rPr>
        <w:t>-</w:t>
      </w:r>
      <w:r w:rsidR="009E452C" w:rsidRPr="2C4B3493">
        <w:rPr>
          <w:rFonts w:eastAsia="Calibri" w:cstheme="minorBidi"/>
        </w:rPr>
        <w:t>income households</w:t>
      </w:r>
      <w:r w:rsidR="009E452C" w:rsidRPr="2AE97BF5">
        <w:rPr>
          <w:rFonts w:eastAsia="Calibri" w:cstheme="minorBidi"/>
        </w:rPr>
        <w:t>.</w:t>
      </w:r>
    </w:p>
    <w:p w14:paraId="708492F5" w14:textId="77777777" w:rsidR="009E452C" w:rsidRPr="00DB75E8" w:rsidRDefault="009E452C" w:rsidP="004B1105">
      <w:pPr>
        <w:rPr>
          <w:rFonts w:eastAsia="Calibri" w:cstheme="minorHAnsi"/>
          <w:szCs w:val="22"/>
        </w:rPr>
      </w:pPr>
    </w:p>
    <w:p w14:paraId="44394C0F" w14:textId="2A2C6795" w:rsidR="005016CE" w:rsidRDefault="009E452C" w:rsidP="004B1105">
      <w:pPr>
        <w:rPr>
          <w:rFonts w:cstheme="minorBidi"/>
        </w:rPr>
      </w:pPr>
      <w:r w:rsidRPr="73145AE4">
        <w:rPr>
          <w:rFonts w:cstheme="minorBidi"/>
        </w:rPr>
        <w:t>However, there are notable limitations for both data sources</w:t>
      </w:r>
      <w:r w:rsidR="005653C9">
        <w:rPr>
          <w:rFonts w:cstheme="minorBidi"/>
        </w:rPr>
        <w:t xml:space="preserve"> that shape the </w:t>
      </w:r>
      <w:r w:rsidR="003E05ED" w:rsidRPr="289628BC">
        <w:rPr>
          <w:rFonts w:cstheme="minorBidi"/>
        </w:rPr>
        <w:t>findings</w:t>
      </w:r>
      <w:r w:rsidR="005653C9">
        <w:rPr>
          <w:rFonts w:cstheme="minorBidi"/>
        </w:rPr>
        <w:t xml:space="preserve"> presented in this report</w:t>
      </w:r>
      <w:r w:rsidRPr="73145AE4">
        <w:rPr>
          <w:rFonts w:cstheme="minorBidi"/>
        </w:rPr>
        <w:t xml:space="preserve">. </w:t>
      </w:r>
      <w:r w:rsidR="00F975C5">
        <w:rPr>
          <w:rFonts w:cstheme="minorBidi"/>
        </w:rPr>
        <w:t>The</w:t>
      </w:r>
      <w:r w:rsidR="00F975C5" w:rsidRPr="73145AE4">
        <w:rPr>
          <w:rFonts w:cstheme="minorBidi"/>
        </w:rPr>
        <w:t xml:space="preserve"> NFCS </w:t>
      </w:r>
      <w:r w:rsidR="00F975C5" w:rsidRPr="4BFFA0B8">
        <w:rPr>
          <w:rFonts w:cstheme="minorBidi"/>
        </w:rPr>
        <w:t>lacks</w:t>
      </w:r>
      <w:r w:rsidR="00F975C5" w:rsidRPr="73145AE4">
        <w:rPr>
          <w:rFonts w:cstheme="minorBidi"/>
        </w:rPr>
        <w:t xml:space="preserve"> a measure of net worth, </w:t>
      </w:r>
      <w:r w:rsidR="00F975C5">
        <w:rPr>
          <w:rFonts w:cstheme="minorBidi"/>
        </w:rPr>
        <w:t xml:space="preserve">though wealth transfers from parents or grandparents can be used </w:t>
      </w:r>
      <w:r w:rsidR="00F975C5" w:rsidRPr="73145AE4">
        <w:rPr>
          <w:rFonts w:cstheme="minorBidi"/>
        </w:rPr>
        <w:t>as a rough proxy</w:t>
      </w:r>
      <w:r w:rsidR="00F975C5">
        <w:rPr>
          <w:rFonts w:cstheme="minorBidi"/>
        </w:rPr>
        <w:t xml:space="preserve"> for wealth</w:t>
      </w:r>
      <w:r w:rsidR="00F975C5" w:rsidRPr="73145AE4">
        <w:rPr>
          <w:rFonts w:cstheme="minorBidi"/>
        </w:rPr>
        <w:t>.</w:t>
      </w:r>
      <w:r w:rsidR="00813428">
        <w:rPr>
          <w:rFonts w:cstheme="minorBidi"/>
        </w:rPr>
        <w:t xml:space="preserve"> T</w:t>
      </w:r>
      <w:r w:rsidR="005653C9">
        <w:rPr>
          <w:rFonts w:cstheme="minorBidi"/>
        </w:rPr>
        <w:t xml:space="preserve">he </w:t>
      </w:r>
      <w:r w:rsidRPr="73145AE4">
        <w:rPr>
          <w:rFonts w:cstheme="minorBidi"/>
        </w:rPr>
        <w:t>PSID</w:t>
      </w:r>
      <w:r w:rsidR="00854638">
        <w:rPr>
          <w:rFonts w:cstheme="minorBidi"/>
        </w:rPr>
        <w:t>-TAS</w:t>
      </w:r>
      <w:r w:rsidRPr="73145AE4">
        <w:rPr>
          <w:rFonts w:cstheme="minorBidi"/>
        </w:rPr>
        <w:t xml:space="preserve"> sample </w:t>
      </w:r>
      <w:r w:rsidR="00F05157" w:rsidRPr="73145AE4">
        <w:rPr>
          <w:rFonts w:cstheme="minorBidi"/>
        </w:rPr>
        <w:t>only includes</w:t>
      </w:r>
      <w:r w:rsidRPr="73145AE4">
        <w:rPr>
          <w:rFonts w:cstheme="minorBidi"/>
        </w:rPr>
        <w:t xml:space="preserve"> households with a young </w:t>
      </w:r>
      <w:r w:rsidR="000DE430" w:rsidRPr="73145AE4">
        <w:rPr>
          <w:rFonts w:cstheme="minorBidi"/>
        </w:rPr>
        <w:t>adult</w:t>
      </w:r>
      <w:r w:rsidRPr="73145AE4">
        <w:rPr>
          <w:rFonts w:cstheme="minorBidi"/>
        </w:rPr>
        <w:t xml:space="preserve"> aged 18</w:t>
      </w:r>
      <w:r w:rsidR="00211A98">
        <w:rPr>
          <w:rFonts w:cstheme="minorBidi"/>
        </w:rPr>
        <w:t xml:space="preserve"> to </w:t>
      </w:r>
      <w:r w:rsidRPr="73145AE4">
        <w:rPr>
          <w:rFonts w:cstheme="minorBidi"/>
        </w:rPr>
        <w:t xml:space="preserve">28, </w:t>
      </w:r>
      <w:r w:rsidR="00AD0091" w:rsidRPr="00AB051D">
        <w:rPr>
          <w:rFonts w:cstheme="minorBidi"/>
        </w:rPr>
        <w:t>limi</w:t>
      </w:r>
      <w:r w:rsidR="00855E64" w:rsidRPr="00AB051D">
        <w:rPr>
          <w:rFonts w:cstheme="minorBidi"/>
        </w:rPr>
        <w:t>t</w:t>
      </w:r>
      <w:r w:rsidR="00AD0091" w:rsidRPr="00AB051D">
        <w:rPr>
          <w:rFonts w:cstheme="minorBidi"/>
        </w:rPr>
        <w:t>ing</w:t>
      </w:r>
      <w:r w:rsidR="00AD0091">
        <w:rPr>
          <w:rFonts w:cstheme="minorBidi"/>
        </w:rPr>
        <w:t xml:space="preserve"> full</w:t>
      </w:r>
      <w:r w:rsidRPr="73145AE4">
        <w:rPr>
          <w:rFonts w:cstheme="minorBidi"/>
        </w:rPr>
        <w:t xml:space="preserve"> understand</w:t>
      </w:r>
      <w:r w:rsidR="00AD0091">
        <w:rPr>
          <w:rFonts w:cstheme="minorBidi"/>
        </w:rPr>
        <w:t>ing of</w:t>
      </w:r>
      <w:r w:rsidRPr="73145AE4">
        <w:rPr>
          <w:rFonts w:cstheme="minorBidi"/>
        </w:rPr>
        <w:t xml:space="preserve"> the relationship between household wealth and higher education for older adults</w:t>
      </w:r>
      <w:r w:rsidR="0701F36D" w:rsidRPr="73145AE4">
        <w:rPr>
          <w:rFonts w:cstheme="minorBidi"/>
        </w:rPr>
        <w:t xml:space="preserve">. </w:t>
      </w:r>
    </w:p>
    <w:p w14:paraId="089EF801" w14:textId="77777777" w:rsidR="005016CE" w:rsidRDefault="005016CE" w:rsidP="004B1105">
      <w:pPr>
        <w:rPr>
          <w:rFonts w:cstheme="minorHAnsi"/>
          <w:szCs w:val="22"/>
        </w:rPr>
      </w:pPr>
    </w:p>
    <w:p w14:paraId="47EFD76E" w14:textId="0D7CBF85" w:rsidR="004E219A" w:rsidRDefault="00A64749" w:rsidP="004B1105">
      <w:pPr>
        <w:rPr>
          <w:rFonts w:cstheme="minorBidi"/>
        </w:rPr>
      </w:pPr>
      <w:r w:rsidRPr="73145AE4">
        <w:rPr>
          <w:rFonts w:cstheme="minorBidi"/>
        </w:rPr>
        <w:t xml:space="preserve">Furthermore, </w:t>
      </w:r>
      <w:r w:rsidR="005D2359" w:rsidRPr="73145AE4">
        <w:rPr>
          <w:rFonts w:cstheme="minorBidi"/>
        </w:rPr>
        <w:t>sample size constraints</w:t>
      </w:r>
      <w:r w:rsidR="004E219A" w:rsidRPr="73145AE4">
        <w:rPr>
          <w:rFonts w:cstheme="minorBidi"/>
        </w:rPr>
        <w:t xml:space="preserve"> in the data </w:t>
      </w:r>
      <w:r w:rsidR="00922A94">
        <w:rPr>
          <w:rFonts w:cstheme="minorBidi"/>
        </w:rPr>
        <w:t xml:space="preserve">dampen the ability to identify statistically significant trends and </w:t>
      </w:r>
      <w:r w:rsidR="004E219A" w:rsidRPr="1EED06A7">
        <w:rPr>
          <w:rFonts w:cstheme="minorBidi"/>
        </w:rPr>
        <w:t>prevent</w:t>
      </w:r>
      <w:r w:rsidR="004E219A" w:rsidRPr="73145AE4">
        <w:rPr>
          <w:rFonts w:cstheme="minorBidi"/>
        </w:rPr>
        <w:t xml:space="preserve"> </w:t>
      </w:r>
      <w:r w:rsidR="00524756">
        <w:rPr>
          <w:rFonts w:cstheme="minorBidi"/>
        </w:rPr>
        <w:t>the</w:t>
      </w:r>
      <w:r w:rsidR="004E219A" w:rsidRPr="73145AE4">
        <w:rPr>
          <w:rFonts w:cstheme="minorBidi"/>
        </w:rPr>
        <w:t xml:space="preserve"> </w:t>
      </w:r>
      <w:r w:rsidR="6B66017F" w:rsidRPr="73145AE4">
        <w:rPr>
          <w:rFonts w:cstheme="minorBidi"/>
        </w:rPr>
        <w:t>analy</w:t>
      </w:r>
      <w:r w:rsidR="589684ED" w:rsidRPr="73145AE4">
        <w:rPr>
          <w:rFonts w:cstheme="minorBidi"/>
        </w:rPr>
        <w:t xml:space="preserve">sis </w:t>
      </w:r>
      <w:r w:rsidR="589684ED" w:rsidRPr="1EED06A7">
        <w:rPr>
          <w:rFonts w:cstheme="minorBidi"/>
        </w:rPr>
        <w:t>of</w:t>
      </w:r>
      <w:r w:rsidR="004E219A" w:rsidRPr="73145AE4">
        <w:rPr>
          <w:rFonts w:cstheme="minorBidi"/>
        </w:rPr>
        <w:t xml:space="preserve"> data for all racial and ethnic groups.</w:t>
      </w:r>
      <w:r w:rsidR="00A5318A">
        <w:rPr>
          <w:rFonts w:cstheme="minorBidi"/>
        </w:rPr>
        <w:t xml:space="preserve"> </w:t>
      </w:r>
      <w:r w:rsidR="2F6F5458" w:rsidRPr="176A4F65">
        <w:rPr>
          <w:rFonts w:cstheme="minorBidi"/>
        </w:rPr>
        <w:t>Both the</w:t>
      </w:r>
      <w:r w:rsidR="2F6F5458" w:rsidRPr="4C81843D">
        <w:rPr>
          <w:rFonts w:cstheme="minorBidi"/>
        </w:rPr>
        <w:t xml:space="preserve"> NFCS and PSID</w:t>
      </w:r>
      <w:r w:rsidR="2F6F5458" w:rsidRPr="176A4F65">
        <w:rPr>
          <w:rFonts w:cstheme="minorBidi"/>
        </w:rPr>
        <w:t xml:space="preserve"> </w:t>
      </w:r>
      <w:r w:rsidRPr="176A4F65" w:rsidDel="00B20CD6">
        <w:rPr>
          <w:rFonts w:cstheme="minorBidi"/>
        </w:rPr>
        <w:t>s</w:t>
      </w:r>
      <w:r w:rsidR="00B20CD6" w:rsidRPr="176A4F65">
        <w:rPr>
          <w:rFonts w:cstheme="minorBidi"/>
        </w:rPr>
        <w:t>ample</w:t>
      </w:r>
      <w:r w:rsidR="00A83546" w:rsidRPr="176A4F65">
        <w:rPr>
          <w:rFonts w:cstheme="minorBidi"/>
        </w:rPr>
        <w:t>s</w:t>
      </w:r>
      <w:r w:rsidR="00775925">
        <w:rPr>
          <w:rFonts w:cstheme="minorBidi"/>
        </w:rPr>
        <w:t xml:space="preserve"> </w:t>
      </w:r>
      <w:r w:rsidR="00B20CD6">
        <w:rPr>
          <w:rFonts w:cstheme="minorBidi"/>
        </w:rPr>
        <w:t xml:space="preserve">are sufficiently large to report findings for </w:t>
      </w:r>
      <w:r w:rsidR="009846B1" w:rsidRPr="001209D0">
        <w:rPr>
          <w:rFonts w:cstheme="minorBidi"/>
          <w:i/>
          <w:iCs/>
        </w:rPr>
        <w:t>White</w:t>
      </w:r>
      <w:r w:rsidR="009846B1" w:rsidRPr="001209D0">
        <w:rPr>
          <w:rFonts w:cstheme="minorBidi"/>
        </w:rPr>
        <w:t xml:space="preserve">, </w:t>
      </w:r>
      <w:r w:rsidR="009846B1" w:rsidRPr="001209D0">
        <w:rPr>
          <w:rFonts w:cstheme="minorBidi"/>
          <w:i/>
          <w:iCs/>
        </w:rPr>
        <w:t>Black</w:t>
      </w:r>
      <w:r w:rsidR="00B4524F" w:rsidRPr="001209D0">
        <w:rPr>
          <w:rFonts w:cstheme="minorBidi"/>
        </w:rPr>
        <w:t xml:space="preserve">, and </w:t>
      </w:r>
      <w:r w:rsidR="00B4524F" w:rsidRPr="001209D0">
        <w:rPr>
          <w:rFonts w:cstheme="minorBidi"/>
          <w:i/>
          <w:iCs/>
        </w:rPr>
        <w:t>Latinx</w:t>
      </w:r>
      <w:r w:rsidR="00B4524F" w:rsidRPr="001209D0">
        <w:rPr>
          <w:rFonts w:cstheme="minorBidi"/>
        </w:rPr>
        <w:t xml:space="preserve"> </w:t>
      </w:r>
      <w:r w:rsidR="00786DBB" w:rsidRPr="001209D0">
        <w:rPr>
          <w:rFonts w:cstheme="minorBidi"/>
        </w:rPr>
        <w:t>individuals</w:t>
      </w:r>
      <w:r w:rsidR="458983CB" w:rsidRPr="2838FC5B">
        <w:rPr>
          <w:rFonts w:cstheme="minorBidi"/>
        </w:rPr>
        <w:t>.</w:t>
      </w:r>
      <w:r w:rsidR="00E56352" w:rsidRPr="6F246999">
        <w:rPr>
          <w:rFonts w:cstheme="minorBidi"/>
        </w:rPr>
        <w:t xml:space="preserve"> </w:t>
      </w:r>
      <w:r w:rsidR="56361FE9" w:rsidRPr="6F246999">
        <w:rPr>
          <w:rFonts w:cstheme="minorBidi"/>
        </w:rPr>
        <w:t>However</w:t>
      </w:r>
      <w:r w:rsidR="00E9002B" w:rsidRPr="6F246999">
        <w:rPr>
          <w:rFonts w:cstheme="minorBidi"/>
        </w:rPr>
        <w:t>,</w:t>
      </w:r>
      <w:r w:rsidR="00E56352">
        <w:rPr>
          <w:rFonts w:cstheme="minorBidi"/>
        </w:rPr>
        <w:t xml:space="preserve"> </w:t>
      </w:r>
      <w:r w:rsidR="37548BF8" w:rsidRPr="62367127">
        <w:rPr>
          <w:rFonts w:cstheme="minorBidi"/>
        </w:rPr>
        <w:t xml:space="preserve">this </w:t>
      </w:r>
      <w:r w:rsidR="62C2256D" w:rsidRPr="1423CD66">
        <w:rPr>
          <w:rFonts w:cstheme="minorBidi"/>
        </w:rPr>
        <w:t>study</w:t>
      </w:r>
      <w:r w:rsidR="37548BF8" w:rsidRPr="62367127">
        <w:rPr>
          <w:rFonts w:cstheme="minorBidi"/>
        </w:rPr>
        <w:t xml:space="preserve"> combines other racial and ethnic groups</w:t>
      </w:r>
      <w:r w:rsidR="7A9B0A2E" w:rsidRPr="6D8ECA38">
        <w:rPr>
          <w:rFonts w:cstheme="minorBidi"/>
        </w:rPr>
        <w:t xml:space="preserve">, which were </w:t>
      </w:r>
      <w:r w:rsidR="7A9B0A2E" w:rsidRPr="11F4B11F">
        <w:rPr>
          <w:rFonts w:cstheme="minorBidi"/>
        </w:rPr>
        <w:t xml:space="preserve">often subject to small sample </w:t>
      </w:r>
      <w:r w:rsidR="7A9B0A2E" w:rsidRPr="74A70B67">
        <w:rPr>
          <w:rFonts w:cstheme="minorBidi"/>
        </w:rPr>
        <w:t>concerns</w:t>
      </w:r>
      <w:r w:rsidR="1C3A8558" w:rsidRPr="11F4B11F">
        <w:rPr>
          <w:rFonts w:cstheme="minorBidi"/>
        </w:rPr>
        <w:t>.</w:t>
      </w:r>
      <w:r w:rsidR="37548BF8" w:rsidRPr="62367127">
        <w:rPr>
          <w:rFonts w:cstheme="minorBidi"/>
        </w:rPr>
        <w:t xml:space="preserve"> </w:t>
      </w:r>
      <w:r w:rsidR="0042570F" w:rsidRPr="41DE2521">
        <w:rPr>
          <w:rFonts w:cstheme="minorBidi"/>
        </w:rPr>
        <w:t xml:space="preserve">For </w:t>
      </w:r>
      <w:r w:rsidR="7D592E9B" w:rsidRPr="41DE2521">
        <w:rPr>
          <w:rFonts w:cstheme="minorBidi"/>
        </w:rPr>
        <w:t xml:space="preserve">analyses </w:t>
      </w:r>
      <w:r w:rsidR="2AC383E2" w:rsidRPr="1423CD66">
        <w:rPr>
          <w:rFonts w:cstheme="minorBidi"/>
        </w:rPr>
        <w:t>using</w:t>
      </w:r>
      <w:r w:rsidR="0042570F">
        <w:rPr>
          <w:rFonts w:cstheme="minorBidi"/>
        </w:rPr>
        <w:t xml:space="preserve"> </w:t>
      </w:r>
      <w:r w:rsidR="00172664">
        <w:rPr>
          <w:rFonts w:cstheme="minorBidi"/>
        </w:rPr>
        <w:t>PSID</w:t>
      </w:r>
      <w:r w:rsidR="08D130F2" w:rsidRPr="41DE2521">
        <w:rPr>
          <w:rFonts w:cstheme="minorBidi"/>
        </w:rPr>
        <w:t>,</w:t>
      </w:r>
      <w:r w:rsidR="00172664">
        <w:rPr>
          <w:rFonts w:cstheme="minorBidi"/>
        </w:rPr>
        <w:t xml:space="preserve"> </w:t>
      </w:r>
      <w:r w:rsidR="00460492">
        <w:rPr>
          <w:rFonts w:cstheme="minorBidi"/>
        </w:rPr>
        <w:t>respondents</w:t>
      </w:r>
      <w:r w:rsidR="00FC15F3">
        <w:rPr>
          <w:rFonts w:cstheme="minorBidi"/>
        </w:rPr>
        <w:t xml:space="preserve"> </w:t>
      </w:r>
      <w:r w:rsidR="008216DE">
        <w:rPr>
          <w:rFonts w:cstheme="minorBidi"/>
        </w:rPr>
        <w:t xml:space="preserve">who are </w:t>
      </w:r>
      <w:r w:rsidR="00513203">
        <w:rPr>
          <w:rFonts w:cstheme="minorBidi"/>
        </w:rPr>
        <w:t>Asian, Native Hawaiian</w:t>
      </w:r>
      <w:r w:rsidR="008216DE">
        <w:rPr>
          <w:rFonts w:cstheme="minorBidi"/>
        </w:rPr>
        <w:t xml:space="preserve">, </w:t>
      </w:r>
      <w:r w:rsidR="00513203">
        <w:rPr>
          <w:rFonts w:cstheme="minorBidi"/>
        </w:rPr>
        <w:t xml:space="preserve">Pacific Islander, </w:t>
      </w:r>
      <w:r w:rsidR="00F0296F">
        <w:rPr>
          <w:rFonts w:cstheme="minorBidi"/>
        </w:rPr>
        <w:t xml:space="preserve">American Indian or Alaska Native, </w:t>
      </w:r>
      <w:r w:rsidR="00513203">
        <w:rPr>
          <w:rFonts w:cstheme="minorBidi"/>
        </w:rPr>
        <w:t>Middle Eastern or North African</w:t>
      </w:r>
      <w:r w:rsidR="0059220B">
        <w:rPr>
          <w:rFonts w:cstheme="minorBidi"/>
        </w:rPr>
        <w:t>,</w:t>
      </w:r>
      <w:r w:rsidR="00103203">
        <w:rPr>
          <w:rFonts w:cstheme="minorBidi"/>
        </w:rPr>
        <w:t xml:space="preserve"> </w:t>
      </w:r>
      <w:r w:rsidR="00FD4044">
        <w:rPr>
          <w:rFonts w:cstheme="minorBidi"/>
        </w:rPr>
        <w:t xml:space="preserve">two or more races, and individuals of other </w:t>
      </w:r>
      <w:r w:rsidR="00FD4044" w:rsidRPr="675F4AC2">
        <w:rPr>
          <w:rFonts w:cstheme="minorBidi"/>
        </w:rPr>
        <w:t>races</w:t>
      </w:r>
      <w:r w:rsidR="2A145337" w:rsidRPr="675F4AC2">
        <w:rPr>
          <w:rFonts w:cstheme="minorBidi"/>
        </w:rPr>
        <w:t xml:space="preserve"> are grouped as </w:t>
      </w:r>
      <w:r w:rsidR="2A145337" w:rsidRPr="001209D0">
        <w:rPr>
          <w:rFonts w:cstheme="minorBidi"/>
          <w:i/>
        </w:rPr>
        <w:t xml:space="preserve">another </w:t>
      </w:r>
      <w:r w:rsidR="2A145337" w:rsidRPr="001209D0">
        <w:rPr>
          <w:rFonts w:cstheme="minorBidi"/>
          <w:i/>
          <w:iCs/>
        </w:rPr>
        <w:t>race</w:t>
      </w:r>
      <w:r w:rsidR="00E44EDA" w:rsidRPr="00FC127B">
        <w:rPr>
          <w:rFonts w:cstheme="minorBidi"/>
        </w:rPr>
        <w:t>.</w:t>
      </w:r>
      <w:r w:rsidR="00FD4044">
        <w:rPr>
          <w:rFonts w:cstheme="minorBidi"/>
        </w:rPr>
        <w:t xml:space="preserve"> </w:t>
      </w:r>
      <w:r w:rsidR="064267E7" w:rsidRPr="5C1D3F98">
        <w:rPr>
          <w:rFonts w:cstheme="minorBidi"/>
        </w:rPr>
        <w:t xml:space="preserve">For analyses using NFCS, </w:t>
      </w:r>
      <w:r w:rsidR="5DBFBD8F" w:rsidRPr="5C1D3F98">
        <w:rPr>
          <w:rFonts w:cstheme="minorBidi"/>
          <w:i/>
          <w:iCs/>
        </w:rPr>
        <w:t>Asian American and Pacific Islanders</w:t>
      </w:r>
      <w:r w:rsidR="5DBFBD8F" w:rsidRPr="5C1D3F98">
        <w:rPr>
          <w:rFonts w:cstheme="minorBidi"/>
        </w:rPr>
        <w:t xml:space="preserve"> (AAPI)</w:t>
      </w:r>
      <w:r w:rsidRPr="5C1D3F98">
        <w:rPr>
          <w:rStyle w:val="EndnoteReference"/>
          <w:rFonts w:cstheme="minorBidi"/>
        </w:rPr>
        <w:endnoteReference w:id="58"/>
      </w:r>
      <w:r w:rsidR="5DBFBD8F" w:rsidRPr="48292306">
        <w:rPr>
          <w:rFonts w:cstheme="minorBidi"/>
        </w:rPr>
        <w:t xml:space="preserve"> respondents </w:t>
      </w:r>
      <w:r w:rsidR="5DBFBD8F" w:rsidRPr="0D8D5FB6">
        <w:rPr>
          <w:rFonts w:cstheme="minorBidi"/>
        </w:rPr>
        <w:t>are</w:t>
      </w:r>
      <w:r w:rsidR="52B51D1E" w:rsidRPr="0D8D5FB6">
        <w:rPr>
          <w:rFonts w:cstheme="minorBidi"/>
        </w:rPr>
        <w:t xml:space="preserve"> reported</w:t>
      </w:r>
      <w:r w:rsidR="52B51D1E" w:rsidRPr="498093F0">
        <w:rPr>
          <w:rFonts w:cstheme="minorBidi"/>
        </w:rPr>
        <w:t xml:space="preserve"> as a separate category</w:t>
      </w:r>
      <w:r w:rsidR="71062D08" w:rsidRPr="498093F0">
        <w:rPr>
          <w:rFonts w:cstheme="minorBidi"/>
        </w:rPr>
        <w:t>.</w:t>
      </w:r>
      <w:r w:rsidR="5DBFBD8F" w:rsidRPr="7CF7ABB3">
        <w:rPr>
          <w:rFonts w:cstheme="minorBidi"/>
        </w:rPr>
        <w:t xml:space="preserve"> </w:t>
      </w:r>
      <w:r w:rsidR="1F4DDF6C" w:rsidRPr="0D8D5FB6">
        <w:rPr>
          <w:rFonts w:cstheme="minorBidi"/>
        </w:rPr>
        <w:t>Th</w:t>
      </w:r>
      <w:r w:rsidR="00D607A7" w:rsidRPr="0D8D5FB6">
        <w:rPr>
          <w:rFonts w:cstheme="minorBidi"/>
        </w:rPr>
        <w:t>e</w:t>
      </w:r>
      <w:r w:rsidR="33AD7948" w:rsidRPr="60D9A368">
        <w:rPr>
          <w:rFonts w:cstheme="minorBidi"/>
        </w:rPr>
        <w:t xml:space="preserve"> NFCS</w:t>
      </w:r>
      <w:r w:rsidR="00D607A7">
        <w:rPr>
          <w:rFonts w:cstheme="minorBidi"/>
        </w:rPr>
        <w:t xml:space="preserve"> </w:t>
      </w:r>
      <w:r w:rsidR="00D607A7">
        <w:rPr>
          <w:rFonts w:cstheme="minorBidi"/>
          <w:i/>
          <w:iCs/>
        </w:rPr>
        <w:t>another race</w:t>
      </w:r>
      <w:r w:rsidR="00D607A7">
        <w:rPr>
          <w:rFonts w:cstheme="minorBidi"/>
        </w:rPr>
        <w:t xml:space="preserve"> category is </w:t>
      </w:r>
      <w:r w:rsidR="2C21E538" w:rsidRPr="7CF7ABB3">
        <w:rPr>
          <w:rFonts w:cstheme="minorBidi"/>
        </w:rPr>
        <w:t xml:space="preserve">otherwise </w:t>
      </w:r>
      <w:proofErr w:type="gramStart"/>
      <w:r w:rsidR="00D607A7">
        <w:rPr>
          <w:rFonts w:cstheme="minorBidi"/>
        </w:rPr>
        <w:t xml:space="preserve">similar </w:t>
      </w:r>
      <w:r w:rsidR="6CA3E60D" w:rsidRPr="42CCF2F5">
        <w:rPr>
          <w:rFonts w:cstheme="minorBidi"/>
        </w:rPr>
        <w:t>to</w:t>
      </w:r>
      <w:proofErr w:type="gramEnd"/>
      <w:r w:rsidR="6CA3E60D" w:rsidRPr="42CCF2F5">
        <w:rPr>
          <w:rFonts w:cstheme="minorBidi"/>
        </w:rPr>
        <w:t xml:space="preserve"> the PSID </w:t>
      </w:r>
      <w:r w:rsidR="6CA3E60D" w:rsidRPr="001209D0">
        <w:rPr>
          <w:rFonts w:cstheme="minorBidi"/>
          <w:i/>
          <w:iCs/>
        </w:rPr>
        <w:t xml:space="preserve">another race </w:t>
      </w:r>
      <w:r w:rsidR="6CA3E60D" w:rsidRPr="42CCF2F5">
        <w:rPr>
          <w:rFonts w:cstheme="minorBidi"/>
        </w:rPr>
        <w:t>category.</w:t>
      </w:r>
      <w:r w:rsidR="00FC127B" w:rsidRPr="7CF7ABB3">
        <w:rPr>
          <w:rFonts w:cstheme="minorBidi"/>
        </w:rPr>
        <w:t xml:space="preserve"> </w:t>
      </w:r>
      <w:r w:rsidR="00D84770" w:rsidRPr="001209D0">
        <w:rPr>
          <w:rFonts w:cstheme="minorBidi"/>
        </w:rPr>
        <w:t>C</w:t>
      </w:r>
      <w:r w:rsidR="00066542" w:rsidRPr="001209D0">
        <w:rPr>
          <w:rFonts w:cstheme="minorBidi"/>
        </w:rPr>
        <w:t xml:space="preserve">ombining these identities into </w:t>
      </w:r>
      <w:proofErr w:type="gramStart"/>
      <w:r w:rsidR="00066542" w:rsidRPr="001209D0">
        <w:rPr>
          <w:rFonts w:cstheme="minorBidi"/>
        </w:rPr>
        <w:t xml:space="preserve">an </w:t>
      </w:r>
      <w:r w:rsidR="00066542" w:rsidRPr="001209D0">
        <w:rPr>
          <w:rFonts w:cstheme="minorBidi"/>
          <w:i/>
          <w:iCs/>
        </w:rPr>
        <w:t>another</w:t>
      </w:r>
      <w:proofErr w:type="gramEnd"/>
      <w:r w:rsidR="00066542" w:rsidRPr="001209D0">
        <w:rPr>
          <w:rFonts w:cstheme="minorBidi"/>
          <w:i/>
          <w:iCs/>
        </w:rPr>
        <w:t xml:space="preserve"> </w:t>
      </w:r>
      <w:r w:rsidR="00066542" w:rsidRPr="00F12147">
        <w:rPr>
          <w:rFonts w:cstheme="minorBidi"/>
          <w:i/>
          <w:iCs/>
        </w:rPr>
        <w:t>race</w:t>
      </w:r>
      <w:r w:rsidR="00066542" w:rsidRPr="001209D0">
        <w:rPr>
          <w:rFonts w:cstheme="minorBidi"/>
        </w:rPr>
        <w:t xml:space="preserve"> category </w:t>
      </w:r>
      <w:r w:rsidR="00367D14" w:rsidRPr="001209D0">
        <w:rPr>
          <w:rFonts w:cstheme="minorBidi"/>
        </w:rPr>
        <w:t xml:space="preserve">masks the experiences of those distinct groups and </w:t>
      </w:r>
      <w:r w:rsidR="328F80D3" w:rsidRPr="002644CD">
        <w:rPr>
          <w:rFonts w:cstheme="minorBidi"/>
        </w:rPr>
        <w:t>obscures valuable insights</w:t>
      </w:r>
      <w:r w:rsidR="002644CD">
        <w:rPr>
          <w:rFonts w:cstheme="minorBidi"/>
        </w:rPr>
        <w:t>.</w:t>
      </w:r>
    </w:p>
    <w:p w14:paraId="791C1847" w14:textId="2039800B" w:rsidR="00E41C80" w:rsidRPr="004E219A" w:rsidRDefault="00E41C80" w:rsidP="004B1105">
      <w:pPr>
        <w:rPr>
          <w:rFonts w:cstheme="minorBidi"/>
        </w:rPr>
      </w:pPr>
    </w:p>
    <w:p w14:paraId="6576D16D" w14:textId="0DB52C7D" w:rsidR="00E1194F" w:rsidRDefault="00E1194F" w:rsidP="004B1105">
      <w:pPr>
        <w:rPr>
          <w:rFonts w:cstheme="minorBidi"/>
        </w:rPr>
      </w:pPr>
      <w:r>
        <w:rPr>
          <w:rFonts w:cstheme="minorBidi"/>
        </w:rPr>
        <w:t>Finally, d</w:t>
      </w:r>
      <w:r w:rsidRPr="4BFFA0B8">
        <w:rPr>
          <w:rFonts w:cstheme="minorBidi"/>
        </w:rPr>
        <w:t>escriptive analyses</w:t>
      </w:r>
      <w:r>
        <w:rPr>
          <w:rFonts w:cstheme="minorBidi"/>
        </w:rPr>
        <w:t xml:space="preserve">, such as those presented in this paper, </w:t>
      </w:r>
      <w:r w:rsidRPr="73145AE4">
        <w:rPr>
          <w:rFonts w:cstheme="minorBidi"/>
        </w:rPr>
        <w:t xml:space="preserve">cannot </w:t>
      </w:r>
      <w:r w:rsidRPr="4BFFA0B8">
        <w:rPr>
          <w:rFonts w:cstheme="minorBidi"/>
        </w:rPr>
        <w:t>establish</w:t>
      </w:r>
      <w:r w:rsidRPr="73145AE4">
        <w:rPr>
          <w:rFonts w:cstheme="minorBidi"/>
        </w:rPr>
        <w:t xml:space="preserve"> clear causal relationships between wealth and higher education outcomes</w:t>
      </w:r>
      <w:r>
        <w:rPr>
          <w:rFonts w:cstheme="minorBidi"/>
        </w:rPr>
        <w:t xml:space="preserve"> because o</w:t>
      </w:r>
      <w:r w:rsidRPr="6601C565">
        <w:rPr>
          <w:rFonts w:cstheme="minorBidi"/>
        </w:rPr>
        <w:t>ther</w:t>
      </w:r>
      <w:r w:rsidRPr="73145AE4">
        <w:rPr>
          <w:rFonts w:cstheme="minorBidi"/>
        </w:rPr>
        <w:t xml:space="preserve"> factors that may impact wealth and higher education are not </w:t>
      </w:r>
      <w:r>
        <w:rPr>
          <w:rFonts w:cstheme="minorBidi"/>
        </w:rPr>
        <w:t xml:space="preserve">accounted </w:t>
      </w:r>
      <w:r w:rsidRPr="6601C565">
        <w:rPr>
          <w:rFonts w:cstheme="minorBidi"/>
        </w:rPr>
        <w:t>for</w:t>
      </w:r>
      <w:r w:rsidRPr="73145AE4">
        <w:rPr>
          <w:rFonts w:cstheme="minorBidi"/>
        </w:rPr>
        <w:t xml:space="preserve"> in these analyses. </w:t>
      </w:r>
    </w:p>
    <w:p w14:paraId="37404665" w14:textId="77777777" w:rsidR="00E1194F" w:rsidRPr="004E219A" w:rsidRDefault="00E1194F" w:rsidP="004B1105">
      <w:pPr>
        <w:rPr>
          <w:rFonts w:cstheme="minorHAnsi"/>
          <w:szCs w:val="22"/>
        </w:rPr>
      </w:pPr>
    </w:p>
    <w:p w14:paraId="000249E9" w14:textId="6FE5BFC2" w:rsidR="009777B5" w:rsidRDefault="003C2249" w:rsidP="004B1105">
      <w:pPr>
        <w:rPr>
          <w:rFonts w:cstheme="minorBidi"/>
        </w:rPr>
      </w:pPr>
      <w:r>
        <w:rPr>
          <w:rFonts w:cstheme="minorBidi"/>
        </w:rPr>
        <w:t xml:space="preserve">Despite these limitations, </w:t>
      </w:r>
      <w:r w:rsidR="006F604D">
        <w:rPr>
          <w:rFonts w:cstheme="minorBidi"/>
        </w:rPr>
        <w:t>the</w:t>
      </w:r>
      <w:r w:rsidR="00146E3C" w:rsidRPr="00146E3C">
        <w:rPr>
          <w:rFonts w:cstheme="minorBidi"/>
        </w:rPr>
        <w:t xml:space="preserve"> </w:t>
      </w:r>
      <w:r w:rsidR="00146E3C">
        <w:rPr>
          <w:rFonts w:cstheme="minorBidi"/>
        </w:rPr>
        <w:t>NFCS and</w:t>
      </w:r>
      <w:r w:rsidR="006F604D">
        <w:rPr>
          <w:rFonts w:cstheme="minorBidi"/>
        </w:rPr>
        <w:t xml:space="preserve"> PSID-TAS </w:t>
      </w:r>
      <w:r w:rsidR="00AF04BC">
        <w:rPr>
          <w:rFonts w:cstheme="minorBidi"/>
        </w:rPr>
        <w:t xml:space="preserve">provide valuable data </w:t>
      </w:r>
      <w:r w:rsidR="00736DEC">
        <w:rPr>
          <w:rFonts w:cstheme="minorBidi"/>
        </w:rPr>
        <w:t xml:space="preserve">with which </w:t>
      </w:r>
      <w:r w:rsidR="00AF04BC">
        <w:rPr>
          <w:rFonts w:cstheme="minorBidi"/>
        </w:rPr>
        <w:t xml:space="preserve">to examine </w:t>
      </w:r>
      <w:r w:rsidR="009F7DCF">
        <w:rPr>
          <w:rFonts w:cstheme="minorBidi"/>
        </w:rPr>
        <w:t>the</w:t>
      </w:r>
      <w:r w:rsidR="00B63B13">
        <w:rPr>
          <w:rFonts w:cstheme="minorBidi"/>
        </w:rPr>
        <w:t xml:space="preserve"> selected research questions explored in detail below. </w:t>
      </w:r>
      <w:r w:rsidR="00467385" w:rsidRPr="00850D20">
        <w:rPr>
          <w:rFonts w:cstheme="minorBidi"/>
        </w:rPr>
        <w:fldChar w:fldCharType="begin"/>
      </w:r>
      <w:r w:rsidR="00467385" w:rsidRPr="00850D20">
        <w:rPr>
          <w:rFonts w:cstheme="minorBidi"/>
        </w:rPr>
        <w:instrText xml:space="preserve"> REF _Ref160092275 \h </w:instrText>
      </w:r>
      <w:r w:rsidR="00850D20">
        <w:rPr>
          <w:rFonts w:cstheme="minorBidi"/>
        </w:rPr>
        <w:instrText xml:space="preserve"> \* MERGEFORMAT </w:instrText>
      </w:r>
      <w:r w:rsidR="00467385" w:rsidRPr="00850D20">
        <w:rPr>
          <w:rFonts w:cstheme="minorBidi"/>
        </w:rPr>
      </w:r>
      <w:r w:rsidR="00467385" w:rsidRPr="00850D20">
        <w:rPr>
          <w:rFonts w:cstheme="minorBidi"/>
        </w:rPr>
        <w:fldChar w:fldCharType="separate"/>
      </w:r>
      <w:r w:rsidR="00932B97" w:rsidRPr="00CB042C">
        <w:rPr>
          <w:b/>
          <w:bCs/>
        </w:rPr>
        <w:t xml:space="preserve">Table </w:t>
      </w:r>
      <w:r w:rsidR="00932B97">
        <w:rPr>
          <w:b/>
          <w:bCs/>
        </w:rPr>
        <w:t>3</w:t>
      </w:r>
      <w:r w:rsidR="00467385" w:rsidRPr="00850D20">
        <w:rPr>
          <w:rFonts w:cstheme="minorBidi"/>
        </w:rPr>
        <w:fldChar w:fldCharType="end"/>
      </w:r>
      <w:r w:rsidR="00DE3875" w:rsidRPr="00C456CE">
        <w:rPr>
          <w:rFonts w:cstheme="minorBidi"/>
        </w:rPr>
        <w:t xml:space="preserve"> </w:t>
      </w:r>
      <w:r w:rsidR="00DE3875" w:rsidRPr="2C4B3493">
        <w:rPr>
          <w:rFonts w:cstheme="minorBidi"/>
        </w:rPr>
        <w:t xml:space="preserve">includes findings on college savings using NFCS data. </w:t>
      </w:r>
      <w:r w:rsidR="00467385">
        <w:rPr>
          <w:rFonts w:cstheme="minorBidi"/>
          <w:highlight w:val="yellow"/>
        </w:rPr>
        <w:fldChar w:fldCharType="begin"/>
      </w:r>
      <w:r w:rsidR="00467385">
        <w:rPr>
          <w:rFonts w:cstheme="minorBidi"/>
          <w:highlight w:val="yellow"/>
        </w:rPr>
        <w:instrText xml:space="preserve"> REF _Ref160092365 \h </w:instrText>
      </w:r>
      <w:r w:rsidR="00850D20">
        <w:rPr>
          <w:rFonts w:cstheme="minorBidi"/>
          <w:highlight w:val="yellow"/>
        </w:rPr>
        <w:instrText xml:space="preserve"> \* MERGEFORMAT </w:instrText>
      </w:r>
      <w:r w:rsidR="00467385">
        <w:rPr>
          <w:rFonts w:cstheme="minorBidi"/>
          <w:highlight w:val="yellow"/>
        </w:rPr>
      </w:r>
      <w:r w:rsidR="00467385">
        <w:rPr>
          <w:rFonts w:cstheme="minorBidi"/>
          <w:highlight w:val="yellow"/>
        </w:rPr>
        <w:fldChar w:fldCharType="separate"/>
      </w:r>
      <w:r w:rsidR="00932B97" w:rsidRPr="0054370F">
        <w:rPr>
          <w:b/>
          <w:bCs/>
        </w:rPr>
        <w:t xml:space="preserve">Table </w:t>
      </w:r>
      <w:r w:rsidR="00932B97">
        <w:rPr>
          <w:b/>
          <w:bCs/>
        </w:rPr>
        <w:t>4</w:t>
      </w:r>
      <w:r w:rsidR="00467385">
        <w:rPr>
          <w:rFonts w:cstheme="minorBidi"/>
          <w:highlight w:val="yellow"/>
        </w:rPr>
        <w:fldChar w:fldCharType="end"/>
      </w:r>
      <w:r w:rsidR="00467385" w:rsidRPr="001209D0">
        <w:rPr>
          <w:rFonts w:cstheme="minorBidi"/>
        </w:rPr>
        <w:t xml:space="preserve"> </w:t>
      </w:r>
      <w:r w:rsidR="00467385" w:rsidRPr="00850D20">
        <w:rPr>
          <w:rFonts w:cstheme="minorBidi"/>
        </w:rPr>
        <w:t xml:space="preserve">and </w:t>
      </w:r>
      <w:r w:rsidR="00467385" w:rsidRPr="00850D20">
        <w:rPr>
          <w:rFonts w:cstheme="minorBidi"/>
        </w:rPr>
        <w:fldChar w:fldCharType="begin"/>
      </w:r>
      <w:r w:rsidR="00467385" w:rsidRPr="00850D20">
        <w:rPr>
          <w:rFonts w:cstheme="minorBidi"/>
        </w:rPr>
        <w:instrText xml:space="preserve"> REF _Ref160092385 \h </w:instrText>
      </w:r>
      <w:r w:rsidR="00850D20">
        <w:rPr>
          <w:rFonts w:cstheme="minorBidi"/>
        </w:rPr>
        <w:instrText xml:space="preserve"> \* MERGEFORMAT </w:instrText>
      </w:r>
      <w:r w:rsidR="00467385" w:rsidRPr="00850D20">
        <w:rPr>
          <w:rFonts w:cstheme="minorBidi"/>
        </w:rPr>
      </w:r>
      <w:r w:rsidR="00467385" w:rsidRPr="00850D20">
        <w:rPr>
          <w:rFonts w:cstheme="minorBidi"/>
        </w:rPr>
        <w:fldChar w:fldCharType="separate"/>
      </w:r>
      <w:r w:rsidR="00932B97" w:rsidRPr="0010735C">
        <w:rPr>
          <w:b/>
          <w:bCs/>
        </w:rPr>
        <w:t xml:space="preserve">Table </w:t>
      </w:r>
      <w:r w:rsidR="00932B97">
        <w:rPr>
          <w:b/>
          <w:bCs/>
        </w:rPr>
        <w:t>5</w:t>
      </w:r>
      <w:r w:rsidR="00467385" w:rsidRPr="00850D20">
        <w:rPr>
          <w:rFonts w:cstheme="minorBidi"/>
        </w:rPr>
        <w:fldChar w:fldCharType="end"/>
      </w:r>
      <w:r w:rsidR="00467385" w:rsidRPr="00850D20">
        <w:rPr>
          <w:rFonts w:cstheme="minorBidi"/>
        </w:rPr>
        <w:t xml:space="preserve"> </w:t>
      </w:r>
      <w:r w:rsidR="00482CCC">
        <w:rPr>
          <w:rFonts w:cstheme="minorBidi"/>
        </w:rPr>
        <w:t>use PSID</w:t>
      </w:r>
      <w:r w:rsidR="00495ADA">
        <w:rPr>
          <w:rFonts w:cstheme="minorBidi"/>
        </w:rPr>
        <w:t>-</w:t>
      </w:r>
      <w:r w:rsidR="00482CCC">
        <w:rPr>
          <w:rFonts w:cstheme="minorBidi"/>
        </w:rPr>
        <w:t xml:space="preserve">TAS data to </w:t>
      </w:r>
      <w:r w:rsidR="006C46B1" w:rsidRPr="6C529421">
        <w:rPr>
          <w:rFonts w:cstheme="minorBidi"/>
        </w:rPr>
        <w:t>detail</w:t>
      </w:r>
      <w:r w:rsidR="006C46B1" w:rsidRPr="2C4B3493">
        <w:rPr>
          <w:rFonts w:cstheme="minorBidi"/>
        </w:rPr>
        <w:t xml:space="preserve"> enrollment, completion, and borrowing outcomes </w:t>
      </w:r>
      <w:r w:rsidR="004C0E76">
        <w:rPr>
          <w:rFonts w:cstheme="minorBidi"/>
        </w:rPr>
        <w:t>by income and wealth</w:t>
      </w:r>
      <w:r w:rsidR="1D05FD20" w:rsidRPr="6C529421">
        <w:rPr>
          <w:rFonts w:cstheme="minorBidi"/>
        </w:rPr>
        <w:t>.</w:t>
      </w:r>
      <w:r w:rsidR="00BB02C8" w:rsidRPr="2C4B3493">
        <w:rPr>
          <w:rFonts w:cstheme="minorBidi"/>
        </w:rPr>
        <w:t xml:space="preserve"> </w:t>
      </w:r>
      <w:r w:rsidR="000A1EAE">
        <w:rPr>
          <w:rFonts w:cstheme="minorBidi"/>
        </w:rPr>
        <w:t>S</w:t>
      </w:r>
      <w:r w:rsidR="2E90F34F" w:rsidRPr="2C4B3493">
        <w:rPr>
          <w:rFonts w:cstheme="minorBidi"/>
        </w:rPr>
        <w:t xml:space="preserve">ee </w:t>
      </w:r>
      <w:r w:rsidR="2E90F34F" w:rsidRPr="286BB0C8">
        <w:rPr>
          <w:rFonts w:cstheme="minorBidi"/>
        </w:rPr>
        <w:t>t</w:t>
      </w:r>
      <w:r w:rsidR="009E452C">
        <w:t xml:space="preserve">he </w:t>
      </w:r>
      <w:r w:rsidR="00736DEC">
        <w:t xml:space="preserve">technical appendix </w:t>
      </w:r>
      <w:r w:rsidR="004E7451">
        <w:t xml:space="preserve">(page 34) </w:t>
      </w:r>
      <w:r w:rsidR="5094A5D0">
        <w:t>for further</w:t>
      </w:r>
      <w:r w:rsidR="006C46B1" w:rsidDel="000DE430">
        <w:t xml:space="preserve"> </w:t>
      </w:r>
      <w:r w:rsidR="000DE430">
        <w:t>methodolog</w:t>
      </w:r>
      <w:r w:rsidR="7A1613EC">
        <w:t>ical details</w:t>
      </w:r>
      <w:r w:rsidR="005016CE">
        <w:t>.</w:t>
      </w:r>
    </w:p>
    <w:p w14:paraId="4844EA63" w14:textId="77777777" w:rsidR="00B85FA1" w:rsidRDefault="00B85FA1" w:rsidP="004B1105">
      <w:pPr>
        <w:pStyle w:val="NoSpacing"/>
        <w:rPr>
          <w:b/>
          <w:bCs/>
        </w:rPr>
      </w:pPr>
    </w:p>
    <w:p w14:paraId="685049C2" w14:textId="6841AE40" w:rsidR="00B85FA1" w:rsidRDefault="00B85FA1" w:rsidP="004B1105">
      <w:pPr>
        <w:pStyle w:val="Heading3"/>
      </w:pPr>
      <w:bookmarkStart w:id="27" w:name="_Toc167901750"/>
      <w:r>
        <w:t>How</w:t>
      </w:r>
      <w:r w:rsidDel="00243D5B">
        <w:t xml:space="preserve"> </w:t>
      </w:r>
      <w:r>
        <w:t>Wealth Transfers</w:t>
      </w:r>
      <w:r w:rsidDel="00243D5B">
        <w:t xml:space="preserve"> </w:t>
      </w:r>
      <w:r w:rsidR="00131C65">
        <w:t>Are</w:t>
      </w:r>
      <w:r w:rsidR="00131C65" w:rsidDel="00243D5B">
        <w:t xml:space="preserve"> </w:t>
      </w:r>
      <w:r>
        <w:t>Associated with Saving for Children’s Higher Education</w:t>
      </w:r>
      <w:bookmarkEnd w:id="27"/>
      <w:r>
        <w:t xml:space="preserve"> </w:t>
      </w:r>
    </w:p>
    <w:p w14:paraId="6B2A85D8" w14:textId="77777777" w:rsidR="00B85FA1" w:rsidRPr="00B40CC3" w:rsidRDefault="00B85FA1" w:rsidP="004B1105"/>
    <w:p w14:paraId="595D9EA9" w14:textId="20A47458" w:rsidR="00B85FA1" w:rsidRPr="00E52ADF" w:rsidRDefault="00B85FA1" w:rsidP="004B1105">
      <w:pPr>
        <w:pStyle w:val="Heading4"/>
        <w:ind w:left="360"/>
      </w:pPr>
      <w:r>
        <w:t xml:space="preserve">Individuals who receive at least $10,000 from their parents or grandparents </w:t>
      </w:r>
      <w:r w:rsidRPr="00E52ADF">
        <w:t>are</w:t>
      </w:r>
      <w:r>
        <w:t xml:space="preserve"> nearly twice as likely to </w:t>
      </w:r>
      <w:r w:rsidRPr="00E52ADF">
        <w:t>sav</w:t>
      </w:r>
      <w:r>
        <w:t xml:space="preserve">e </w:t>
      </w:r>
      <w:r w:rsidRPr="00E52ADF">
        <w:t xml:space="preserve">for </w:t>
      </w:r>
      <w:r>
        <w:t>their children’s college education</w:t>
      </w:r>
      <w:r w:rsidR="00131C65">
        <w:t>.</w:t>
      </w:r>
    </w:p>
    <w:p w14:paraId="779CA883" w14:textId="77777777" w:rsidR="00B85FA1" w:rsidRPr="00B40CC3" w:rsidRDefault="00B85FA1" w:rsidP="004B1105">
      <w:pPr>
        <w:ind w:left="360"/>
      </w:pPr>
    </w:p>
    <w:p w14:paraId="4FF991BD" w14:textId="563F55BB" w:rsidR="00B85FA1" w:rsidRPr="00455A05" w:rsidRDefault="00B85FA1" w:rsidP="004B1105">
      <w:pPr>
        <w:pStyle w:val="ListParagraph"/>
        <w:ind w:left="360"/>
        <w:rPr>
          <w:rFonts w:eastAsia="Calibri" w:cstheme="minorBidi"/>
        </w:rPr>
      </w:pPr>
      <w:r w:rsidRPr="5E154477">
        <w:rPr>
          <w:rFonts w:eastAsia="Calibri" w:cstheme="minorBidi"/>
        </w:rPr>
        <w:lastRenderedPageBreak/>
        <w:t xml:space="preserve">The likelihood </w:t>
      </w:r>
      <w:r w:rsidR="008B01BD">
        <w:rPr>
          <w:rFonts w:eastAsia="Calibri" w:cstheme="minorBidi"/>
        </w:rPr>
        <w:t>that</w:t>
      </w:r>
      <w:r w:rsidR="008B01BD" w:rsidRPr="5E154477">
        <w:rPr>
          <w:rFonts w:eastAsia="Calibri" w:cstheme="minorBidi"/>
        </w:rPr>
        <w:t xml:space="preserve"> </w:t>
      </w:r>
      <w:r w:rsidRPr="5E154477">
        <w:rPr>
          <w:rFonts w:eastAsia="Calibri" w:cstheme="minorBidi"/>
        </w:rPr>
        <w:t>individuals sav</w:t>
      </w:r>
      <w:r w:rsidR="008B01BD">
        <w:rPr>
          <w:rFonts w:eastAsia="Calibri" w:cstheme="minorBidi"/>
        </w:rPr>
        <w:t>e</w:t>
      </w:r>
      <w:r w:rsidRPr="5E154477">
        <w:rPr>
          <w:rFonts w:eastAsia="Calibri" w:cstheme="minorBidi"/>
        </w:rPr>
        <w:t xml:space="preserve"> for their children’s college education increases significantly if they receive a wealth transfer from their parents or grandparents, based on data from NFCS. </w:t>
      </w:r>
      <w:r>
        <w:rPr>
          <w:rFonts w:eastAsia="Calibri" w:cstheme="minorBidi"/>
        </w:rPr>
        <w:t xml:space="preserve">This analysis </w:t>
      </w:r>
      <w:r w:rsidRPr="6DD89D0C">
        <w:rPr>
          <w:rFonts w:eastAsia="Calibri" w:cstheme="minorBidi"/>
        </w:rPr>
        <w:t>considers</w:t>
      </w:r>
      <w:r>
        <w:rPr>
          <w:rFonts w:eastAsia="Calibri" w:cstheme="minorBidi"/>
        </w:rPr>
        <w:t xml:space="preserve"> </w:t>
      </w:r>
      <w:r w:rsidRPr="6A9E2235">
        <w:rPr>
          <w:rFonts w:eastAsia="Calibri" w:cstheme="minorBidi"/>
        </w:rPr>
        <w:t xml:space="preserve">whether </w:t>
      </w:r>
      <w:r w:rsidRPr="7E7F3A79">
        <w:rPr>
          <w:rFonts w:eastAsia="Calibri" w:cstheme="minorBidi"/>
        </w:rPr>
        <w:t>respondents receive</w:t>
      </w:r>
      <w:r w:rsidRPr="5E154477">
        <w:rPr>
          <w:rFonts w:eastAsia="Calibri" w:cstheme="minorBidi"/>
        </w:rPr>
        <w:t xml:space="preserve"> specific financial support</w:t>
      </w:r>
      <w:r w:rsidR="009044E7">
        <w:rPr>
          <w:rFonts w:eastAsia="Calibri" w:cstheme="minorBidi"/>
        </w:rPr>
        <w:t xml:space="preserve"> in the form of</w:t>
      </w:r>
      <w:r w:rsidR="009E62CA">
        <w:rPr>
          <w:rFonts w:eastAsia="Calibri" w:cstheme="minorBidi"/>
        </w:rPr>
        <w:t xml:space="preserve"> </w:t>
      </w:r>
      <w:r w:rsidRPr="5E154477">
        <w:rPr>
          <w:rFonts w:eastAsia="Calibri" w:cstheme="minorBidi"/>
        </w:rPr>
        <w:t xml:space="preserve">gifts of at least $10,000 </w:t>
      </w:r>
      <w:r>
        <w:rPr>
          <w:rFonts w:eastAsia="Calibri" w:cstheme="minorBidi"/>
        </w:rPr>
        <w:t xml:space="preserve">from their living parents or grandparents (not including inheritances) </w:t>
      </w:r>
      <w:r w:rsidRPr="5E154477">
        <w:rPr>
          <w:rFonts w:eastAsia="Calibri" w:cstheme="minorBidi"/>
        </w:rPr>
        <w:t xml:space="preserve">or ever </w:t>
      </w:r>
      <w:r w:rsidR="008048AA" w:rsidRPr="7E7F3A79">
        <w:rPr>
          <w:rFonts w:eastAsia="Calibri" w:cstheme="minorBidi"/>
        </w:rPr>
        <w:t>hav</w:t>
      </w:r>
      <w:r w:rsidR="008048AA">
        <w:rPr>
          <w:rFonts w:eastAsia="Calibri" w:cstheme="minorBidi"/>
        </w:rPr>
        <w:t>e</w:t>
      </w:r>
      <w:r w:rsidR="008048AA" w:rsidRPr="6A9E2235">
        <w:rPr>
          <w:rFonts w:eastAsia="Calibri" w:cstheme="minorBidi"/>
        </w:rPr>
        <w:t xml:space="preserve"> </w:t>
      </w:r>
      <w:r w:rsidRPr="6A9E2235">
        <w:rPr>
          <w:rFonts w:eastAsia="Calibri" w:cstheme="minorBidi"/>
        </w:rPr>
        <w:t xml:space="preserve">an expense of at least $10,000 </w:t>
      </w:r>
      <w:r w:rsidRPr="5E154477">
        <w:rPr>
          <w:rFonts w:eastAsia="Calibri" w:cstheme="minorBidi"/>
        </w:rPr>
        <w:t xml:space="preserve">covered by </w:t>
      </w:r>
      <w:r>
        <w:rPr>
          <w:rFonts w:eastAsia="Calibri" w:cstheme="minorBidi"/>
        </w:rPr>
        <w:t xml:space="preserve">their </w:t>
      </w:r>
      <w:r w:rsidRPr="5E154477">
        <w:rPr>
          <w:rFonts w:eastAsia="Calibri" w:cstheme="minorBidi"/>
        </w:rPr>
        <w:t>parents or grandparents</w:t>
      </w:r>
      <w:r>
        <w:rPr>
          <w:rFonts w:eastAsia="Calibri" w:cstheme="minorBidi"/>
        </w:rPr>
        <w:t xml:space="preserve">. </w:t>
      </w:r>
      <w:r w:rsidRPr="1D4AF5A9">
        <w:rPr>
          <w:rFonts w:eastAsia="Calibri" w:cstheme="minorBidi"/>
        </w:rPr>
        <w:t>These wealth transfers are treated as a proxy for wealth</w:t>
      </w:r>
      <w:r>
        <w:rPr>
          <w:rFonts w:eastAsia="Calibri" w:cstheme="minorBidi"/>
        </w:rPr>
        <w:t>, since</w:t>
      </w:r>
      <w:r w:rsidRPr="6A9E2235">
        <w:rPr>
          <w:rFonts w:eastAsia="Calibri" w:cstheme="minorBidi"/>
        </w:rPr>
        <w:t xml:space="preserve"> net worth is not </w:t>
      </w:r>
      <w:r w:rsidRPr="1D4AF5A9">
        <w:rPr>
          <w:rFonts w:eastAsia="Calibri" w:cstheme="minorBidi"/>
        </w:rPr>
        <w:t>available</w:t>
      </w:r>
      <w:r w:rsidRPr="6A9E2235">
        <w:rPr>
          <w:rFonts w:eastAsia="Calibri" w:cstheme="minorBidi"/>
        </w:rPr>
        <w:t xml:space="preserve"> in NFCS. </w:t>
      </w:r>
    </w:p>
    <w:p w14:paraId="3458EC15" w14:textId="77777777" w:rsidR="00B85FA1" w:rsidRPr="000439A6" w:rsidRDefault="00B85FA1" w:rsidP="004B1105">
      <w:pPr>
        <w:pStyle w:val="NoSpacing"/>
        <w:ind w:left="360"/>
      </w:pPr>
    </w:p>
    <w:p w14:paraId="5265B519" w14:textId="44B7A771" w:rsidR="00B85FA1" w:rsidRDefault="00B85FA1" w:rsidP="004B1105">
      <w:pPr>
        <w:pStyle w:val="ListParagraph"/>
        <w:ind w:left="360"/>
        <w:rPr>
          <w:rFonts w:eastAsia="Calibri" w:cstheme="minorBidi"/>
        </w:rPr>
      </w:pPr>
      <w:r w:rsidRPr="6A9E2235">
        <w:rPr>
          <w:rFonts w:eastAsia="Calibri" w:cstheme="minorBidi"/>
        </w:rPr>
        <w:t xml:space="preserve">Individuals who receive a wealth transfer are </w:t>
      </w:r>
      <w:r>
        <w:rPr>
          <w:rFonts w:eastAsia="Calibri" w:cstheme="minorBidi"/>
        </w:rPr>
        <w:t xml:space="preserve">1.7 </w:t>
      </w:r>
      <w:r w:rsidRPr="5E154477">
        <w:rPr>
          <w:rFonts w:eastAsia="Calibri" w:cstheme="minorBidi"/>
        </w:rPr>
        <w:t xml:space="preserve">times </w:t>
      </w:r>
      <w:r>
        <w:rPr>
          <w:rFonts w:eastAsia="Calibri" w:cstheme="minorBidi"/>
        </w:rPr>
        <w:t>as</w:t>
      </w:r>
      <w:r w:rsidRPr="6A9E2235">
        <w:rPr>
          <w:rFonts w:eastAsia="Calibri" w:cstheme="minorBidi"/>
        </w:rPr>
        <w:t xml:space="preserve"> likely to save for their children’s college education than those who d</w:t>
      </w:r>
      <w:r w:rsidR="00CE7DDB">
        <w:rPr>
          <w:rFonts w:eastAsia="Calibri" w:cstheme="minorBidi"/>
        </w:rPr>
        <w:t>o</w:t>
      </w:r>
      <w:r w:rsidRPr="6A9E2235">
        <w:rPr>
          <w:rFonts w:eastAsia="Calibri" w:cstheme="minorBidi"/>
        </w:rPr>
        <w:t xml:space="preserve"> not</w:t>
      </w:r>
      <w:r w:rsidRPr="5E154477">
        <w:rPr>
          <w:rFonts w:eastAsia="Calibri" w:cstheme="minorBidi"/>
        </w:rPr>
        <w:t>, demonstrating the compounding impact of wealth from generation to generation</w:t>
      </w:r>
      <w:r w:rsidRPr="6A9E2235">
        <w:rPr>
          <w:rFonts w:eastAsia="Calibri" w:cstheme="minorBidi"/>
        </w:rPr>
        <w:t xml:space="preserve"> </w:t>
      </w:r>
      <w:r w:rsidR="00663280">
        <w:rPr>
          <w:rFonts w:eastAsia="Calibri" w:cstheme="minorBidi"/>
        </w:rPr>
        <w:t xml:space="preserve">and </w:t>
      </w:r>
      <w:r w:rsidR="00716CF4">
        <w:rPr>
          <w:rFonts w:eastAsia="Calibri" w:cstheme="minorBidi"/>
        </w:rPr>
        <w:t xml:space="preserve">how it can </w:t>
      </w:r>
      <w:r w:rsidR="003B33BB">
        <w:rPr>
          <w:rFonts w:eastAsia="Calibri" w:cstheme="minorBidi"/>
        </w:rPr>
        <w:t>interact with</w:t>
      </w:r>
      <w:r w:rsidR="00663280">
        <w:rPr>
          <w:rFonts w:eastAsia="Calibri" w:cstheme="minorBidi"/>
        </w:rPr>
        <w:t xml:space="preserve"> higher education</w:t>
      </w:r>
      <w:r w:rsidRPr="6A9E2235">
        <w:rPr>
          <w:rFonts w:eastAsia="Calibri" w:cstheme="minorBidi"/>
        </w:rPr>
        <w:t xml:space="preserve"> (</w:t>
      </w:r>
      <w:r w:rsidR="001561DD">
        <w:rPr>
          <w:rFonts w:eastAsia="Calibri" w:cstheme="minorBidi"/>
        </w:rPr>
        <w:fldChar w:fldCharType="begin"/>
      </w:r>
      <w:r w:rsidR="001561DD">
        <w:rPr>
          <w:rFonts w:eastAsia="Calibri" w:cstheme="minorBidi"/>
        </w:rPr>
        <w:instrText xml:space="preserve"> REF _Ref160092275 \h </w:instrText>
      </w:r>
      <w:r w:rsidR="004B1105">
        <w:rPr>
          <w:rFonts w:eastAsia="Calibri" w:cstheme="minorBidi"/>
        </w:rPr>
        <w:instrText xml:space="preserve"> \* MERGEFORMAT </w:instrText>
      </w:r>
      <w:r w:rsidR="001561DD">
        <w:rPr>
          <w:rFonts w:eastAsia="Calibri" w:cstheme="minorBidi"/>
        </w:rPr>
      </w:r>
      <w:r w:rsidR="001561DD">
        <w:rPr>
          <w:rFonts w:eastAsia="Calibri" w:cstheme="minorBidi"/>
        </w:rPr>
        <w:fldChar w:fldCharType="separate"/>
      </w:r>
      <w:r w:rsidR="00932B97" w:rsidRPr="00CB042C">
        <w:rPr>
          <w:b/>
          <w:bCs/>
        </w:rPr>
        <w:t xml:space="preserve">Table </w:t>
      </w:r>
      <w:r w:rsidR="00932B97">
        <w:rPr>
          <w:b/>
          <w:bCs/>
        </w:rPr>
        <w:t>3</w:t>
      </w:r>
      <w:r w:rsidR="001561DD">
        <w:rPr>
          <w:rFonts w:eastAsia="Calibri" w:cstheme="minorBidi"/>
        </w:rPr>
        <w:fldChar w:fldCharType="end"/>
      </w:r>
      <w:r w:rsidRPr="6A9E2235">
        <w:rPr>
          <w:rFonts w:eastAsia="Calibri" w:cstheme="minorBidi"/>
        </w:rPr>
        <w:t xml:space="preserve">). </w:t>
      </w:r>
      <w:r w:rsidRPr="6A9E2235" w:rsidDel="00457EF8">
        <w:rPr>
          <w:rFonts w:eastAsia="Calibri" w:cstheme="minorBidi"/>
        </w:rPr>
        <w:t xml:space="preserve">For </w:t>
      </w:r>
      <w:r>
        <w:rPr>
          <w:rFonts w:eastAsia="Calibri" w:cstheme="minorBidi"/>
        </w:rPr>
        <w:t>Black respondents</w:t>
      </w:r>
      <w:r w:rsidRPr="6A9E2235">
        <w:rPr>
          <w:rFonts w:eastAsia="Calibri" w:cstheme="minorBidi"/>
        </w:rPr>
        <w:t xml:space="preserve">, 67 percent of </w:t>
      </w:r>
      <w:r w:rsidRPr="334BC9EE">
        <w:rPr>
          <w:rFonts w:eastAsia="Calibri" w:cstheme="minorBidi"/>
        </w:rPr>
        <w:t>those</w:t>
      </w:r>
      <w:r w:rsidRPr="6A9E2235">
        <w:rPr>
          <w:rFonts w:eastAsia="Calibri" w:cstheme="minorBidi"/>
        </w:rPr>
        <w:t xml:space="preserve"> who receive at least one wealth transfer saved for their children’s education, compared </w:t>
      </w:r>
      <w:r>
        <w:rPr>
          <w:rFonts w:eastAsia="Calibri" w:cstheme="minorBidi"/>
        </w:rPr>
        <w:t>with</w:t>
      </w:r>
      <w:r w:rsidRPr="6A9E2235">
        <w:rPr>
          <w:rFonts w:eastAsia="Calibri" w:cstheme="minorBidi"/>
        </w:rPr>
        <w:t xml:space="preserve"> 40 percent of Black respondents who </w:t>
      </w:r>
      <w:r w:rsidR="002353A6" w:rsidRPr="6A9E2235">
        <w:rPr>
          <w:rFonts w:eastAsia="Calibri" w:cstheme="minorBidi"/>
        </w:rPr>
        <w:t>d</w:t>
      </w:r>
      <w:r w:rsidR="002353A6">
        <w:rPr>
          <w:rFonts w:eastAsia="Calibri" w:cstheme="minorBidi"/>
        </w:rPr>
        <w:t>o</w:t>
      </w:r>
      <w:r w:rsidRPr="6A9E2235">
        <w:rPr>
          <w:rFonts w:eastAsia="Calibri" w:cstheme="minorBidi"/>
        </w:rPr>
        <w:t xml:space="preserve"> not receive a wealth transfer. Similar trends were evident for Latinx and White respondents, though the differences for Asian American and Pacific Islander (AAPI) respondents were not statistically significant. </w:t>
      </w:r>
    </w:p>
    <w:p w14:paraId="22E16743" w14:textId="77777777" w:rsidR="00B85FA1" w:rsidRDefault="00B85FA1" w:rsidP="004B1105">
      <w:pPr>
        <w:pStyle w:val="ListParagraph"/>
        <w:ind w:left="360"/>
        <w:rPr>
          <w:rFonts w:eastAsia="Calibri" w:cstheme="minorBidi"/>
        </w:rPr>
      </w:pPr>
    </w:p>
    <w:p w14:paraId="3C432D63" w14:textId="614771F5" w:rsidR="00B85FA1" w:rsidRDefault="00B85FA1" w:rsidP="004B1105">
      <w:pPr>
        <w:pStyle w:val="ListParagraph"/>
        <w:ind w:left="360"/>
        <w:rPr>
          <w:rFonts w:eastAsia="Calibri" w:cstheme="minorBidi"/>
        </w:rPr>
      </w:pPr>
      <w:r w:rsidRPr="421AEE57">
        <w:rPr>
          <w:rFonts w:eastAsia="Calibri" w:cstheme="minorBidi"/>
        </w:rPr>
        <w:t>Because of racial differences in wealth distribution (</w:t>
      </w:r>
      <w:r w:rsidRPr="5DC66AB9">
        <w:rPr>
          <w:rFonts w:eastAsia="Calibri" w:cstheme="minorBidi"/>
        </w:rPr>
        <w:t>see</w:t>
      </w:r>
      <w:r w:rsidR="00046735">
        <w:rPr>
          <w:rFonts w:eastAsia="Calibri" w:cstheme="minorBidi"/>
        </w:rPr>
        <w:t xml:space="preserve"> </w:t>
      </w:r>
      <w:r w:rsidR="00046735">
        <w:rPr>
          <w:rFonts w:eastAsia="Calibri" w:cstheme="minorBidi"/>
        </w:rPr>
        <w:fldChar w:fldCharType="begin"/>
      </w:r>
      <w:r w:rsidR="00046735">
        <w:rPr>
          <w:rFonts w:eastAsia="Calibri" w:cstheme="minorBidi"/>
        </w:rPr>
        <w:instrText xml:space="preserve"> REF _Ref160094276 \h </w:instrText>
      </w:r>
      <w:r w:rsidR="004B1105">
        <w:rPr>
          <w:rFonts w:eastAsia="Calibri" w:cstheme="minorBidi"/>
        </w:rPr>
        <w:instrText xml:space="preserve"> \* MERGEFORMAT </w:instrText>
      </w:r>
      <w:r w:rsidR="00046735">
        <w:rPr>
          <w:rFonts w:eastAsia="Calibri" w:cstheme="minorBidi"/>
        </w:rPr>
      </w:r>
      <w:r w:rsidR="00046735">
        <w:rPr>
          <w:rFonts w:eastAsia="Calibri" w:cstheme="minorBidi"/>
        </w:rPr>
        <w:fldChar w:fldCharType="separate"/>
      </w:r>
      <w:r w:rsidR="00932B97" w:rsidRPr="7CD68BD7">
        <w:rPr>
          <w:b/>
          <w:bCs/>
        </w:rPr>
        <w:t xml:space="preserve">Figure </w:t>
      </w:r>
      <w:r w:rsidR="00932B97">
        <w:rPr>
          <w:b/>
          <w:bCs/>
          <w:noProof/>
        </w:rPr>
        <w:t>3</w:t>
      </w:r>
      <w:r w:rsidR="00046735">
        <w:rPr>
          <w:rFonts w:eastAsia="Calibri" w:cstheme="minorBidi"/>
        </w:rPr>
        <w:fldChar w:fldCharType="end"/>
      </w:r>
      <w:r w:rsidRPr="5DC66AB9">
        <w:rPr>
          <w:rFonts w:eastAsia="Calibri" w:cstheme="minorBidi"/>
        </w:rPr>
        <w:t>),</w:t>
      </w:r>
      <w:r w:rsidRPr="421AEE57">
        <w:rPr>
          <w:rFonts w:eastAsia="Calibri" w:cstheme="minorBidi"/>
        </w:rPr>
        <w:t xml:space="preserve"> </w:t>
      </w:r>
      <w:r w:rsidRPr="432677E6">
        <w:rPr>
          <w:rFonts w:eastAsia="Calibri" w:cstheme="minorBidi"/>
        </w:rPr>
        <w:t xml:space="preserve">the role </w:t>
      </w:r>
      <w:r w:rsidRPr="5D849CD7">
        <w:rPr>
          <w:rFonts w:eastAsia="Calibri" w:cstheme="minorBidi"/>
        </w:rPr>
        <w:t>that</w:t>
      </w:r>
      <w:r w:rsidRPr="432677E6">
        <w:rPr>
          <w:rFonts w:eastAsia="Calibri" w:cstheme="minorBidi"/>
        </w:rPr>
        <w:t xml:space="preserve"> wealth transfers, </w:t>
      </w:r>
      <w:r w:rsidRPr="5D849CD7">
        <w:rPr>
          <w:rFonts w:eastAsia="Calibri" w:cstheme="minorBidi"/>
        </w:rPr>
        <w:t xml:space="preserve">and by extension wealth in general, play </w:t>
      </w:r>
      <w:r w:rsidRPr="432677E6">
        <w:rPr>
          <w:rFonts w:eastAsia="Calibri" w:cstheme="minorBidi"/>
        </w:rPr>
        <w:t xml:space="preserve">in college savings </w:t>
      </w:r>
      <w:r w:rsidRPr="053B5F78">
        <w:rPr>
          <w:rFonts w:eastAsia="Calibri" w:cstheme="minorBidi"/>
        </w:rPr>
        <w:t xml:space="preserve">may contribute to racial </w:t>
      </w:r>
      <w:r w:rsidRPr="0E3472D4">
        <w:rPr>
          <w:rFonts w:eastAsia="Calibri" w:cstheme="minorBidi"/>
        </w:rPr>
        <w:t>gaps</w:t>
      </w:r>
      <w:r w:rsidRPr="053B5F78">
        <w:rPr>
          <w:rFonts w:eastAsia="Calibri" w:cstheme="minorBidi"/>
        </w:rPr>
        <w:t xml:space="preserve"> in </w:t>
      </w:r>
      <w:r w:rsidRPr="0E3472D4">
        <w:rPr>
          <w:rFonts w:eastAsia="Calibri" w:cstheme="minorBidi"/>
        </w:rPr>
        <w:t>college affordability and access.</w:t>
      </w:r>
    </w:p>
    <w:p w14:paraId="783103B5" w14:textId="77777777" w:rsidR="00B85FA1" w:rsidRDefault="00B85FA1" w:rsidP="004B1105">
      <w:pPr>
        <w:pStyle w:val="ListParagraph"/>
        <w:ind w:left="360"/>
        <w:rPr>
          <w:rFonts w:eastAsia="Calibri" w:cstheme="minorBidi"/>
        </w:rPr>
      </w:pPr>
    </w:p>
    <w:p w14:paraId="0B68214E" w14:textId="3B41671A" w:rsidR="00B85FA1" w:rsidRPr="00A40E92" w:rsidRDefault="002F201E" w:rsidP="004B1105">
      <w:pPr>
        <w:pStyle w:val="Heading4"/>
      </w:pPr>
      <w:r>
        <w:t>R</w:t>
      </w:r>
      <w:r w:rsidR="00B85FA1" w:rsidRPr="00A40E92">
        <w:t xml:space="preserve">ates of saving differ significantly by race and ethnicity </w:t>
      </w:r>
      <w:r>
        <w:t>for individuals who do not receive a wealth transfer</w:t>
      </w:r>
      <w:r w:rsidR="00B85FA1" w:rsidRPr="00A40E92">
        <w:t xml:space="preserve">. </w:t>
      </w:r>
    </w:p>
    <w:p w14:paraId="34D26C34" w14:textId="77777777" w:rsidR="00B85FA1" w:rsidRDefault="00B85FA1" w:rsidP="004B1105">
      <w:pPr>
        <w:pStyle w:val="ListParagraph"/>
        <w:ind w:left="360"/>
        <w:rPr>
          <w:rFonts w:ascii="Calibri" w:eastAsia="Calibri" w:hAnsi="Calibri" w:cs="Calibri"/>
        </w:rPr>
      </w:pPr>
    </w:p>
    <w:p w14:paraId="078DC995" w14:textId="588F8A29" w:rsidR="00B85FA1" w:rsidRPr="00B40CC3" w:rsidRDefault="00B85FA1" w:rsidP="004B1105">
      <w:pPr>
        <w:pStyle w:val="ListParagraph"/>
        <w:ind w:left="360"/>
        <w:rPr>
          <w:rFonts w:eastAsia="Calibri" w:cstheme="minorBidi"/>
        </w:rPr>
      </w:pPr>
      <w:r>
        <w:rPr>
          <w:rFonts w:ascii="Calibri" w:eastAsia="Calibri" w:hAnsi="Calibri" w:cs="Calibri"/>
        </w:rPr>
        <w:t xml:space="preserve">Among those who </w:t>
      </w:r>
      <w:r w:rsidR="004F2E76">
        <w:rPr>
          <w:rFonts w:ascii="Calibri" w:eastAsia="Calibri" w:hAnsi="Calibri" w:cs="Calibri"/>
        </w:rPr>
        <w:t>do</w:t>
      </w:r>
      <w:r>
        <w:rPr>
          <w:rFonts w:ascii="Calibri" w:eastAsia="Calibri" w:hAnsi="Calibri" w:cs="Calibri"/>
        </w:rPr>
        <w:t xml:space="preserve"> not receive a wealth transfer</w:t>
      </w:r>
      <w:r w:rsidRPr="00700F97">
        <w:rPr>
          <w:rFonts w:ascii="Calibri" w:eastAsia="Calibri" w:hAnsi="Calibri" w:cs="Calibri"/>
        </w:rPr>
        <w:t>,</w:t>
      </w:r>
      <w:r w:rsidRPr="6A9E2235">
        <w:rPr>
          <w:rFonts w:ascii="Calibri" w:eastAsia="Calibri" w:hAnsi="Calibri" w:cs="Calibri"/>
        </w:rPr>
        <w:t xml:space="preserve"> 52 percent of AAPI respondents report saving</w:t>
      </w:r>
      <w:r w:rsidR="001E530D">
        <w:rPr>
          <w:rFonts w:ascii="Calibri" w:eastAsia="Calibri" w:hAnsi="Calibri" w:cs="Calibri"/>
        </w:rPr>
        <w:t>,</w:t>
      </w:r>
      <w:r w:rsidRPr="6A9E2235">
        <w:rPr>
          <w:rFonts w:ascii="Calibri" w:eastAsia="Calibri" w:hAnsi="Calibri" w:cs="Calibri"/>
        </w:rPr>
        <w:t xml:space="preserve"> compared with roughly 40 percent of Black and Latinx respondents, 33 percent of White respondents, and 27 percent of respondents of another race.</w:t>
      </w:r>
      <w:r w:rsidRPr="5E154477">
        <w:rPr>
          <w:rFonts w:eastAsia="Calibri" w:cstheme="minorBidi"/>
        </w:rPr>
        <w:t xml:space="preserve"> </w:t>
      </w:r>
      <w:r w:rsidRPr="68F71840">
        <w:rPr>
          <w:rFonts w:eastAsia="Calibri" w:cstheme="minorBidi"/>
        </w:rPr>
        <w:t>There</w:t>
      </w:r>
      <w:r w:rsidRPr="5E154477">
        <w:rPr>
          <w:rFonts w:eastAsia="Calibri" w:cstheme="minorBidi"/>
        </w:rPr>
        <w:t xml:space="preserve"> were no significant differences </w:t>
      </w:r>
      <w:r>
        <w:rPr>
          <w:rFonts w:eastAsia="Calibri" w:cstheme="minorBidi"/>
        </w:rPr>
        <w:t xml:space="preserve">in college savings </w:t>
      </w:r>
      <w:r w:rsidRPr="5E154477">
        <w:rPr>
          <w:rFonts w:eastAsia="Calibri" w:cstheme="minorBidi"/>
        </w:rPr>
        <w:t>by race and ethnicity</w:t>
      </w:r>
      <w:r>
        <w:rPr>
          <w:rFonts w:eastAsia="Calibri" w:cstheme="minorBidi"/>
        </w:rPr>
        <w:t xml:space="preserve"> for those who d</w:t>
      </w:r>
      <w:r w:rsidR="004F2E76">
        <w:rPr>
          <w:rFonts w:eastAsia="Calibri" w:cstheme="minorBidi"/>
        </w:rPr>
        <w:t>o</w:t>
      </w:r>
      <w:r>
        <w:rPr>
          <w:rFonts w:eastAsia="Calibri" w:cstheme="minorBidi"/>
        </w:rPr>
        <w:t xml:space="preserve"> receive a wealth transfer.</w:t>
      </w:r>
    </w:p>
    <w:p w14:paraId="3AAB3E7C" w14:textId="77777777" w:rsidR="00B85FA1" w:rsidRPr="0089496D" w:rsidRDefault="00B85FA1" w:rsidP="004B1105">
      <w:pPr>
        <w:tabs>
          <w:tab w:val="left" w:pos="8604"/>
        </w:tabs>
      </w:pPr>
      <w:r>
        <w:tab/>
      </w:r>
    </w:p>
    <w:tbl>
      <w:tblPr>
        <w:tblpPr w:leftFromText="180" w:rightFromText="180" w:vertAnchor="text" w:tblpY="1"/>
        <w:tblOverlap w:val="never"/>
        <w:tblW w:w="7740" w:type="dxa"/>
        <w:tblLayout w:type="fixed"/>
        <w:tblLook w:val="04A0" w:firstRow="1" w:lastRow="0" w:firstColumn="1" w:lastColumn="0" w:noHBand="0" w:noVBand="1"/>
      </w:tblPr>
      <w:tblGrid>
        <w:gridCol w:w="1530"/>
        <w:gridCol w:w="1530"/>
        <w:gridCol w:w="1710"/>
        <w:gridCol w:w="1260"/>
        <w:gridCol w:w="1710"/>
      </w:tblGrid>
      <w:tr w:rsidR="00B85FA1" w:rsidRPr="00F21A0A" w14:paraId="5D500F58" w14:textId="77777777">
        <w:trPr>
          <w:trHeight w:val="320"/>
        </w:trPr>
        <w:tc>
          <w:tcPr>
            <w:tcW w:w="7740" w:type="dxa"/>
            <w:gridSpan w:val="5"/>
            <w:tcBorders>
              <w:bottom w:val="single" w:sz="18" w:space="0" w:color="auto"/>
            </w:tcBorders>
            <w:shd w:val="clear" w:color="auto" w:fill="auto"/>
            <w:noWrap/>
            <w:vAlign w:val="bottom"/>
          </w:tcPr>
          <w:p w14:paraId="5688E899" w14:textId="29F8202E" w:rsidR="00B85FA1" w:rsidRPr="00CB042C" w:rsidRDefault="00B85FA1" w:rsidP="004B1105">
            <w:pPr>
              <w:rPr>
                <w:rFonts w:ascii="Arial" w:hAnsi="Arial" w:cs="Arial"/>
                <w:b/>
                <w:color w:val="000000"/>
                <w:sz w:val="24"/>
              </w:rPr>
            </w:pPr>
            <w:bookmarkStart w:id="28" w:name="_Ref160092275"/>
            <w:r w:rsidRPr="00CB042C">
              <w:rPr>
                <w:b/>
                <w:bCs/>
              </w:rPr>
              <w:t xml:space="preserve">Table </w:t>
            </w:r>
            <w:bookmarkEnd w:id="28"/>
            <w:r w:rsidRPr="00CB042C">
              <w:rPr>
                <w:b/>
                <w:bCs/>
              </w:rPr>
              <w:fldChar w:fldCharType="begin"/>
            </w:r>
            <w:r w:rsidRPr="00CB042C">
              <w:rPr>
                <w:b/>
                <w:bCs/>
              </w:rPr>
              <w:instrText xml:space="preserve"> SEQ Table \* ARABIC </w:instrText>
            </w:r>
            <w:r w:rsidRPr="00CB042C">
              <w:rPr>
                <w:b/>
                <w:bCs/>
              </w:rPr>
              <w:fldChar w:fldCharType="separate"/>
            </w:r>
            <w:r w:rsidR="00773B59">
              <w:rPr>
                <w:b/>
                <w:bCs/>
                <w:noProof/>
              </w:rPr>
              <w:t>3</w:t>
            </w:r>
            <w:r w:rsidRPr="00CB042C">
              <w:rPr>
                <w:b/>
                <w:bCs/>
              </w:rPr>
              <w:fldChar w:fldCharType="end"/>
            </w:r>
            <w:r w:rsidR="00163ABF">
              <w:rPr>
                <w:b/>
                <w:bCs/>
              </w:rPr>
              <w:t>.</w:t>
            </w:r>
            <w:r w:rsidRPr="00CB042C">
              <w:rPr>
                <w:b/>
                <w:bCs/>
              </w:rPr>
              <w:t xml:space="preserve"> </w:t>
            </w:r>
            <w:r>
              <w:rPr>
                <w:b/>
                <w:bCs/>
              </w:rPr>
              <w:t>Share of Respondents</w:t>
            </w:r>
            <w:r>
              <w:rPr>
                <w:b/>
              </w:rPr>
              <w:t xml:space="preserve"> </w:t>
            </w:r>
            <w:r w:rsidRPr="001D0C0A">
              <w:rPr>
                <w:b/>
              </w:rPr>
              <w:t xml:space="preserve">Saving for </w:t>
            </w:r>
            <w:r w:rsidRPr="001D0C0A">
              <w:rPr>
                <w:b/>
                <w:bCs/>
              </w:rPr>
              <w:t xml:space="preserve">the </w:t>
            </w:r>
            <w:r>
              <w:rPr>
                <w:b/>
                <w:bCs/>
              </w:rPr>
              <w:t xml:space="preserve">College </w:t>
            </w:r>
            <w:r w:rsidRPr="001D0C0A">
              <w:rPr>
                <w:b/>
              </w:rPr>
              <w:t xml:space="preserve">Education of their </w:t>
            </w:r>
            <w:r w:rsidRPr="43468C20">
              <w:rPr>
                <w:b/>
                <w:bCs/>
              </w:rPr>
              <w:t>Children</w:t>
            </w:r>
            <w:r w:rsidRPr="001D0C0A">
              <w:rPr>
                <w:b/>
              </w:rPr>
              <w:t xml:space="preserve"> by Wealth Transfers Received and Race </w:t>
            </w:r>
            <w:r w:rsidR="00E36B22">
              <w:rPr>
                <w:b/>
              </w:rPr>
              <w:t>and</w:t>
            </w:r>
            <w:r w:rsidRPr="001D0C0A">
              <w:rPr>
                <w:b/>
              </w:rPr>
              <w:t xml:space="preserve"> Ethnicity</w:t>
            </w:r>
          </w:p>
        </w:tc>
      </w:tr>
      <w:tr w:rsidR="00B85FA1" w:rsidRPr="00F21A0A" w14:paraId="41C48280" w14:textId="77777777">
        <w:trPr>
          <w:trHeight w:val="320"/>
        </w:trPr>
        <w:tc>
          <w:tcPr>
            <w:tcW w:w="1530" w:type="dxa"/>
            <w:tcBorders>
              <w:top w:val="single" w:sz="18" w:space="0" w:color="auto"/>
            </w:tcBorders>
            <w:shd w:val="clear" w:color="auto" w:fill="auto"/>
            <w:noWrap/>
            <w:vAlign w:val="bottom"/>
            <w:hideMark/>
          </w:tcPr>
          <w:p w14:paraId="63699409" w14:textId="77777777" w:rsidR="00B85FA1" w:rsidRPr="00F21A0A" w:rsidRDefault="00B85FA1" w:rsidP="004B1105">
            <w:pPr>
              <w:rPr>
                <w:rFonts w:ascii="Arial" w:hAnsi="Arial" w:cs="Arial"/>
                <w:color w:val="000000"/>
                <w:sz w:val="24"/>
              </w:rPr>
            </w:pPr>
            <w:r w:rsidRPr="00F21A0A">
              <w:rPr>
                <w:rFonts w:ascii="Arial" w:hAnsi="Arial" w:cs="Arial"/>
                <w:color w:val="000000"/>
                <w:sz w:val="24"/>
              </w:rPr>
              <w:t> </w:t>
            </w:r>
          </w:p>
        </w:tc>
        <w:tc>
          <w:tcPr>
            <w:tcW w:w="3240" w:type="dxa"/>
            <w:gridSpan w:val="2"/>
            <w:tcBorders>
              <w:top w:val="single" w:sz="18" w:space="0" w:color="auto"/>
            </w:tcBorders>
            <w:shd w:val="clear" w:color="auto" w:fill="auto"/>
            <w:noWrap/>
            <w:vAlign w:val="center"/>
            <w:hideMark/>
          </w:tcPr>
          <w:p w14:paraId="6460FAC7" w14:textId="7BD18BBD" w:rsidR="00B85FA1" w:rsidRPr="00F21A0A" w:rsidRDefault="009451DC" w:rsidP="001740FE">
            <w:pPr>
              <w:rPr>
                <w:rFonts w:ascii="Calibri" w:hAnsi="Calibri" w:cs="Calibri"/>
                <w:b/>
                <w:color w:val="000000"/>
              </w:rPr>
            </w:pPr>
            <w:r>
              <w:rPr>
                <w:rFonts w:ascii="Calibri" w:hAnsi="Calibri" w:cs="Calibri"/>
                <w:b/>
                <w:color w:val="000000" w:themeColor="text1"/>
              </w:rPr>
              <w:t>Percent</w:t>
            </w:r>
            <w:r w:rsidRPr="2C4B3493">
              <w:rPr>
                <w:rFonts w:ascii="Calibri" w:hAnsi="Calibri" w:cs="Calibri"/>
                <w:b/>
                <w:color w:val="000000" w:themeColor="text1"/>
              </w:rPr>
              <w:t xml:space="preserve"> </w:t>
            </w:r>
            <w:r w:rsidR="00B85FA1" w:rsidRPr="2C4B3493">
              <w:rPr>
                <w:rFonts w:ascii="Calibri" w:hAnsi="Calibri" w:cs="Calibri"/>
                <w:b/>
                <w:color w:val="000000" w:themeColor="text1"/>
              </w:rPr>
              <w:t xml:space="preserve">Saving for </w:t>
            </w:r>
            <w:r w:rsidR="00DF63FF">
              <w:rPr>
                <w:rFonts w:ascii="Calibri" w:hAnsi="Calibri" w:cs="Calibri"/>
                <w:b/>
                <w:color w:val="000000" w:themeColor="text1"/>
              </w:rPr>
              <w:t>t</w:t>
            </w:r>
            <w:r w:rsidR="00F836B5" w:rsidRPr="2C4B3493">
              <w:rPr>
                <w:rFonts w:ascii="Calibri" w:hAnsi="Calibri" w:cs="Calibri"/>
                <w:b/>
                <w:color w:val="000000" w:themeColor="text1"/>
              </w:rPr>
              <w:t xml:space="preserve">heir </w:t>
            </w:r>
            <w:r w:rsidR="00B85FA1" w:rsidRPr="43468C20">
              <w:rPr>
                <w:rFonts w:ascii="Calibri" w:hAnsi="Calibri" w:cs="Calibri"/>
                <w:b/>
                <w:bCs/>
                <w:color w:val="000000" w:themeColor="text1"/>
              </w:rPr>
              <w:t>Children’s</w:t>
            </w:r>
            <w:r w:rsidR="00B85FA1" w:rsidRPr="2C4B3493">
              <w:rPr>
                <w:rFonts w:ascii="Calibri" w:hAnsi="Calibri" w:cs="Calibri"/>
                <w:b/>
                <w:color w:val="000000" w:themeColor="text1"/>
              </w:rPr>
              <w:t xml:space="preserve"> </w:t>
            </w:r>
            <w:r w:rsidR="00B85FA1">
              <w:rPr>
                <w:rFonts w:ascii="Calibri" w:hAnsi="Calibri" w:cs="Calibri"/>
                <w:b/>
                <w:color w:val="000000" w:themeColor="text1"/>
              </w:rPr>
              <w:t xml:space="preserve">College </w:t>
            </w:r>
            <w:r w:rsidR="00B85FA1" w:rsidRPr="2C4B3493">
              <w:rPr>
                <w:rFonts w:ascii="Calibri" w:hAnsi="Calibri" w:cs="Calibri"/>
                <w:b/>
                <w:color w:val="000000" w:themeColor="text1"/>
              </w:rPr>
              <w:t>Education</w:t>
            </w:r>
          </w:p>
        </w:tc>
        <w:tc>
          <w:tcPr>
            <w:tcW w:w="2970" w:type="dxa"/>
            <w:gridSpan w:val="2"/>
            <w:tcBorders>
              <w:top w:val="single" w:sz="18" w:space="0" w:color="auto"/>
            </w:tcBorders>
            <w:shd w:val="clear" w:color="auto" w:fill="auto"/>
            <w:noWrap/>
            <w:vAlign w:val="center"/>
            <w:hideMark/>
          </w:tcPr>
          <w:p w14:paraId="77819881" w14:textId="197D9FBD" w:rsidR="00B85FA1" w:rsidRPr="00F21A0A" w:rsidRDefault="00732495" w:rsidP="001740FE">
            <w:pPr>
              <w:rPr>
                <w:rFonts w:ascii="Calibri" w:hAnsi="Calibri" w:cs="Calibri"/>
                <w:b/>
                <w:color w:val="000000"/>
              </w:rPr>
            </w:pPr>
            <w:r>
              <w:rPr>
                <w:rFonts w:ascii="Calibri" w:hAnsi="Calibri" w:cs="Calibri"/>
                <w:b/>
                <w:color w:val="000000"/>
              </w:rPr>
              <w:t>Sample Sizes</w:t>
            </w:r>
          </w:p>
        </w:tc>
      </w:tr>
      <w:tr w:rsidR="00B85FA1" w:rsidRPr="00F21A0A" w14:paraId="551CB8D4" w14:textId="77777777">
        <w:trPr>
          <w:trHeight w:val="320"/>
        </w:trPr>
        <w:tc>
          <w:tcPr>
            <w:tcW w:w="1530" w:type="dxa"/>
            <w:shd w:val="clear" w:color="auto" w:fill="auto"/>
            <w:noWrap/>
            <w:vAlign w:val="center"/>
            <w:hideMark/>
          </w:tcPr>
          <w:p w14:paraId="2ACF493C" w14:textId="70E0B110" w:rsidR="00B85FA1" w:rsidRPr="00F12147" w:rsidRDefault="00B85FA1" w:rsidP="004B1105">
            <w:pPr>
              <w:rPr>
                <w:rFonts w:ascii="Calibri" w:hAnsi="Calibri" w:cs="Calibri"/>
                <w:bCs/>
                <w:color w:val="000000"/>
              </w:rPr>
            </w:pPr>
            <w:r w:rsidRPr="00F12147">
              <w:rPr>
                <w:rFonts w:ascii="Calibri" w:hAnsi="Calibri" w:cs="Calibri"/>
                <w:bCs/>
                <w:color w:val="000000"/>
              </w:rPr>
              <w:t xml:space="preserve">Race </w:t>
            </w:r>
            <w:r w:rsidR="00F957C1">
              <w:rPr>
                <w:rFonts w:ascii="Calibri" w:hAnsi="Calibri" w:cs="Calibri"/>
                <w:bCs/>
                <w:color w:val="000000"/>
              </w:rPr>
              <w:t>and</w:t>
            </w:r>
            <w:r w:rsidR="00F957C1" w:rsidRPr="00F12147">
              <w:rPr>
                <w:rFonts w:ascii="Calibri" w:hAnsi="Calibri" w:cs="Calibri"/>
                <w:bCs/>
                <w:color w:val="000000"/>
              </w:rPr>
              <w:t xml:space="preserve"> </w:t>
            </w:r>
            <w:r w:rsidRPr="00F12147">
              <w:rPr>
                <w:rFonts w:ascii="Calibri" w:hAnsi="Calibri" w:cs="Calibri"/>
                <w:bCs/>
                <w:color w:val="000000"/>
              </w:rPr>
              <w:t>Ethnicity</w:t>
            </w:r>
          </w:p>
        </w:tc>
        <w:tc>
          <w:tcPr>
            <w:tcW w:w="1530" w:type="dxa"/>
            <w:tcBorders>
              <w:bottom w:val="single" w:sz="18" w:space="0" w:color="auto"/>
            </w:tcBorders>
            <w:shd w:val="clear" w:color="auto" w:fill="auto"/>
            <w:noWrap/>
            <w:vAlign w:val="center"/>
            <w:hideMark/>
          </w:tcPr>
          <w:p w14:paraId="6D394960" w14:textId="77777777" w:rsidR="00B85FA1" w:rsidRPr="00F21A0A" w:rsidRDefault="00B85FA1" w:rsidP="00F12147">
            <w:pPr>
              <w:rPr>
                <w:rFonts w:ascii="Calibri" w:hAnsi="Calibri" w:cs="Calibri"/>
                <w:color w:val="000000"/>
              </w:rPr>
            </w:pPr>
            <w:r>
              <w:rPr>
                <w:rFonts w:ascii="Calibri" w:hAnsi="Calibri" w:cs="Calibri"/>
                <w:color w:val="000000"/>
              </w:rPr>
              <w:t>Received No Wealth Transfers</w:t>
            </w:r>
          </w:p>
        </w:tc>
        <w:tc>
          <w:tcPr>
            <w:tcW w:w="1710" w:type="dxa"/>
            <w:tcBorders>
              <w:bottom w:val="single" w:sz="18" w:space="0" w:color="auto"/>
            </w:tcBorders>
            <w:shd w:val="clear" w:color="auto" w:fill="auto"/>
            <w:noWrap/>
            <w:vAlign w:val="center"/>
            <w:hideMark/>
          </w:tcPr>
          <w:p w14:paraId="49C0EC20" w14:textId="77777777" w:rsidR="00B85FA1" w:rsidRPr="00F21A0A" w:rsidRDefault="00B85FA1" w:rsidP="00F12147">
            <w:pPr>
              <w:rPr>
                <w:rFonts w:ascii="Calibri" w:hAnsi="Calibri" w:cs="Calibri"/>
                <w:color w:val="000000"/>
              </w:rPr>
            </w:pPr>
            <w:r>
              <w:rPr>
                <w:rFonts w:ascii="Calibri" w:hAnsi="Calibri" w:cs="Calibri"/>
                <w:color w:val="000000"/>
              </w:rPr>
              <w:t xml:space="preserve">Received </w:t>
            </w:r>
            <w:r w:rsidRPr="00F21A0A">
              <w:rPr>
                <w:rFonts w:ascii="Calibri" w:hAnsi="Calibri" w:cs="Calibri"/>
                <w:color w:val="000000"/>
              </w:rPr>
              <w:t xml:space="preserve">At </w:t>
            </w:r>
            <w:r>
              <w:rPr>
                <w:rFonts w:ascii="Calibri" w:hAnsi="Calibri" w:cs="Calibri"/>
                <w:color w:val="000000"/>
              </w:rPr>
              <w:t>L</w:t>
            </w:r>
            <w:r w:rsidRPr="00F21A0A">
              <w:rPr>
                <w:rFonts w:ascii="Calibri" w:hAnsi="Calibri" w:cs="Calibri"/>
                <w:color w:val="000000"/>
              </w:rPr>
              <w:t>east 1</w:t>
            </w:r>
            <w:r>
              <w:rPr>
                <w:rFonts w:ascii="Calibri" w:hAnsi="Calibri" w:cs="Calibri"/>
                <w:color w:val="000000"/>
              </w:rPr>
              <w:t xml:space="preserve"> Wealth Transfer</w:t>
            </w:r>
          </w:p>
        </w:tc>
        <w:tc>
          <w:tcPr>
            <w:tcW w:w="1260" w:type="dxa"/>
            <w:tcBorders>
              <w:bottom w:val="single" w:sz="18" w:space="0" w:color="auto"/>
            </w:tcBorders>
            <w:shd w:val="clear" w:color="auto" w:fill="auto"/>
            <w:noWrap/>
            <w:vAlign w:val="center"/>
            <w:hideMark/>
          </w:tcPr>
          <w:p w14:paraId="092F5208" w14:textId="77777777" w:rsidR="00B85FA1" w:rsidRPr="00F21A0A" w:rsidRDefault="00B85FA1" w:rsidP="00F12147">
            <w:pPr>
              <w:rPr>
                <w:rFonts w:ascii="Calibri" w:hAnsi="Calibri" w:cs="Calibri"/>
                <w:color w:val="000000"/>
              </w:rPr>
            </w:pPr>
            <w:r>
              <w:rPr>
                <w:rFonts w:ascii="Calibri" w:hAnsi="Calibri" w:cs="Calibri"/>
                <w:color w:val="000000"/>
              </w:rPr>
              <w:t>Received No Wealth Transfers</w:t>
            </w:r>
          </w:p>
        </w:tc>
        <w:tc>
          <w:tcPr>
            <w:tcW w:w="1710" w:type="dxa"/>
            <w:tcBorders>
              <w:bottom w:val="single" w:sz="18" w:space="0" w:color="auto"/>
            </w:tcBorders>
            <w:shd w:val="clear" w:color="auto" w:fill="auto"/>
            <w:noWrap/>
            <w:vAlign w:val="center"/>
            <w:hideMark/>
          </w:tcPr>
          <w:p w14:paraId="776ABE8A" w14:textId="77777777" w:rsidR="00B85FA1" w:rsidRPr="00F21A0A" w:rsidRDefault="00B85FA1" w:rsidP="00F12147">
            <w:pPr>
              <w:rPr>
                <w:rFonts w:ascii="Calibri" w:hAnsi="Calibri" w:cs="Calibri"/>
                <w:color w:val="000000"/>
              </w:rPr>
            </w:pPr>
            <w:r>
              <w:rPr>
                <w:rFonts w:ascii="Calibri" w:hAnsi="Calibri" w:cs="Calibri"/>
                <w:color w:val="000000"/>
              </w:rPr>
              <w:t xml:space="preserve">Received </w:t>
            </w:r>
            <w:r w:rsidRPr="00F21A0A">
              <w:rPr>
                <w:rFonts w:ascii="Calibri" w:hAnsi="Calibri" w:cs="Calibri"/>
                <w:color w:val="000000"/>
              </w:rPr>
              <w:t xml:space="preserve">At </w:t>
            </w:r>
            <w:r>
              <w:rPr>
                <w:rFonts w:ascii="Calibri" w:hAnsi="Calibri" w:cs="Calibri"/>
                <w:color w:val="000000"/>
              </w:rPr>
              <w:t>L</w:t>
            </w:r>
            <w:r w:rsidRPr="00F21A0A">
              <w:rPr>
                <w:rFonts w:ascii="Calibri" w:hAnsi="Calibri" w:cs="Calibri"/>
                <w:color w:val="000000"/>
              </w:rPr>
              <w:t>east 1</w:t>
            </w:r>
            <w:r>
              <w:rPr>
                <w:rFonts w:ascii="Calibri" w:hAnsi="Calibri" w:cs="Calibri"/>
                <w:color w:val="000000"/>
              </w:rPr>
              <w:t xml:space="preserve"> Wealth Transfer</w:t>
            </w:r>
          </w:p>
        </w:tc>
      </w:tr>
      <w:tr w:rsidR="00214D68" w:rsidRPr="00F21A0A" w14:paraId="15479CAF" w14:textId="77777777" w:rsidTr="00E03716">
        <w:trPr>
          <w:trHeight w:val="320"/>
        </w:trPr>
        <w:tc>
          <w:tcPr>
            <w:tcW w:w="1530" w:type="dxa"/>
            <w:shd w:val="clear" w:color="auto" w:fill="auto"/>
            <w:noWrap/>
            <w:vAlign w:val="center"/>
          </w:tcPr>
          <w:p w14:paraId="68DA2B2C" w14:textId="6571F445" w:rsidR="00214D68" w:rsidRPr="00214D68" w:rsidRDefault="00214D68" w:rsidP="004B1105">
            <w:pPr>
              <w:rPr>
                <w:rFonts w:ascii="Calibri" w:hAnsi="Calibri" w:cs="Calibri"/>
                <w:color w:val="000000"/>
              </w:rPr>
            </w:pPr>
            <w:r w:rsidRPr="00214D68">
              <w:rPr>
                <w:rFonts w:ascii="Calibri" w:hAnsi="Calibri" w:cs="Calibri"/>
                <w:color w:val="000000"/>
              </w:rPr>
              <w:t>AAPI</w:t>
            </w:r>
          </w:p>
        </w:tc>
        <w:tc>
          <w:tcPr>
            <w:tcW w:w="1530" w:type="dxa"/>
            <w:tcBorders>
              <w:top w:val="single" w:sz="18" w:space="0" w:color="auto"/>
            </w:tcBorders>
            <w:shd w:val="clear" w:color="auto" w:fill="auto"/>
            <w:noWrap/>
            <w:vAlign w:val="center"/>
          </w:tcPr>
          <w:p w14:paraId="14B7382A" w14:textId="5FB4F01A" w:rsidR="00214D68" w:rsidRPr="00214D68" w:rsidRDefault="00214D68" w:rsidP="00F12147">
            <w:pPr>
              <w:rPr>
                <w:rFonts w:ascii="Calibri" w:hAnsi="Calibri" w:cs="Calibri"/>
                <w:b/>
                <w:color w:val="000000"/>
              </w:rPr>
            </w:pPr>
            <w:r w:rsidRPr="00214D68">
              <w:rPr>
                <w:rFonts w:ascii="Calibri" w:hAnsi="Calibri" w:cs="Calibri"/>
                <w:b/>
                <w:color w:val="000000"/>
              </w:rPr>
              <w:t>52.3%</w:t>
            </w:r>
          </w:p>
        </w:tc>
        <w:tc>
          <w:tcPr>
            <w:tcW w:w="1710" w:type="dxa"/>
            <w:tcBorders>
              <w:top w:val="single" w:sz="18" w:space="0" w:color="auto"/>
            </w:tcBorders>
            <w:shd w:val="clear" w:color="auto" w:fill="auto"/>
            <w:noWrap/>
            <w:vAlign w:val="center"/>
          </w:tcPr>
          <w:p w14:paraId="53F25C6D" w14:textId="3B6C0B02" w:rsidR="00214D68" w:rsidRPr="00214D68" w:rsidRDefault="00214D68" w:rsidP="00F12147">
            <w:pPr>
              <w:rPr>
                <w:rFonts w:ascii="Calibri" w:hAnsi="Calibri" w:cs="Calibri"/>
                <w:color w:val="000000"/>
              </w:rPr>
            </w:pPr>
            <w:r w:rsidRPr="00214D68">
              <w:rPr>
                <w:rFonts w:ascii="Calibri" w:hAnsi="Calibri" w:cs="Calibri"/>
                <w:color w:val="000000"/>
              </w:rPr>
              <w:t>57.8%</w:t>
            </w:r>
          </w:p>
        </w:tc>
        <w:tc>
          <w:tcPr>
            <w:tcW w:w="1260" w:type="dxa"/>
            <w:tcBorders>
              <w:top w:val="single" w:sz="18" w:space="0" w:color="auto"/>
            </w:tcBorders>
            <w:shd w:val="clear" w:color="auto" w:fill="auto"/>
            <w:noWrap/>
            <w:vAlign w:val="center"/>
          </w:tcPr>
          <w:p w14:paraId="13D0B225" w14:textId="3AEF2557" w:rsidR="00214D68" w:rsidRPr="00214D68" w:rsidRDefault="00214D68" w:rsidP="00F12147">
            <w:pPr>
              <w:rPr>
                <w:rFonts w:ascii="Calibri" w:hAnsi="Calibri" w:cs="Calibri"/>
                <w:color w:val="000000"/>
              </w:rPr>
            </w:pPr>
            <w:r w:rsidRPr="00214D68">
              <w:rPr>
                <w:rFonts w:ascii="Calibri" w:hAnsi="Calibri" w:cs="Calibri"/>
                <w:color w:val="000000"/>
              </w:rPr>
              <w:t>294</w:t>
            </w:r>
          </w:p>
        </w:tc>
        <w:tc>
          <w:tcPr>
            <w:tcW w:w="1710" w:type="dxa"/>
            <w:tcBorders>
              <w:top w:val="single" w:sz="18" w:space="0" w:color="auto"/>
            </w:tcBorders>
            <w:shd w:val="clear" w:color="auto" w:fill="auto"/>
            <w:noWrap/>
            <w:vAlign w:val="center"/>
          </w:tcPr>
          <w:p w14:paraId="484EE22C" w14:textId="03785DBD" w:rsidR="00214D68" w:rsidRPr="00F12147" w:rsidRDefault="00214D68" w:rsidP="00F12147">
            <w:pPr>
              <w:rPr>
                <w:rFonts w:ascii="Calibri" w:hAnsi="Calibri" w:cs="Calibri"/>
              </w:rPr>
            </w:pPr>
            <w:r w:rsidRPr="00214D68">
              <w:rPr>
                <w:rFonts w:ascii="Calibri" w:hAnsi="Calibri" w:cs="Calibri"/>
                <w:color w:val="000000"/>
              </w:rPr>
              <w:t>102</w:t>
            </w:r>
          </w:p>
        </w:tc>
      </w:tr>
      <w:tr w:rsidR="00FB538D" w:rsidRPr="00F21A0A" w14:paraId="095B64F6" w14:textId="77777777" w:rsidTr="00F12147">
        <w:trPr>
          <w:trHeight w:val="47"/>
        </w:trPr>
        <w:tc>
          <w:tcPr>
            <w:tcW w:w="1530" w:type="dxa"/>
            <w:shd w:val="clear" w:color="auto" w:fill="auto"/>
            <w:noWrap/>
            <w:vAlign w:val="center"/>
          </w:tcPr>
          <w:p w14:paraId="02F9B2F1" w14:textId="77777777" w:rsidR="00FB538D" w:rsidRPr="00F12147" w:rsidRDefault="00FB538D" w:rsidP="004B1105">
            <w:pPr>
              <w:rPr>
                <w:rFonts w:ascii="Calibri" w:hAnsi="Calibri" w:cs="Calibri"/>
                <w:color w:val="000000"/>
                <w:sz w:val="6"/>
                <w:szCs w:val="6"/>
              </w:rPr>
            </w:pPr>
          </w:p>
        </w:tc>
        <w:tc>
          <w:tcPr>
            <w:tcW w:w="1530" w:type="dxa"/>
            <w:shd w:val="clear" w:color="auto" w:fill="auto"/>
            <w:noWrap/>
            <w:vAlign w:val="center"/>
          </w:tcPr>
          <w:p w14:paraId="40528943" w14:textId="77777777" w:rsidR="00FB538D" w:rsidRPr="00F12147" w:rsidRDefault="00FB538D" w:rsidP="00F12147">
            <w:pPr>
              <w:rPr>
                <w:rFonts w:ascii="Calibri" w:hAnsi="Calibri" w:cs="Calibri"/>
                <w:b/>
                <w:color w:val="000000"/>
                <w:sz w:val="6"/>
                <w:szCs w:val="6"/>
              </w:rPr>
            </w:pPr>
          </w:p>
        </w:tc>
        <w:tc>
          <w:tcPr>
            <w:tcW w:w="1710" w:type="dxa"/>
            <w:shd w:val="clear" w:color="auto" w:fill="auto"/>
            <w:noWrap/>
            <w:vAlign w:val="center"/>
          </w:tcPr>
          <w:p w14:paraId="3968B4A5" w14:textId="77777777" w:rsidR="00FB538D" w:rsidRPr="00F12147" w:rsidRDefault="00FB538D" w:rsidP="00F12147">
            <w:pPr>
              <w:rPr>
                <w:rFonts w:ascii="Calibri" w:hAnsi="Calibri" w:cs="Calibri"/>
                <w:color w:val="000000"/>
                <w:sz w:val="6"/>
                <w:szCs w:val="6"/>
              </w:rPr>
            </w:pPr>
          </w:p>
        </w:tc>
        <w:tc>
          <w:tcPr>
            <w:tcW w:w="1260" w:type="dxa"/>
            <w:shd w:val="clear" w:color="auto" w:fill="auto"/>
            <w:noWrap/>
            <w:vAlign w:val="center"/>
          </w:tcPr>
          <w:p w14:paraId="00E6FE9A" w14:textId="77777777" w:rsidR="00FB538D" w:rsidRPr="00F12147" w:rsidRDefault="00FB538D" w:rsidP="00F12147">
            <w:pPr>
              <w:rPr>
                <w:rFonts w:ascii="Calibri" w:hAnsi="Calibri" w:cs="Calibri"/>
                <w:color w:val="000000"/>
                <w:sz w:val="6"/>
                <w:szCs w:val="6"/>
              </w:rPr>
            </w:pPr>
          </w:p>
        </w:tc>
        <w:tc>
          <w:tcPr>
            <w:tcW w:w="1710" w:type="dxa"/>
            <w:shd w:val="clear" w:color="auto" w:fill="auto"/>
            <w:noWrap/>
            <w:vAlign w:val="center"/>
          </w:tcPr>
          <w:p w14:paraId="38C2198F" w14:textId="77777777" w:rsidR="00FB538D" w:rsidRPr="00F12147" w:rsidRDefault="00FB538D" w:rsidP="00F12147">
            <w:pPr>
              <w:rPr>
                <w:rFonts w:ascii="Calibri" w:hAnsi="Calibri" w:cs="Calibri"/>
                <w:color w:val="000000"/>
                <w:sz w:val="6"/>
                <w:szCs w:val="6"/>
              </w:rPr>
            </w:pPr>
          </w:p>
        </w:tc>
      </w:tr>
      <w:tr w:rsidR="00B85FA1" w:rsidRPr="00F21A0A" w14:paraId="18E5D874" w14:textId="77777777">
        <w:trPr>
          <w:trHeight w:val="320"/>
        </w:trPr>
        <w:tc>
          <w:tcPr>
            <w:tcW w:w="1530" w:type="dxa"/>
            <w:shd w:val="clear" w:color="auto" w:fill="auto"/>
            <w:noWrap/>
            <w:vAlign w:val="center"/>
            <w:hideMark/>
          </w:tcPr>
          <w:p w14:paraId="37FF27D7" w14:textId="77777777" w:rsidR="00B85FA1" w:rsidRPr="00F21A0A" w:rsidRDefault="00B85FA1" w:rsidP="004B1105">
            <w:pPr>
              <w:rPr>
                <w:rFonts w:ascii="Calibri" w:hAnsi="Calibri" w:cs="Calibri"/>
                <w:color w:val="000000"/>
              </w:rPr>
            </w:pPr>
            <w:r w:rsidRPr="00F21A0A">
              <w:rPr>
                <w:rFonts w:ascii="Calibri" w:hAnsi="Calibri" w:cs="Calibri"/>
                <w:color w:val="000000"/>
              </w:rPr>
              <w:t>Black</w:t>
            </w:r>
          </w:p>
        </w:tc>
        <w:tc>
          <w:tcPr>
            <w:tcW w:w="1530" w:type="dxa"/>
            <w:shd w:val="clear" w:color="auto" w:fill="E7E6E6" w:themeFill="background2"/>
            <w:noWrap/>
            <w:vAlign w:val="center"/>
            <w:hideMark/>
          </w:tcPr>
          <w:p w14:paraId="52A84722" w14:textId="77777777" w:rsidR="00B85FA1" w:rsidRPr="00F21A0A" w:rsidRDefault="00B85FA1" w:rsidP="00F12147">
            <w:pPr>
              <w:rPr>
                <w:rFonts w:ascii="Calibri" w:hAnsi="Calibri" w:cs="Calibri"/>
                <w:b/>
                <w:color w:val="000000"/>
              </w:rPr>
            </w:pPr>
            <w:r w:rsidRPr="00F21A0A">
              <w:rPr>
                <w:rFonts w:ascii="Calibri" w:hAnsi="Calibri" w:cs="Calibri"/>
                <w:b/>
                <w:color w:val="000000"/>
              </w:rPr>
              <w:t>39.6%</w:t>
            </w:r>
          </w:p>
        </w:tc>
        <w:tc>
          <w:tcPr>
            <w:tcW w:w="1710" w:type="dxa"/>
            <w:shd w:val="clear" w:color="auto" w:fill="E7E6E6" w:themeFill="background2"/>
            <w:noWrap/>
            <w:vAlign w:val="center"/>
            <w:hideMark/>
          </w:tcPr>
          <w:p w14:paraId="1CBDD000" w14:textId="77777777" w:rsidR="00B85FA1" w:rsidRPr="00F21A0A" w:rsidRDefault="00B85FA1" w:rsidP="00F12147">
            <w:pPr>
              <w:rPr>
                <w:rFonts w:ascii="Calibri" w:hAnsi="Calibri" w:cs="Calibri"/>
                <w:color w:val="000000"/>
              </w:rPr>
            </w:pPr>
            <w:r w:rsidRPr="00F21A0A">
              <w:rPr>
                <w:rFonts w:ascii="Calibri" w:hAnsi="Calibri" w:cs="Calibri"/>
                <w:color w:val="000000"/>
              </w:rPr>
              <w:t>67.1%</w:t>
            </w:r>
          </w:p>
        </w:tc>
        <w:tc>
          <w:tcPr>
            <w:tcW w:w="1260" w:type="dxa"/>
            <w:shd w:val="clear" w:color="auto" w:fill="auto"/>
            <w:noWrap/>
            <w:vAlign w:val="center"/>
            <w:hideMark/>
          </w:tcPr>
          <w:p w14:paraId="38E15203" w14:textId="77777777" w:rsidR="00B85FA1" w:rsidRPr="00F21A0A" w:rsidRDefault="00B85FA1" w:rsidP="00F12147">
            <w:pPr>
              <w:rPr>
                <w:rFonts w:ascii="Calibri" w:hAnsi="Calibri" w:cs="Calibri"/>
                <w:color w:val="000000"/>
              </w:rPr>
            </w:pPr>
            <w:r w:rsidRPr="00F21A0A">
              <w:rPr>
                <w:rFonts w:ascii="Calibri" w:hAnsi="Calibri" w:cs="Calibri"/>
                <w:color w:val="000000"/>
              </w:rPr>
              <w:t>686</w:t>
            </w:r>
          </w:p>
        </w:tc>
        <w:tc>
          <w:tcPr>
            <w:tcW w:w="1710" w:type="dxa"/>
            <w:shd w:val="clear" w:color="auto" w:fill="auto"/>
            <w:noWrap/>
            <w:vAlign w:val="center"/>
            <w:hideMark/>
          </w:tcPr>
          <w:p w14:paraId="371417E7" w14:textId="77777777" w:rsidR="00B85FA1" w:rsidRPr="00F21A0A" w:rsidRDefault="00B85FA1" w:rsidP="00F12147">
            <w:pPr>
              <w:rPr>
                <w:rFonts w:ascii="Calibri" w:hAnsi="Calibri" w:cs="Calibri"/>
                <w:color w:val="000000"/>
              </w:rPr>
            </w:pPr>
            <w:r w:rsidRPr="00F21A0A">
              <w:rPr>
                <w:rFonts w:ascii="Calibri" w:hAnsi="Calibri" w:cs="Calibri"/>
                <w:color w:val="000000"/>
              </w:rPr>
              <w:t>253</w:t>
            </w:r>
          </w:p>
        </w:tc>
      </w:tr>
      <w:tr w:rsidR="0040319B" w:rsidRPr="00F21A0A" w14:paraId="1C13C543" w14:textId="77777777" w:rsidTr="00F12147">
        <w:trPr>
          <w:trHeight w:val="47"/>
        </w:trPr>
        <w:tc>
          <w:tcPr>
            <w:tcW w:w="1530" w:type="dxa"/>
            <w:shd w:val="clear" w:color="auto" w:fill="auto"/>
            <w:noWrap/>
            <w:vAlign w:val="center"/>
          </w:tcPr>
          <w:p w14:paraId="0A367370" w14:textId="77777777" w:rsidR="0040319B" w:rsidRPr="00F12147" w:rsidRDefault="0040319B" w:rsidP="004B1105">
            <w:pPr>
              <w:rPr>
                <w:rFonts w:ascii="Calibri" w:hAnsi="Calibri" w:cs="Calibri"/>
                <w:color w:val="000000"/>
                <w:sz w:val="6"/>
                <w:szCs w:val="6"/>
              </w:rPr>
            </w:pPr>
          </w:p>
        </w:tc>
        <w:tc>
          <w:tcPr>
            <w:tcW w:w="1530" w:type="dxa"/>
            <w:shd w:val="clear" w:color="auto" w:fill="auto"/>
            <w:noWrap/>
            <w:vAlign w:val="center"/>
          </w:tcPr>
          <w:p w14:paraId="65F7487B" w14:textId="77777777" w:rsidR="0040319B" w:rsidRPr="00F12147" w:rsidRDefault="0040319B" w:rsidP="00F12147">
            <w:pPr>
              <w:rPr>
                <w:rFonts w:ascii="Calibri" w:hAnsi="Calibri" w:cs="Calibri"/>
                <w:b/>
                <w:color w:val="000000"/>
                <w:sz w:val="6"/>
                <w:szCs w:val="6"/>
              </w:rPr>
            </w:pPr>
          </w:p>
        </w:tc>
        <w:tc>
          <w:tcPr>
            <w:tcW w:w="1710" w:type="dxa"/>
            <w:shd w:val="clear" w:color="auto" w:fill="auto"/>
            <w:noWrap/>
            <w:vAlign w:val="center"/>
          </w:tcPr>
          <w:p w14:paraId="5AA48ABF" w14:textId="77777777" w:rsidR="0040319B" w:rsidRPr="00F12147" w:rsidRDefault="0040319B" w:rsidP="00F12147">
            <w:pPr>
              <w:rPr>
                <w:rFonts w:ascii="Calibri" w:hAnsi="Calibri" w:cs="Calibri"/>
                <w:color w:val="000000"/>
                <w:sz w:val="6"/>
                <w:szCs w:val="6"/>
              </w:rPr>
            </w:pPr>
          </w:p>
        </w:tc>
        <w:tc>
          <w:tcPr>
            <w:tcW w:w="1260" w:type="dxa"/>
            <w:shd w:val="clear" w:color="auto" w:fill="auto"/>
            <w:noWrap/>
            <w:vAlign w:val="center"/>
          </w:tcPr>
          <w:p w14:paraId="756BA916" w14:textId="77777777" w:rsidR="0040319B" w:rsidRPr="00F12147" w:rsidRDefault="0040319B" w:rsidP="00F12147">
            <w:pPr>
              <w:rPr>
                <w:rFonts w:ascii="Calibri" w:hAnsi="Calibri" w:cs="Calibri"/>
                <w:color w:val="000000"/>
                <w:sz w:val="6"/>
                <w:szCs w:val="6"/>
              </w:rPr>
            </w:pPr>
          </w:p>
        </w:tc>
        <w:tc>
          <w:tcPr>
            <w:tcW w:w="1710" w:type="dxa"/>
            <w:shd w:val="clear" w:color="auto" w:fill="auto"/>
            <w:noWrap/>
            <w:vAlign w:val="center"/>
          </w:tcPr>
          <w:p w14:paraId="3E4299D1" w14:textId="77777777" w:rsidR="0040319B" w:rsidRPr="00F12147" w:rsidRDefault="0040319B" w:rsidP="00F12147">
            <w:pPr>
              <w:rPr>
                <w:rFonts w:ascii="Calibri" w:hAnsi="Calibri" w:cs="Calibri"/>
                <w:color w:val="000000"/>
                <w:sz w:val="6"/>
                <w:szCs w:val="6"/>
              </w:rPr>
            </w:pPr>
          </w:p>
        </w:tc>
      </w:tr>
      <w:tr w:rsidR="00B85FA1" w:rsidRPr="00F21A0A" w14:paraId="767548ED" w14:textId="77777777" w:rsidTr="00F12147">
        <w:trPr>
          <w:trHeight w:val="320"/>
        </w:trPr>
        <w:tc>
          <w:tcPr>
            <w:tcW w:w="1530" w:type="dxa"/>
            <w:shd w:val="clear" w:color="auto" w:fill="auto"/>
            <w:noWrap/>
            <w:vAlign w:val="center"/>
            <w:hideMark/>
          </w:tcPr>
          <w:p w14:paraId="44ADA452" w14:textId="77777777" w:rsidR="00B85FA1" w:rsidRPr="00F21A0A" w:rsidRDefault="00B85FA1" w:rsidP="004B1105">
            <w:pPr>
              <w:rPr>
                <w:rFonts w:ascii="Calibri" w:hAnsi="Calibri" w:cs="Calibri"/>
                <w:color w:val="000000"/>
              </w:rPr>
            </w:pPr>
            <w:r w:rsidRPr="00F21A0A">
              <w:rPr>
                <w:rFonts w:ascii="Calibri" w:hAnsi="Calibri" w:cs="Calibri"/>
                <w:color w:val="000000"/>
              </w:rPr>
              <w:t>Latinx</w:t>
            </w:r>
          </w:p>
        </w:tc>
        <w:tc>
          <w:tcPr>
            <w:tcW w:w="1530" w:type="dxa"/>
            <w:shd w:val="clear" w:color="auto" w:fill="E7E6E6" w:themeFill="background2"/>
            <w:noWrap/>
            <w:vAlign w:val="center"/>
            <w:hideMark/>
          </w:tcPr>
          <w:p w14:paraId="5485B0E2" w14:textId="77777777" w:rsidR="00B85FA1" w:rsidRPr="00F21A0A" w:rsidRDefault="00B85FA1" w:rsidP="00F12147">
            <w:pPr>
              <w:rPr>
                <w:rFonts w:ascii="Calibri" w:hAnsi="Calibri" w:cs="Calibri"/>
                <w:b/>
                <w:color w:val="000000"/>
              </w:rPr>
            </w:pPr>
            <w:r w:rsidRPr="00F21A0A">
              <w:rPr>
                <w:rFonts w:ascii="Calibri" w:hAnsi="Calibri" w:cs="Calibri"/>
                <w:b/>
                <w:color w:val="000000"/>
              </w:rPr>
              <w:t>40.1%</w:t>
            </w:r>
          </w:p>
        </w:tc>
        <w:tc>
          <w:tcPr>
            <w:tcW w:w="1710" w:type="dxa"/>
            <w:shd w:val="clear" w:color="auto" w:fill="E7E6E6" w:themeFill="background2"/>
            <w:noWrap/>
            <w:vAlign w:val="center"/>
            <w:hideMark/>
          </w:tcPr>
          <w:p w14:paraId="27DFB8CD" w14:textId="77777777" w:rsidR="00B85FA1" w:rsidRPr="00F21A0A" w:rsidRDefault="00B85FA1" w:rsidP="00F12147">
            <w:pPr>
              <w:rPr>
                <w:rFonts w:ascii="Calibri" w:hAnsi="Calibri" w:cs="Calibri"/>
                <w:color w:val="000000"/>
              </w:rPr>
            </w:pPr>
            <w:r w:rsidRPr="00F21A0A">
              <w:rPr>
                <w:rFonts w:ascii="Calibri" w:hAnsi="Calibri" w:cs="Calibri"/>
                <w:color w:val="000000"/>
              </w:rPr>
              <w:t>61.3%</w:t>
            </w:r>
          </w:p>
        </w:tc>
        <w:tc>
          <w:tcPr>
            <w:tcW w:w="1260" w:type="dxa"/>
            <w:shd w:val="clear" w:color="auto" w:fill="auto"/>
            <w:noWrap/>
            <w:vAlign w:val="center"/>
            <w:hideMark/>
          </w:tcPr>
          <w:p w14:paraId="4CC15D20" w14:textId="77777777" w:rsidR="00B85FA1" w:rsidRPr="00F21A0A" w:rsidRDefault="00B85FA1" w:rsidP="00F12147">
            <w:pPr>
              <w:rPr>
                <w:rFonts w:ascii="Calibri" w:hAnsi="Calibri" w:cs="Calibri"/>
                <w:color w:val="000000"/>
              </w:rPr>
            </w:pPr>
            <w:r w:rsidRPr="00F21A0A">
              <w:rPr>
                <w:rFonts w:ascii="Calibri" w:hAnsi="Calibri" w:cs="Calibri"/>
                <w:color w:val="000000"/>
              </w:rPr>
              <w:t>686</w:t>
            </w:r>
          </w:p>
        </w:tc>
        <w:tc>
          <w:tcPr>
            <w:tcW w:w="1710" w:type="dxa"/>
            <w:shd w:val="clear" w:color="auto" w:fill="auto"/>
            <w:noWrap/>
            <w:vAlign w:val="center"/>
            <w:hideMark/>
          </w:tcPr>
          <w:p w14:paraId="311E677F" w14:textId="77777777" w:rsidR="00B85FA1" w:rsidRPr="00F21A0A" w:rsidRDefault="00B85FA1" w:rsidP="00F12147">
            <w:pPr>
              <w:rPr>
                <w:rFonts w:ascii="Calibri" w:hAnsi="Calibri" w:cs="Calibri"/>
                <w:color w:val="000000"/>
              </w:rPr>
            </w:pPr>
            <w:r w:rsidRPr="00F21A0A">
              <w:rPr>
                <w:rFonts w:ascii="Calibri" w:hAnsi="Calibri" w:cs="Calibri"/>
                <w:color w:val="000000"/>
              </w:rPr>
              <w:t>193</w:t>
            </w:r>
          </w:p>
        </w:tc>
      </w:tr>
      <w:tr w:rsidR="0040319B" w:rsidRPr="00F21A0A" w14:paraId="5A69A150" w14:textId="77777777" w:rsidTr="00F12147">
        <w:trPr>
          <w:trHeight w:val="47"/>
        </w:trPr>
        <w:tc>
          <w:tcPr>
            <w:tcW w:w="1530" w:type="dxa"/>
            <w:shd w:val="clear" w:color="auto" w:fill="auto"/>
            <w:noWrap/>
            <w:vAlign w:val="center"/>
          </w:tcPr>
          <w:p w14:paraId="40C41593" w14:textId="77777777" w:rsidR="0040319B" w:rsidRPr="00F12147" w:rsidRDefault="0040319B" w:rsidP="004B1105">
            <w:pPr>
              <w:rPr>
                <w:rFonts w:ascii="Calibri" w:hAnsi="Calibri" w:cs="Calibri"/>
                <w:color w:val="000000"/>
                <w:sz w:val="6"/>
                <w:szCs w:val="6"/>
              </w:rPr>
            </w:pPr>
          </w:p>
        </w:tc>
        <w:tc>
          <w:tcPr>
            <w:tcW w:w="1530" w:type="dxa"/>
            <w:shd w:val="clear" w:color="auto" w:fill="auto"/>
            <w:noWrap/>
            <w:vAlign w:val="center"/>
          </w:tcPr>
          <w:p w14:paraId="3D7C774D" w14:textId="77777777" w:rsidR="0040319B" w:rsidRPr="00F12147" w:rsidRDefault="0040319B" w:rsidP="00F12147">
            <w:pPr>
              <w:rPr>
                <w:rFonts w:ascii="Calibri" w:hAnsi="Calibri" w:cs="Calibri"/>
                <w:b/>
                <w:color w:val="000000"/>
                <w:sz w:val="6"/>
                <w:szCs w:val="6"/>
              </w:rPr>
            </w:pPr>
          </w:p>
        </w:tc>
        <w:tc>
          <w:tcPr>
            <w:tcW w:w="1710" w:type="dxa"/>
            <w:shd w:val="clear" w:color="auto" w:fill="auto"/>
            <w:noWrap/>
            <w:vAlign w:val="center"/>
          </w:tcPr>
          <w:p w14:paraId="6AF9A913" w14:textId="77777777" w:rsidR="0040319B" w:rsidRPr="00F12147" w:rsidRDefault="0040319B" w:rsidP="00F12147">
            <w:pPr>
              <w:rPr>
                <w:rFonts w:ascii="Calibri" w:hAnsi="Calibri" w:cs="Calibri"/>
                <w:color w:val="000000"/>
                <w:sz w:val="6"/>
                <w:szCs w:val="6"/>
              </w:rPr>
            </w:pPr>
          </w:p>
        </w:tc>
        <w:tc>
          <w:tcPr>
            <w:tcW w:w="1260" w:type="dxa"/>
            <w:shd w:val="clear" w:color="auto" w:fill="auto"/>
            <w:noWrap/>
            <w:vAlign w:val="center"/>
          </w:tcPr>
          <w:p w14:paraId="06D83185" w14:textId="77777777" w:rsidR="0040319B" w:rsidRPr="00F12147" w:rsidRDefault="0040319B" w:rsidP="00F12147">
            <w:pPr>
              <w:rPr>
                <w:rFonts w:ascii="Calibri" w:hAnsi="Calibri" w:cs="Calibri"/>
                <w:color w:val="000000"/>
                <w:sz w:val="6"/>
                <w:szCs w:val="6"/>
              </w:rPr>
            </w:pPr>
          </w:p>
        </w:tc>
        <w:tc>
          <w:tcPr>
            <w:tcW w:w="1710" w:type="dxa"/>
            <w:shd w:val="clear" w:color="auto" w:fill="auto"/>
            <w:noWrap/>
            <w:vAlign w:val="center"/>
          </w:tcPr>
          <w:p w14:paraId="2EF07949" w14:textId="77777777" w:rsidR="0040319B" w:rsidRPr="00F12147" w:rsidRDefault="0040319B" w:rsidP="00F12147">
            <w:pPr>
              <w:rPr>
                <w:rFonts w:ascii="Calibri" w:hAnsi="Calibri" w:cs="Calibri"/>
                <w:color w:val="000000"/>
                <w:sz w:val="6"/>
                <w:szCs w:val="6"/>
              </w:rPr>
            </w:pPr>
          </w:p>
        </w:tc>
      </w:tr>
      <w:tr w:rsidR="00E03716" w:rsidRPr="00F21A0A" w14:paraId="6F3E7068" w14:textId="77777777" w:rsidTr="00F12147">
        <w:trPr>
          <w:trHeight w:val="320"/>
        </w:trPr>
        <w:tc>
          <w:tcPr>
            <w:tcW w:w="1530" w:type="dxa"/>
            <w:shd w:val="clear" w:color="auto" w:fill="auto"/>
            <w:noWrap/>
            <w:vAlign w:val="center"/>
          </w:tcPr>
          <w:p w14:paraId="3B80F94E" w14:textId="04242656" w:rsidR="00E03716" w:rsidRDefault="00E03716" w:rsidP="004B1105">
            <w:pPr>
              <w:rPr>
                <w:rFonts w:ascii="Calibri" w:hAnsi="Calibri" w:cs="Calibri"/>
                <w:color w:val="000000"/>
              </w:rPr>
            </w:pPr>
            <w:r w:rsidRPr="00F21A0A">
              <w:rPr>
                <w:rFonts w:ascii="Calibri" w:hAnsi="Calibri" w:cs="Calibri"/>
                <w:color w:val="000000"/>
              </w:rPr>
              <w:t>White</w:t>
            </w:r>
          </w:p>
        </w:tc>
        <w:tc>
          <w:tcPr>
            <w:tcW w:w="1530" w:type="dxa"/>
            <w:shd w:val="clear" w:color="auto" w:fill="E7E6E6" w:themeFill="background2"/>
            <w:noWrap/>
            <w:vAlign w:val="center"/>
          </w:tcPr>
          <w:p w14:paraId="5DE9029F" w14:textId="79DF677D" w:rsidR="00E03716" w:rsidRPr="00F21A0A" w:rsidRDefault="00E03716" w:rsidP="00F12147">
            <w:pPr>
              <w:rPr>
                <w:rFonts w:ascii="Calibri" w:hAnsi="Calibri" w:cs="Calibri"/>
                <w:b/>
                <w:color w:val="000000"/>
              </w:rPr>
            </w:pPr>
            <w:r w:rsidRPr="00F21A0A">
              <w:rPr>
                <w:rFonts w:ascii="Calibri" w:hAnsi="Calibri" w:cs="Calibri"/>
                <w:b/>
                <w:color w:val="000000"/>
              </w:rPr>
              <w:t>33.0%</w:t>
            </w:r>
          </w:p>
        </w:tc>
        <w:tc>
          <w:tcPr>
            <w:tcW w:w="1710" w:type="dxa"/>
            <w:shd w:val="clear" w:color="auto" w:fill="E7E6E6" w:themeFill="background2"/>
            <w:noWrap/>
            <w:vAlign w:val="center"/>
          </w:tcPr>
          <w:p w14:paraId="4F166D12" w14:textId="210BC760" w:rsidR="00E03716" w:rsidRPr="00F21A0A" w:rsidRDefault="00E03716" w:rsidP="00F12147">
            <w:pPr>
              <w:rPr>
                <w:rFonts w:ascii="Calibri" w:hAnsi="Calibri" w:cs="Calibri"/>
                <w:color w:val="000000"/>
              </w:rPr>
            </w:pPr>
            <w:r w:rsidRPr="00F21A0A">
              <w:rPr>
                <w:rFonts w:ascii="Calibri" w:hAnsi="Calibri" w:cs="Calibri"/>
                <w:color w:val="000000"/>
              </w:rPr>
              <w:t>60.</w:t>
            </w:r>
            <w:r>
              <w:rPr>
                <w:rFonts w:ascii="Calibri" w:hAnsi="Calibri" w:cs="Calibri"/>
                <w:color w:val="000000"/>
              </w:rPr>
              <w:t>7</w:t>
            </w:r>
            <w:r w:rsidRPr="00F21A0A">
              <w:rPr>
                <w:rFonts w:ascii="Calibri" w:hAnsi="Calibri" w:cs="Calibri"/>
                <w:color w:val="000000"/>
              </w:rPr>
              <w:t>%</w:t>
            </w:r>
          </w:p>
        </w:tc>
        <w:tc>
          <w:tcPr>
            <w:tcW w:w="1260" w:type="dxa"/>
            <w:shd w:val="clear" w:color="auto" w:fill="auto"/>
            <w:noWrap/>
            <w:vAlign w:val="center"/>
          </w:tcPr>
          <w:p w14:paraId="2A63272E" w14:textId="17C11B76" w:rsidR="00E03716" w:rsidRPr="00F21A0A" w:rsidRDefault="00E03716" w:rsidP="00F12147">
            <w:pPr>
              <w:rPr>
                <w:rFonts w:ascii="Calibri" w:hAnsi="Calibri" w:cs="Calibri"/>
                <w:color w:val="000000"/>
              </w:rPr>
            </w:pPr>
            <w:r>
              <w:rPr>
                <w:rFonts w:ascii="Calibri" w:hAnsi="Calibri" w:cs="Calibri"/>
                <w:color w:val="000000"/>
              </w:rPr>
              <w:t>4,640</w:t>
            </w:r>
          </w:p>
        </w:tc>
        <w:tc>
          <w:tcPr>
            <w:tcW w:w="1710" w:type="dxa"/>
            <w:shd w:val="clear" w:color="auto" w:fill="auto"/>
            <w:noWrap/>
            <w:vAlign w:val="center"/>
          </w:tcPr>
          <w:p w14:paraId="38E2C8CF" w14:textId="66474F16" w:rsidR="00E03716" w:rsidRPr="00F21A0A" w:rsidRDefault="00E03716" w:rsidP="00F12147">
            <w:pPr>
              <w:rPr>
                <w:rFonts w:ascii="Calibri" w:hAnsi="Calibri" w:cs="Calibri"/>
                <w:color w:val="000000"/>
              </w:rPr>
            </w:pPr>
            <w:r w:rsidRPr="00F21A0A">
              <w:rPr>
                <w:rFonts w:ascii="Calibri" w:hAnsi="Calibri" w:cs="Calibri"/>
                <w:color w:val="000000"/>
              </w:rPr>
              <w:t>1,645</w:t>
            </w:r>
          </w:p>
        </w:tc>
      </w:tr>
      <w:tr w:rsidR="0040319B" w:rsidRPr="00F21A0A" w14:paraId="16DCEDBD" w14:textId="77777777" w:rsidTr="00F12147">
        <w:trPr>
          <w:trHeight w:val="47"/>
        </w:trPr>
        <w:tc>
          <w:tcPr>
            <w:tcW w:w="1530" w:type="dxa"/>
            <w:shd w:val="clear" w:color="auto" w:fill="auto"/>
            <w:noWrap/>
            <w:vAlign w:val="center"/>
          </w:tcPr>
          <w:p w14:paraId="3F318705" w14:textId="77777777" w:rsidR="0040319B" w:rsidRPr="00F12147" w:rsidRDefault="0040319B" w:rsidP="004B1105">
            <w:pPr>
              <w:rPr>
                <w:rFonts w:ascii="Calibri" w:hAnsi="Calibri" w:cs="Calibri"/>
                <w:color w:val="000000"/>
                <w:sz w:val="6"/>
                <w:szCs w:val="6"/>
              </w:rPr>
            </w:pPr>
          </w:p>
        </w:tc>
        <w:tc>
          <w:tcPr>
            <w:tcW w:w="1530" w:type="dxa"/>
            <w:shd w:val="clear" w:color="auto" w:fill="auto"/>
            <w:noWrap/>
            <w:vAlign w:val="center"/>
          </w:tcPr>
          <w:p w14:paraId="6A15990A" w14:textId="77777777" w:rsidR="0040319B" w:rsidRPr="00F12147" w:rsidRDefault="0040319B" w:rsidP="00F12147">
            <w:pPr>
              <w:rPr>
                <w:rFonts w:ascii="Calibri" w:hAnsi="Calibri" w:cs="Calibri"/>
                <w:b/>
                <w:color w:val="000000"/>
                <w:sz w:val="6"/>
                <w:szCs w:val="6"/>
              </w:rPr>
            </w:pPr>
          </w:p>
        </w:tc>
        <w:tc>
          <w:tcPr>
            <w:tcW w:w="1710" w:type="dxa"/>
            <w:shd w:val="clear" w:color="auto" w:fill="auto"/>
            <w:noWrap/>
            <w:vAlign w:val="center"/>
          </w:tcPr>
          <w:p w14:paraId="599D06BF" w14:textId="77777777" w:rsidR="0040319B" w:rsidRPr="00F12147" w:rsidRDefault="0040319B" w:rsidP="00F12147">
            <w:pPr>
              <w:rPr>
                <w:rFonts w:ascii="Calibri" w:hAnsi="Calibri" w:cs="Calibri"/>
                <w:color w:val="000000"/>
                <w:sz w:val="6"/>
                <w:szCs w:val="6"/>
              </w:rPr>
            </w:pPr>
          </w:p>
        </w:tc>
        <w:tc>
          <w:tcPr>
            <w:tcW w:w="1260" w:type="dxa"/>
            <w:shd w:val="clear" w:color="auto" w:fill="auto"/>
            <w:noWrap/>
            <w:vAlign w:val="center"/>
          </w:tcPr>
          <w:p w14:paraId="7818BFB9" w14:textId="77777777" w:rsidR="0040319B" w:rsidRPr="00F12147" w:rsidRDefault="0040319B" w:rsidP="00F12147">
            <w:pPr>
              <w:rPr>
                <w:rFonts w:ascii="Calibri" w:hAnsi="Calibri" w:cs="Calibri"/>
                <w:color w:val="000000"/>
                <w:sz w:val="6"/>
                <w:szCs w:val="6"/>
              </w:rPr>
            </w:pPr>
          </w:p>
        </w:tc>
        <w:tc>
          <w:tcPr>
            <w:tcW w:w="1710" w:type="dxa"/>
            <w:shd w:val="clear" w:color="auto" w:fill="auto"/>
            <w:noWrap/>
            <w:vAlign w:val="center"/>
          </w:tcPr>
          <w:p w14:paraId="68802373" w14:textId="77777777" w:rsidR="0040319B" w:rsidRPr="00F12147" w:rsidRDefault="0040319B" w:rsidP="00F12147">
            <w:pPr>
              <w:rPr>
                <w:rFonts w:ascii="Calibri" w:hAnsi="Calibri" w:cs="Calibri"/>
                <w:color w:val="000000"/>
                <w:sz w:val="6"/>
                <w:szCs w:val="6"/>
              </w:rPr>
            </w:pPr>
          </w:p>
        </w:tc>
      </w:tr>
      <w:tr w:rsidR="00B85FA1" w:rsidRPr="00F21A0A" w14:paraId="726A7EC9" w14:textId="77777777" w:rsidTr="00F12147">
        <w:trPr>
          <w:trHeight w:val="320"/>
        </w:trPr>
        <w:tc>
          <w:tcPr>
            <w:tcW w:w="1530" w:type="dxa"/>
            <w:tcBorders>
              <w:bottom w:val="single" w:sz="18" w:space="0" w:color="auto"/>
            </w:tcBorders>
            <w:shd w:val="clear" w:color="auto" w:fill="auto"/>
            <w:noWrap/>
            <w:vAlign w:val="center"/>
            <w:hideMark/>
          </w:tcPr>
          <w:p w14:paraId="7C9ACA78" w14:textId="77777777" w:rsidR="00B85FA1" w:rsidRPr="00F21A0A" w:rsidRDefault="00B85FA1" w:rsidP="004B1105">
            <w:pPr>
              <w:rPr>
                <w:rFonts w:ascii="Calibri" w:hAnsi="Calibri" w:cs="Calibri"/>
                <w:color w:val="000000"/>
              </w:rPr>
            </w:pPr>
            <w:r>
              <w:rPr>
                <w:rFonts w:ascii="Calibri" w:hAnsi="Calibri" w:cs="Calibri"/>
                <w:color w:val="000000"/>
              </w:rPr>
              <w:t>Ano</w:t>
            </w:r>
            <w:r w:rsidRPr="00F21A0A">
              <w:rPr>
                <w:rFonts w:ascii="Calibri" w:hAnsi="Calibri" w:cs="Calibri"/>
                <w:color w:val="000000"/>
              </w:rPr>
              <w:t>ther</w:t>
            </w:r>
            <w:r>
              <w:rPr>
                <w:rFonts w:ascii="Calibri" w:hAnsi="Calibri" w:cs="Calibri"/>
                <w:color w:val="000000"/>
              </w:rPr>
              <w:t xml:space="preserve"> Race</w:t>
            </w:r>
          </w:p>
        </w:tc>
        <w:tc>
          <w:tcPr>
            <w:tcW w:w="1530" w:type="dxa"/>
            <w:tcBorders>
              <w:bottom w:val="single" w:sz="18" w:space="0" w:color="auto"/>
            </w:tcBorders>
            <w:shd w:val="clear" w:color="auto" w:fill="E7E6E6" w:themeFill="background2"/>
            <w:noWrap/>
            <w:vAlign w:val="center"/>
            <w:hideMark/>
          </w:tcPr>
          <w:p w14:paraId="5956534E" w14:textId="77777777" w:rsidR="00B85FA1" w:rsidRPr="00F21A0A" w:rsidRDefault="00B85FA1" w:rsidP="00F12147">
            <w:pPr>
              <w:rPr>
                <w:rFonts w:ascii="Calibri" w:hAnsi="Calibri" w:cs="Calibri"/>
                <w:b/>
                <w:color w:val="000000"/>
              </w:rPr>
            </w:pPr>
            <w:r w:rsidRPr="00F21A0A">
              <w:rPr>
                <w:rFonts w:ascii="Calibri" w:hAnsi="Calibri" w:cs="Calibri"/>
                <w:b/>
                <w:color w:val="000000"/>
              </w:rPr>
              <w:t>27.1%</w:t>
            </w:r>
          </w:p>
        </w:tc>
        <w:tc>
          <w:tcPr>
            <w:tcW w:w="1710" w:type="dxa"/>
            <w:tcBorders>
              <w:bottom w:val="single" w:sz="18" w:space="0" w:color="auto"/>
            </w:tcBorders>
            <w:shd w:val="clear" w:color="auto" w:fill="E7E6E6" w:themeFill="background2"/>
            <w:noWrap/>
            <w:vAlign w:val="center"/>
            <w:hideMark/>
          </w:tcPr>
          <w:p w14:paraId="5FC6BEF6" w14:textId="77777777" w:rsidR="00B85FA1" w:rsidRPr="00F21A0A" w:rsidRDefault="00B85FA1" w:rsidP="00F12147">
            <w:pPr>
              <w:rPr>
                <w:rFonts w:ascii="Calibri" w:hAnsi="Calibri" w:cs="Calibri"/>
                <w:color w:val="000000"/>
              </w:rPr>
            </w:pPr>
            <w:r w:rsidRPr="00F21A0A">
              <w:rPr>
                <w:rFonts w:ascii="Calibri" w:hAnsi="Calibri" w:cs="Calibri"/>
                <w:color w:val="000000"/>
              </w:rPr>
              <w:t>43.3%</w:t>
            </w:r>
          </w:p>
        </w:tc>
        <w:tc>
          <w:tcPr>
            <w:tcW w:w="1260" w:type="dxa"/>
            <w:tcBorders>
              <w:bottom w:val="single" w:sz="18" w:space="0" w:color="auto"/>
            </w:tcBorders>
            <w:shd w:val="clear" w:color="auto" w:fill="auto"/>
            <w:noWrap/>
            <w:vAlign w:val="center"/>
            <w:hideMark/>
          </w:tcPr>
          <w:p w14:paraId="6698C539" w14:textId="77777777" w:rsidR="00B85FA1" w:rsidRPr="00F21A0A" w:rsidRDefault="00B85FA1" w:rsidP="00F12147">
            <w:pPr>
              <w:rPr>
                <w:rFonts w:ascii="Calibri" w:hAnsi="Calibri" w:cs="Calibri"/>
                <w:color w:val="000000"/>
              </w:rPr>
            </w:pPr>
            <w:r w:rsidRPr="00F21A0A">
              <w:rPr>
                <w:rFonts w:ascii="Calibri" w:hAnsi="Calibri" w:cs="Calibri"/>
                <w:color w:val="000000"/>
              </w:rPr>
              <w:t>233</w:t>
            </w:r>
          </w:p>
        </w:tc>
        <w:tc>
          <w:tcPr>
            <w:tcW w:w="1710" w:type="dxa"/>
            <w:tcBorders>
              <w:bottom w:val="single" w:sz="18" w:space="0" w:color="auto"/>
            </w:tcBorders>
            <w:shd w:val="clear" w:color="auto" w:fill="auto"/>
            <w:noWrap/>
            <w:vAlign w:val="center"/>
            <w:hideMark/>
          </w:tcPr>
          <w:p w14:paraId="0DD2FE17" w14:textId="77777777" w:rsidR="00B85FA1" w:rsidRPr="00F21A0A" w:rsidRDefault="00B85FA1" w:rsidP="00F12147">
            <w:pPr>
              <w:rPr>
                <w:rFonts w:ascii="Calibri" w:hAnsi="Calibri" w:cs="Calibri"/>
                <w:color w:val="000000"/>
              </w:rPr>
            </w:pPr>
            <w:r w:rsidRPr="00F21A0A">
              <w:rPr>
                <w:rFonts w:ascii="Calibri" w:hAnsi="Calibri" w:cs="Calibri"/>
                <w:color w:val="000000"/>
              </w:rPr>
              <w:t>60</w:t>
            </w:r>
          </w:p>
        </w:tc>
      </w:tr>
      <w:tr w:rsidR="00B85FA1" w:rsidRPr="00F21A0A" w14:paraId="3EECAEB2" w14:textId="77777777" w:rsidTr="00F12147">
        <w:trPr>
          <w:trHeight w:val="320"/>
        </w:trPr>
        <w:tc>
          <w:tcPr>
            <w:tcW w:w="1530" w:type="dxa"/>
            <w:tcBorders>
              <w:bottom w:val="single" w:sz="18" w:space="0" w:color="auto"/>
            </w:tcBorders>
            <w:shd w:val="clear" w:color="auto" w:fill="auto"/>
            <w:noWrap/>
            <w:vAlign w:val="center"/>
          </w:tcPr>
          <w:p w14:paraId="7A8EDB54" w14:textId="77777777" w:rsidR="00B85FA1" w:rsidRDefault="00B85FA1" w:rsidP="004B1105">
            <w:pPr>
              <w:rPr>
                <w:rFonts w:ascii="Calibri" w:hAnsi="Calibri" w:cs="Calibri"/>
                <w:color w:val="000000"/>
              </w:rPr>
            </w:pPr>
            <w:r w:rsidRPr="43468C20">
              <w:rPr>
                <w:rFonts w:ascii="Calibri" w:hAnsi="Calibri" w:cs="Calibri"/>
                <w:color w:val="000000" w:themeColor="text1"/>
              </w:rPr>
              <w:t>Overall</w:t>
            </w:r>
          </w:p>
        </w:tc>
        <w:tc>
          <w:tcPr>
            <w:tcW w:w="1530" w:type="dxa"/>
            <w:tcBorders>
              <w:bottom w:val="single" w:sz="18" w:space="0" w:color="auto"/>
            </w:tcBorders>
            <w:shd w:val="clear" w:color="auto" w:fill="auto"/>
            <w:noWrap/>
            <w:vAlign w:val="center"/>
          </w:tcPr>
          <w:p w14:paraId="55811E86" w14:textId="77777777" w:rsidR="00B85FA1" w:rsidRPr="00F12147" w:rsidRDefault="00B85FA1" w:rsidP="00F12147">
            <w:pPr>
              <w:rPr>
                <w:rFonts w:ascii="Calibri" w:hAnsi="Calibri" w:cs="Calibri"/>
                <w:bCs/>
                <w:color w:val="000000"/>
              </w:rPr>
            </w:pPr>
            <w:r w:rsidRPr="00F12147">
              <w:rPr>
                <w:rFonts w:ascii="Calibri" w:hAnsi="Calibri" w:cs="Calibri"/>
                <w:bCs/>
                <w:color w:val="000000" w:themeColor="text1"/>
              </w:rPr>
              <w:t>36.2%</w:t>
            </w:r>
          </w:p>
        </w:tc>
        <w:tc>
          <w:tcPr>
            <w:tcW w:w="1710" w:type="dxa"/>
            <w:tcBorders>
              <w:bottom w:val="single" w:sz="18" w:space="0" w:color="auto"/>
            </w:tcBorders>
            <w:shd w:val="clear" w:color="auto" w:fill="auto"/>
            <w:noWrap/>
            <w:vAlign w:val="center"/>
          </w:tcPr>
          <w:p w14:paraId="557CE201" w14:textId="77777777" w:rsidR="00B85FA1" w:rsidRPr="00A55F28" w:rsidRDefault="00B85FA1" w:rsidP="00F12147">
            <w:pPr>
              <w:rPr>
                <w:rFonts w:ascii="Calibri" w:hAnsi="Calibri" w:cs="Calibri"/>
                <w:bCs/>
                <w:color w:val="000000"/>
              </w:rPr>
            </w:pPr>
            <w:r w:rsidRPr="00A55F28">
              <w:rPr>
                <w:rFonts w:ascii="Calibri" w:hAnsi="Calibri" w:cs="Calibri"/>
                <w:bCs/>
                <w:color w:val="000000" w:themeColor="text1"/>
              </w:rPr>
              <w:t>61.1%</w:t>
            </w:r>
          </w:p>
        </w:tc>
        <w:tc>
          <w:tcPr>
            <w:tcW w:w="1260" w:type="dxa"/>
            <w:tcBorders>
              <w:bottom w:val="single" w:sz="18" w:space="0" w:color="auto"/>
            </w:tcBorders>
            <w:shd w:val="clear" w:color="auto" w:fill="auto"/>
            <w:noWrap/>
            <w:vAlign w:val="center"/>
          </w:tcPr>
          <w:p w14:paraId="32F72CB6" w14:textId="77777777" w:rsidR="00B85FA1" w:rsidRPr="00F21A0A" w:rsidRDefault="00B85FA1" w:rsidP="00F12147">
            <w:pPr>
              <w:rPr>
                <w:rFonts w:ascii="Calibri" w:hAnsi="Calibri" w:cs="Calibri"/>
                <w:color w:val="000000"/>
              </w:rPr>
            </w:pPr>
            <w:r w:rsidRPr="43468C20">
              <w:rPr>
                <w:rFonts w:ascii="Calibri" w:hAnsi="Calibri" w:cs="Calibri"/>
                <w:color w:val="000000" w:themeColor="text1"/>
              </w:rPr>
              <w:t>6,539</w:t>
            </w:r>
          </w:p>
        </w:tc>
        <w:tc>
          <w:tcPr>
            <w:tcW w:w="1710" w:type="dxa"/>
            <w:tcBorders>
              <w:bottom w:val="single" w:sz="18" w:space="0" w:color="auto"/>
            </w:tcBorders>
            <w:shd w:val="clear" w:color="auto" w:fill="auto"/>
            <w:noWrap/>
            <w:vAlign w:val="center"/>
          </w:tcPr>
          <w:p w14:paraId="4F7B0E9E" w14:textId="77777777" w:rsidR="00B85FA1" w:rsidRPr="00F21A0A" w:rsidRDefault="00B85FA1" w:rsidP="00F12147">
            <w:pPr>
              <w:rPr>
                <w:rFonts w:ascii="Calibri" w:hAnsi="Calibri" w:cs="Calibri"/>
                <w:color w:val="000000"/>
              </w:rPr>
            </w:pPr>
            <w:r w:rsidRPr="43468C20">
              <w:rPr>
                <w:rFonts w:ascii="Calibri" w:hAnsi="Calibri" w:cs="Calibri"/>
                <w:color w:val="000000" w:themeColor="text1"/>
              </w:rPr>
              <w:t>2,253</w:t>
            </w:r>
          </w:p>
        </w:tc>
      </w:tr>
      <w:tr w:rsidR="00B85FA1" w:rsidRPr="00F21A0A" w14:paraId="6343D730" w14:textId="77777777">
        <w:trPr>
          <w:trHeight w:val="320"/>
        </w:trPr>
        <w:tc>
          <w:tcPr>
            <w:tcW w:w="7740" w:type="dxa"/>
            <w:gridSpan w:val="5"/>
            <w:tcBorders>
              <w:top w:val="single" w:sz="18" w:space="0" w:color="auto"/>
            </w:tcBorders>
            <w:shd w:val="clear" w:color="auto" w:fill="auto"/>
            <w:noWrap/>
            <w:vAlign w:val="center"/>
          </w:tcPr>
          <w:p w14:paraId="18F6C0B4" w14:textId="77777777" w:rsidR="00B85FA1" w:rsidRDefault="00B85FA1" w:rsidP="004B1105">
            <w:pPr>
              <w:pStyle w:val="NoSpacing"/>
              <w:rPr>
                <w:rFonts w:eastAsiaTheme="minorEastAsia"/>
                <w:sz w:val="20"/>
                <w:szCs w:val="20"/>
              </w:rPr>
            </w:pPr>
            <w:r>
              <w:rPr>
                <w:rFonts w:eastAsiaTheme="minorEastAsia"/>
                <w:sz w:val="20"/>
                <w:szCs w:val="20"/>
              </w:rPr>
              <w:t>Notes:</w:t>
            </w:r>
          </w:p>
          <w:p w14:paraId="4D4B6B4B" w14:textId="4CDF317F" w:rsidR="00B85FA1" w:rsidRDefault="00B85FA1" w:rsidP="00FB60EF">
            <w:pPr>
              <w:pStyle w:val="NoSpacing"/>
              <w:numPr>
                <w:ilvl w:val="0"/>
                <w:numId w:val="7"/>
              </w:numPr>
              <w:rPr>
                <w:rFonts w:eastAsiaTheme="minorEastAsia"/>
                <w:sz w:val="20"/>
                <w:szCs w:val="20"/>
              </w:rPr>
            </w:pPr>
            <w:r w:rsidRPr="00C923BE">
              <w:rPr>
                <w:rFonts w:eastAsiaTheme="minorEastAsia"/>
                <w:sz w:val="20"/>
                <w:szCs w:val="20"/>
              </w:rPr>
              <w:t xml:space="preserve">Highlighted estimates: </w:t>
            </w:r>
            <w:r w:rsidR="000F1599">
              <w:rPr>
                <w:rFonts w:eastAsiaTheme="minorEastAsia"/>
                <w:sz w:val="20"/>
                <w:szCs w:val="20"/>
              </w:rPr>
              <w:t>d</w:t>
            </w:r>
            <w:r w:rsidR="000F1599" w:rsidRPr="00C923BE">
              <w:rPr>
                <w:rFonts w:eastAsiaTheme="minorEastAsia"/>
                <w:sz w:val="20"/>
                <w:szCs w:val="20"/>
              </w:rPr>
              <w:t xml:space="preserve">ifferences </w:t>
            </w:r>
            <w:r w:rsidRPr="00C923BE">
              <w:rPr>
                <w:rFonts w:eastAsiaTheme="minorEastAsia"/>
                <w:sz w:val="20"/>
                <w:szCs w:val="20"/>
              </w:rPr>
              <w:t xml:space="preserve">are significant at p &lt; .05 between wealth groups within a given race and ethnicity. </w:t>
            </w:r>
          </w:p>
          <w:p w14:paraId="615FF509" w14:textId="7918DF71" w:rsidR="00B85FA1" w:rsidRPr="00C923BE" w:rsidRDefault="00B85FA1" w:rsidP="00FB60EF">
            <w:pPr>
              <w:pStyle w:val="NoSpacing"/>
              <w:numPr>
                <w:ilvl w:val="0"/>
                <w:numId w:val="7"/>
              </w:numPr>
              <w:rPr>
                <w:rFonts w:eastAsiaTheme="minorEastAsia"/>
                <w:sz w:val="20"/>
                <w:szCs w:val="20"/>
              </w:rPr>
            </w:pPr>
            <w:r w:rsidRPr="00C923BE">
              <w:rPr>
                <w:rFonts w:eastAsiaTheme="minorEastAsia"/>
                <w:sz w:val="20"/>
                <w:szCs w:val="20"/>
              </w:rPr>
              <w:t xml:space="preserve">Bolded estimates: </w:t>
            </w:r>
            <w:r w:rsidR="000F1599">
              <w:rPr>
                <w:rFonts w:eastAsiaTheme="minorEastAsia"/>
                <w:sz w:val="20"/>
                <w:szCs w:val="20"/>
              </w:rPr>
              <w:t>d</w:t>
            </w:r>
            <w:r w:rsidR="000F1599" w:rsidRPr="00C923BE">
              <w:rPr>
                <w:rFonts w:eastAsiaTheme="minorEastAsia"/>
                <w:sz w:val="20"/>
                <w:szCs w:val="20"/>
              </w:rPr>
              <w:t xml:space="preserve">ifferences </w:t>
            </w:r>
            <w:r w:rsidRPr="00C923BE">
              <w:rPr>
                <w:rFonts w:eastAsiaTheme="minorEastAsia"/>
                <w:sz w:val="20"/>
                <w:szCs w:val="20"/>
              </w:rPr>
              <w:t>are significant at p &lt; .05 between rac</w:t>
            </w:r>
            <w:r w:rsidR="00DE3CC5">
              <w:rPr>
                <w:rFonts w:eastAsiaTheme="minorEastAsia"/>
                <w:sz w:val="20"/>
                <w:szCs w:val="20"/>
              </w:rPr>
              <w:t>ial</w:t>
            </w:r>
            <w:r w:rsidRPr="00C923BE">
              <w:rPr>
                <w:rFonts w:eastAsiaTheme="minorEastAsia"/>
                <w:sz w:val="20"/>
                <w:szCs w:val="20"/>
              </w:rPr>
              <w:t xml:space="preserve">/ethnic groups of the same wealth group. </w:t>
            </w:r>
          </w:p>
          <w:p w14:paraId="273E1863" w14:textId="77777777" w:rsidR="008B6B2F" w:rsidRPr="00092D40" w:rsidRDefault="008B6B2F" w:rsidP="00FB60EF">
            <w:pPr>
              <w:pStyle w:val="NoSpacing"/>
              <w:numPr>
                <w:ilvl w:val="0"/>
                <w:numId w:val="7"/>
              </w:numPr>
              <w:rPr>
                <w:rFonts w:eastAsiaTheme="minorEastAsia"/>
                <w:sz w:val="20"/>
                <w:szCs w:val="20"/>
              </w:rPr>
            </w:pPr>
            <w:r w:rsidRPr="00C923BE">
              <w:rPr>
                <w:color w:val="000000" w:themeColor="text1"/>
                <w:sz w:val="20"/>
                <w:szCs w:val="20"/>
              </w:rPr>
              <w:lastRenderedPageBreak/>
              <w:t xml:space="preserve">Data </w:t>
            </w:r>
            <w:proofErr w:type="gramStart"/>
            <w:r w:rsidRPr="00C923BE">
              <w:rPr>
                <w:color w:val="000000" w:themeColor="text1"/>
                <w:sz w:val="20"/>
                <w:szCs w:val="20"/>
              </w:rPr>
              <w:t>are</w:t>
            </w:r>
            <w:proofErr w:type="gramEnd"/>
            <w:r w:rsidRPr="00C923BE">
              <w:rPr>
                <w:color w:val="000000" w:themeColor="text1"/>
                <w:sz w:val="20"/>
                <w:szCs w:val="20"/>
              </w:rPr>
              <w:t xml:space="preserve"> limited to individuals with children. </w:t>
            </w:r>
          </w:p>
          <w:p w14:paraId="39483D7A" w14:textId="719D0060" w:rsidR="00B85FA1" w:rsidRPr="00C923BE" w:rsidRDefault="00B85FA1" w:rsidP="00FB60EF">
            <w:pPr>
              <w:pStyle w:val="NoSpacing"/>
              <w:numPr>
                <w:ilvl w:val="0"/>
                <w:numId w:val="7"/>
              </w:numPr>
              <w:rPr>
                <w:rFonts w:eastAsiaTheme="minorEastAsia"/>
                <w:sz w:val="20"/>
                <w:szCs w:val="20"/>
              </w:rPr>
            </w:pPr>
            <w:r w:rsidRPr="00C923BE">
              <w:rPr>
                <w:color w:val="000000" w:themeColor="text1"/>
                <w:sz w:val="20"/>
                <w:szCs w:val="20"/>
              </w:rPr>
              <w:t>Data weighted using the national survey weight</w:t>
            </w:r>
            <w:r w:rsidR="002A1D17">
              <w:rPr>
                <w:color w:val="000000" w:themeColor="text1"/>
                <w:sz w:val="20"/>
                <w:szCs w:val="20"/>
              </w:rPr>
              <w:t>.</w:t>
            </w:r>
            <w:r w:rsidRPr="00C923BE">
              <w:rPr>
                <w:color w:val="000000" w:themeColor="text1"/>
                <w:sz w:val="20"/>
                <w:szCs w:val="20"/>
              </w:rPr>
              <w:t xml:space="preserve"> </w:t>
            </w:r>
          </w:p>
          <w:p w14:paraId="236B37AE" w14:textId="77777777" w:rsidR="00B85FA1" w:rsidRPr="00FD73A5" w:rsidRDefault="00B85FA1" w:rsidP="004B1105">
            <w:pPr>
              <w:pStyle w:val="NoSpacing"/>
              <w:ind w:left="360"/>
              <w:rPr>
                <w:rFonts w:eastAsiaTheme="minorEastAsia"/>
                <w:i/>
                <w:iCs/>
                <w:sz w:val="20"/>
                <w:szCs w:val="20"/>
              </w:rPr>
            </w:pPr>
            <w:r w:rsidRPr="43468C20">
              <w:rPr>
                <w:rFonts w:eastAsiaTheme="minorEastAsia"/>
                <w:sz w:val="20"/>
                <w:szCs w:val="20"/>
              </w:rPr>
              <w:t>Source</w:t>
            </w:r>
            <w:r w:rsidRPr="43468C20">
              <w:rPr>
                <w:color w:val="000000" w:themeColor="text1"/>
                <w:sz w:val="20"/>
                <w:szCs w:val="20"/>
              </w:rPr>
              <w:t xml:space="preserve">: </w:t>
            </w:r>
            <w:r w:rsidRPr="00C923BE">
              <w:rPr>
                <w:rFonts w:eastAsiaTheme="minorEastAsia"/>
                <w:sz w:val="20"/>
                <w:szCs w:val="20"/>
              </w:rPr>
              <w:t xml:space="preserve">IHEP analysis of </w:t>
            </w:r>
            <w:r w:rsidRPr="43468C20">
              <w:rPr>
                <w:color w:val="000000" w:themeColor="text1"/>
                <w:sz w:val="20"/>
                <w:szCs w:val="20"/>
              </w:rPr>
              <w:t>FINRA Foundation, NFCS 2021 State-by-State Survey Data.</w:t>
            </w:r>
          </w:p>
        </w:tc>
      </w:tr>
    </w:tbl>
    <w:p w14:paraId="1B259428" w14:textId="77777777" w:rsidR="00B85FA1" w:rsidRDefault="00B85FA1" w:rsidP="004B1105">
      <w:pPr>
        <w:pStyle w:val="NoSpacing"/>
        <w:rPr>
          <w:b/>
          <w:bCs/>
        </w:rPr>
      </w:pPr>
    </w:p>
    <w:p w14:paraId="463B008C" w14:textId="77777777" w:rsidR="00615DF7" w:rsidRDefault="00615DF7" w:rsidP="004B1105">
      <w:pPr>
        <w:pStyle w:val="NoSpacing"/>
        <w:rPr>
          <w:b/>
          <w:bCs/>
        </w:rPr>
      </w:pPr>
    </w:p>
    <w:p w14:paraId="7DB7E2A6" w14:textId="77777777" w:rsidR="00615DF7" w:rsidRDefault="00615DF7" w:rsidP="004B1105">
      <w:pPr>
        <w:pStyle w:val="NoSpacing"/>
        <w:rPr>
          <w:b/>
          <w:bCs/>
        </w:rPr>
      </w:pPr>
    </w:p>
    <w:p w14:paraId="0C3F4CDE" w14:textId="77777777" w:rsidR="00615DF7" w:rsidRDefault="00615DF7" w:rsidP="004B1105">
      <w:pPr>
        <w:pStyle w:val="NoSpacing"/>
        <w:rPr>
          <w:b/>
          <w:bCs/>
        </w:rPr>
      </w:pPr>
    </w:p>
    <w:p w14:paraId="145C5889" w14:textId="7E816129" w:rsidR="00DA3160" w:rsidRDefault="00A97757" w:rsidP="004B1105">
      <w:pPr>
        <w:pStyle w:val="Heading3"/>
      </w:pPr>
      <w:bookmarkStart w:id="29" w:name="_Toc167901751"/>
      <w:r>
        <w:t xml:space="preserve">How Wealth </w:t>
      </w:r>
      <w:r w:rsidR="008D6CEB">
        <w:t xml:space="preserve">Is </w:t>
      </w:r>
      <w:r w:rsidR="003943C6">
        <w:t>A</w:t>
      </w:r>
      <w:r w:rsidR="005E72D5">
        <w:t>ssociated</w:t>
      </w:r>
      <w:r w:rsidR="008F114D">
        <w:t xml:space="preserve"> </w:t>
      </w:r>
      <w:r w:rsidR="00C42165">
        <w:t xml:space="preserve">with </w:t>
      </w:r>
      <w:r w:rsidR="003943C6">
        <w:t>College</w:t>
      </w:r>
      <w:r w:rsidR="000C7A0C">
        <w:t xml:space="preserve"> Enrollment</w:t>
      </w:r>
      <w:bookmarkEnd w:id="29"/>
    </w:p>
    <w:p w14:paraId="2DC98AD1" w14:textId="77777777" w:rsidR="0031215F" w:rsidRDefault="0031215F" w:rsidP="004B1105">
      <w:pPr>
        <w:pStyle w:val="NoSpacing"/>
      </w:pPr>
    </w:p>
    <w:p w14:paraId="09C9E462" w14:textId="44F48588" w:rsidR="00795B53" w:rsidRDefault="00804434" w:rsidP="004B1105">
      <w:pPr>
        <w:pStyle w:val="Heading4"/>
        <w:ind w:left="360"/>
      </w:pPr>
      <w:r>
        <w:t>I</w:t>
      </w:r>
      <w:r w:rsidR="00C11167">
        <w:t xml:space="preserve">ncome </w:t>
      </w:r>
      <w:r w:rsidR="008B3AA5">
        <w:t xml:space="preserve">and wealth </w:t>
      </w:r>
      <w:r w:rsidR="00197EE0">
        <w:t xml:space="preserve">are </w:t>
      </w:r>
      <w:r w:rsidR="008B3AA5">
        <w:t xml:space="preserve">both </w:t>
      </w:r>
      <w:r w:rsidR="00197EE0">
        <w:t xml:space="preserve">associated with </w:t>
      </w:r>
      <w:r w:rsidR="008B3AA5">
        <w:t>increase</w:t>
      </w:r>
      <w:r w:rsidR="00197EE0">
        <w:t>d</w:t>
      </w:r>
      <w:r w:rsidR="008B3AA5">
        <w:t xml:space="preserve"> college</w:t>
      </w:r>
      <w:r w:rsidR="1A3839CB">
        <w:t xml:space="preserve"> enrollment</w:t>
      </w:r>
      <w:r w:rsidR="008B3AA5">
        <w:t xml:space="preserve">, but </w:t>
      </w:r>
      <w:r w:rsidR="00197EE0">
        <w:t>their impact varies by race and ethnicity</w:t>
      </w:r>
      <w:r w:rsidR="00433DFF">
        <w:t>.</w:t>
      </w:r>
      <w:r w:rsidR="008B3AA5">
        <w:t xml:space="preserve"> </w:t>
      </w:r>
    </w:p>
    <w:p w14:paraId="06BD9ED7" w14:textId="5E3747C9" w:rsidR="00795B53" w:rsidRPr="00795B53" w:rsidRDefault="00795B53" w:rsidP="004B1105">
      <w:pPr>
        <w:pStyle w:val="NoSpacing"/>
        <w:ind w:left="360"/>
      </w:pPr>
      <w:r>
        <w:t xml:space="preserve"> </w:t>
      </w:r>
    </w:p>
    <w:p w14:paraId="4AA04FD2" w14:textId="6B774E01" w:rsidR="005A5F60" w:rsidRDefault="0029576B" w:rsidP="004B1105">
      <w:pPr>
        <w:ind w:left="360" w:right="-20"/>
        <w:rPr>
          <w:rFonts w:ascii="Calibri" w:eastAsia="Calibri" w:hAnsi="Calibri" w:cs="Calibri"/>
        </w:rPr>
      </w:pPr>
      <w:r>
        <w:rPr>
          <w:rFonts w:ascii="Calibri" w:eastAsia="Calibri" w:hAnsi="Calibri" w:cs="Calibri"/>
        </w:rPr>
        <w:t>Overall, i</w:t>
      </w:r>
      <w:r w:rsidR="00EE28A5" w:rsidRPr="00F80D9C">
        <w:rPr>
          <w:rFonts w:ascii="Calibri" w:eastAsia="Calibri" w:hAnsi="Calibri" w:cs="Calibri"/>
        </w:rPr>
        <w:t>ndividuals with higher</w:t>
      </w:r>
      <w:r w:rsidR="00EE28A5" w:rsidRPr="067FA4F0">
        <w:rPr>
          <w:rFonts w:ascii="Calibri" w:eastAsia="Calibri" w:hAnsi="Calibri" w:cs="Calibri"/>
        </w:rPr>
        <w:t xml:space="preserve"> income</w:t>
      </w:r>
      <w:r w:rsidR="00F81371">
        <w:rPr>
          <w:rFonts w:ascii="Calibri" w:eastAsia="Calibri" w:hAnsi="Calibri" w:cs="Calibri"/>
        </w:rPr>
        <w:t>s</w:t>
      </w:r>
      <w:r w:rsidR="00EE28A5" w:rsidRPr="067FA4F0">
        <w:rPr>
          <w:rFonts w:ascii="Calibri" w:eastAsia="Calibri" w:hAnsi="Calibri" w:cs="Calibri"/>
        </w:rPr>
        <w:t xml:space="preserve"> </w:t>
      </w:r>
      <w:r w:rsidR="00463BCA" w:rsidRPr="7DA2BAF7">
        <w:rPr>
          <w:rFonts w:ascii="Calibri" w:eastAsia="Calibri" w:hAnsi="Calibri" w:cs="Calibri"/>
        </w:rPr>
        <w:t xml:space="preserve">or higher </w:t>
      </w:r>
      <w:r w:rsidR="00EE28A5" w:rsidRPr="067FA4F0">
        <w:rPr>
          <w:rFonts w:ascii="Calibri" w:eastAsia="Calibri" w:hAnsi="Calibri" w:cs="Calibri"/>
        </w:rPr>
        <w:t xml:space="preserve">wealth are </w:t>
      </w:r>
      <w:r w:rsidR="00EE28A5" w:rsidRPr="00F80D9C">
        <w:rPr>
          <w:rFonts w:ascii="Calibri" w:eastAsia="Calibri" w:hAnsi="Calibri" w:cs="Calibri"/>
        </w:rPr>
        <w:t xml:space="preserve">more likely to </w:t>
      </w:r>
      <w:r w:rsidR="3B1DD860" w:rsidRPr="00F80D9C">
        <w:rPr>
          <w:rFonts w:ascii="Calibri" w:eastAsia="Calibri" w:hAnsi="Calibri" w:cs="Calibri"/>
        </w:rPr>
        <w:t>enroll in</w:t>
      </w:r>
      <w:r w:rsidR="00EE28A5" w:rsidRPr="00F80D9C">
        <w:rPr>
          <w:rFonts w:ascii="Calibri" w:eastAsia="Calibri" w:hAnsi="Calibri" w:cs="Calibri"/>
        </w:rPr>
        <w:t xml:space="preserve"> </w:t>
      </w:r>
      <w:r w:rsidR="00EE28A5" w:rsidRPr="067FA4F0">
        <w:rPr>
          <w:rFonts w:ascii="Calibri" w:eastAsia="Calibri" w:hAnsi="Calibri" w:cs="Calibri"/>
        </w:rPr>
        <w:t xml:space="preserve">college </w:t>
      </w:r>
      <w:r w:rsidR="00EE28A5" w:rsidRPr="00F80D9C">
        <w:rPr>
          <w:rFonts w:ascii="Calibri" w:eastAsia="Calibri" w:hAnsi="Calibri" w:cs="Calibri"/>
        </w:rPr>
        <w:t>than those with lower income</w:t>
      </w:r>
      <w:r w:rsidR="00F81371">
        <w:rPr>
          <w:rFonts w:ascii="Calibri" w:eastAsia="Calibri" w:hAnsi="Calibri" w:cs="Calibri"/>
        </w:rPr>
        <w:t>s</w:t>
      </w:r>
      <w:r w:rsidR="00EE28A5" w:rsidRPr="00F80D9C">
        <w:rPr>
          <w:rFonts w:ascii="Calibri" w:eastAsia="Calibri" w:hAnsi="Calibri" w:cs="Calibri"/>
        </w:rPr>
        <w:t xml:space="preserve"> </w:t>
      </w:r>
      <w:r w:rsidR="00463BCA" w:rsidRPr="7DA2BAF7">
        <w:rPr>
          <w:rFonts w:ascii="Calibri" w:eastAsia="Calibri" w:hAnsi="Calibri" w:cs="Calibri"/>
        </w:rPr>
        <w:t xml:space="preserve">or lower </w:t>
      </w:r>
      <w:r w:rsidR="00EE28A5" w:rsidRPr="00F80D9C">
        <w:rPr>
          <w:rFonts w:ascii="Calibri" w:eastAsia="Calibri" w:hAnsi="Calibri" w:cs="Calibri"/>
        </w:rPr>
        <w:t>wealth</w:t>
      </w:r>
      <w:r w:rsidR="0057304E">
        <w:rPr>
          <w:rFonts w:ascii="Calibri" w:eastAsia="Calibri" w:hAnsi="Calibri" w:cs="Calibri"/>
        </w:rPr>
        <w:t xml:space="preserve"> (</w:t>
      </w:r>
      <w:r w:rsidR="0057304E">
        <w:rPr>
          <w:rFonts w:ascii="Calibri" w:eastAsia="Calibri" w:hAnsi="Calibri" w:cs="Calibri"/>
        </w:rPr>
        <w:fldChar w:fldCharType="begin"/>
      </w:r>
      <w:r w:rsidR="0057304E">
        <w:rPr>
          <w:rFonts w:ascii="Calibri" w:eastAsia="Calibri" w:hAnsi="Calibri" w:cs="Calibri"/>
        </w:rPr>
        <w:instrText xml:space="preserve"> REF _Ref153959419 \h </w:instrText>
      </w:r>
      <w:r w:rsidR="004B1105">
        <w:rPr>
          <w:rFonts w:ascii="Calibri" w:eastAsia="Calibri" w:hAnsi="Calibri" w:cs="Calibri"/>
        </w:rPr>
        <w:instrText xml:space="preserve"> \* MERGEFORMAT </w:instrText>
      </w:r>
      <w:r w:rsidR="0057304E">
        <w:rPr>
          <w:rFonts w:ascii="Calibri" w:eastAsia="Calibri" w:hAnsi="Calibri" w:cs="Calibri"/>
        </w:rPr>
      </w:r>
      <w:r w:rsidR="0057304E">
        <w:rPr>
          <w:rFonts w:ascii="Calibri" w:eastAsia="Calibri" w:hAnsi="Calibri" w:cs="Calibri"/>
        </w:rPr>
        <w:fldChar w:fldCharType="separate"/>
      </w:r>
      <w:r w:rsidR="00932B97" w:rsidRPr="0054370F">
        <w:rPr>
          <w:b/>
          <w:bCs/>
        </w:rPr>
        <w:t xml:space="preserve">Table </w:t>
      </w:r>
      <w:r w:rsidR="00932B97">
        <w:rPr>
          <w:b/>
          <w:bCs/>
        </w:rPr>
        <w:t>4</w:t>
      </w:r>
      <w:r w:rsidR="0057304E">
        <w:rPr>
          <w:rFonts w:ascii="Calibri" w:eastAsia="Calibri" w:hAnsi="Calibri" w:cs="Calibri"/>
        </w:rPr>
        <w:fldChar w:fldCharType="end"/>
      </w:r>
      <w:r w:rsidR="0057304E">
        <w:rPr>
          <w:rFonts w:ascii="Calibri" w:eastAsia="Calibri" w:hAnsi="Calibri" w:cs="Calibri"/>
        </w:rPr>
        <w:t>)</w:t>
      </w:r>
      <w:r w:rsidR="00EE28A5">
        <w:rPr>
          <w:rFonts w:ascii="Calibri" w:eastAsia="Calibri" w:hAnsi="Calibri" w:cs="Calibri"/>
        </w:rPr>
        <w:t xml:space="preserve">. </w:t>
      </w:r>
      <w:r w:rsidR="005A5F60" w:rsidRPr="7DA2BAF7">
        <w:rPr>
          <w:rFonts w:ascii="Calibri" w:eastAsia="Calibri" w:hAnsi="Calibri" w:cs="Calibri"/>
        </w:rPr>
        <w:t>However</w:t>
      </w:r>
      <w:r w:rsidR="00CF2B93" w:rsidRPr="7DA2BAF7">
        <w:rPr>
          <w:rFonts w:ascii="Calibri" w:eastAsia="Calibri" w:hAnsi="Calibri" w:cs="Calibri"/>
        </w:rPr>
        <w:t>,</w:t>
      </w:r>
      <w:r w:rsidR="005A5F60" w:rsidRPr="7DA2BAF7">
        <w:rPr>
          <w:rFonts w:ascii="Calibri" w:eastAsia="Calibri" w:hAnsi="Calibri" w:cs="Calibri"/>
        </w:rPr>
        <w:t xml:space="preserve"> the </w:t>
      </w:r>
      <w:r w:rsidR="00CF2B93" w:rsidRPr="7DA2BAF7">
        <w:rPr>
          <w:rFonts w:ascii="Calibri" w:eastAsia="Calibri" w:hAnsi="Calibri" w:cs="Calibri"/>
        </w:rPr>
        <w:t>impact</w:t>
      </w:r>
      <w:r w:rsidR="005A5F60" w:rsidRPr="7DA2BAF7">
        <w:rPr>
          <w:rFonts w:ascii="Calibri" w:eastAsia="Calibri" w:hAnsi="Calibri" w:cs="Calibri"/>
        </w:rPr>
        <w:t xml:space="preserve"> </w:t>
      </w:r>
      <w:r w:rsidR="00CF2B93" w:rsidRPr="7DA2BAF7">
        <w:rPr>
          <w:rFonts w:ascii="Calibri" w:eastAsia="Calibri" w:hAnsi="Calibri" w:cs="Calibri"/>
        </w:rPr>
        <w:t xml:space="preserve">of </w:t>
      </w:r>
      <w:r w:rsidR="005A5F60" w:rsidRPr="7DA2BAF7">
        <w:rPr>
          <w:rFonts w:ascii="Calibri" w:eastAsia="Calibri" w:hAnsi="Calibri" w:cs="Calibri"/>
        </w:rPr>
        <w:t xml:space="preserve">income and wealth </w:t>
      </w:r>
      <w:r w:rsidR="00853158" w:rsidRPr="7DA2BAF7">
        <w:rPr>
          <w:rFonts w:ascii="Calibri" w:eastAsia="Calibri" w:hAnsi="Calibri" w:cs="Calibri"/>
        </w:rPr>
        <w:t xml:space="preserve">on college-going </w:t>
      </w:r>
      <w:r w:rsidR="005A5F60" w:rsidRPr="7DA2BAF7">
        <w:rPr>
          <w:rFonts w:ascii="Calibri" w:eastAsia="Calibri" w:hAnsi="Calibri" w:cs="Calibri"/>
        </w:rPr>
        <w:t>var</w:t>
      </w:r>
      <w:r w:rsidR="00611851" w:rsidRPr="7DA2BAF7">
        <w:rPr>
          <w:rFonts w:ascii="Calibri" w:eastAsia="Calibri" w:hAnsi="Calibri" w:cs="Calibri"/>
        </w:rPr>
        <w:t>ies</w:t>
      </w:r>
      <w:r w:rsidR="005A5F60" w:rsidRPr="7DA2BAF7">
        <w:rPr>
          <w:rFonts w:ascii="Calibri" w:eastAsia="Calibri" w:hAnsi="Calibri" w:cs="Calibri"/>
        </w:rPr>
        <w:t xml:space="preserve"> by race</w:t>
      </w:r>
      <w:r w:rsidR="278EBCB7" w:rsidRPr="7DA2BAF7">
        <w:rPr>
          <w:rFonts w:ascii="Calibri" w:eastAsia="Calibri" w:hAnsi="Calibri" w:cs="Calibri"/>
        </w:rPr>
        <w:t xml:space="preserve"> and </w:t>
      </w:r>
      <w:r w:rsidR="005A5F60" w:rsidRPr="7DA2BAF7">
        <w:rPr>
          <w:rFonts w:ascii="Calibri" w:eastAsia="Calibri" w:hAnsi="Calibri" w:cs="Calibri"/>
        </w:rPr>
        <w:t>ethnicity.</w:t>
      </w:r>
    </w:p>
    <w:p w14:paraId="716EB5D2" w14:textId="77777777" w:rsidR="005A5F60" w:rsidRDefault="005A5F60" w:rsidP="004B1105">
      <w:pPr>
        <w:ind w:left="360" w:right="-20"/>
        <w:rPr>
          <w:rFonts w:ascii="Calibri" w:eastAsia="Calibri" w:hAnsi="Calibri" w:cs="Calibri"/>
        </w:rPr>
      </w:pPr>
    </w:p>
    <w:p w14:paraId="38903669" w14:textId="7C451D56" w:rsidR="000136B0" w:rsidRDefault="000136B0" w:rsidP="004B1105">
      <w:pPr>
        <w:ind w:left="360" w:right="-20"/>
        <w:rPr>
          <w:rFonts w:ascii="Calibri" w:eastAsia="Calibri" w:hAnsi="Calibri" w:cs="Calibri"/>
        </w:rPr>
      </w:pPr>
      <w:r w:rsidRPr="067FA4F0">
        <w:rPr>
          <w:rFonts w:ascii="Calibri" w:eastAsia="Calibri" w:hAnsi="Calibri" w:cs="Calibri"/>
        </w:rPr>
        <w:t xml:space="preserve">For Black respondents, </w:t>
      </w:r>
      <w:r w:rsidR="63DC6367" w:rsidRPr="530D5960">
        <w:rPr>
          <w:rFonts w:ascii="Calibri" w:eastAsia="Calibri" w:hAnsi="Calibri" w:cs="Calibri"/>
        </w:rPr>
        <w:t>enrollment</w:t>
      </w:r>
      <w:r>
        <w:rPr>
          <w:rFonts w:ascii="Calibri" w:eastAsia="Calibri" w:hAnsi="Calibri" w:cs="Calibri"/>
        </w:rPr>
        <w:t xml:space="preserve"> trends</w:t>
      </w:r>
      <w:r w:rsidR="00FF68D5" w:rsidRPr="7DA2BAF7">
        <w:rPr>
          <w:rFonts w:ascii="Calibri" w:eastAsia="Calibri" w:hAnsi="Calibri" w:cs="Calibri"/>
        </w:rPr>
        <w:t xml:space="preserve"> are similar when considering either income or wealth</w:t>
      </w:r>
      <w:r w:rsidRPr="067FA4F0">
        <w:rPr>
          <w:rFonts w:ascii="Calibri" w:eastAsia="Calibri" w:hAnsi="Calibri" w:cs="Calibri"/>
        </w:rPr>
        <w:t>.</w:t>
      </w:r>
      <w:r>
        <w:rPr>
          <w:rFonts w:eastAsia="Calibri"/>
        </w:rPr>
        <w:t xml:space="preserve"> </w:t>
      </w:r>
      <w:r w:rsidRPr="00A962E7">
        <w:rPr>
          <w:rFonts w:ascii="Calibri" w:eastAsia="Calibri" w:hAnsi="Calibri" w:cs="Calibri"/>
        </w:rPr>
        <w:t xml:space="preserve">Black respondents </w:t>
      </w:r>
      <w:r w:rsidR="42DD0891" w:rsidRPr="7DA2BAF7">
        <w:rPr>
          <w:rFonts w:ascii="Calibri" w:eastAsia="Calibri" w:hAnsi="Calibri" w:cs="Calibri"/>
        </w:rPr>
        <w:t xml:space="preserve">with low incomes </w:t>
      </w:r>
      <w:r w:rsidRPr="00A962E7">
        <w:rPr>
          <w:rFonts w:ascii="Calibri" w:eastAsia="Calibri" w:hAnsi="Calibri" w:cs="Calibri"/>
        </w:rPr>
        <w:t>are</w:t>
      </w:r>
      <w:r>
        <w:rPr>
          <w:rFonts w:ascii="Calibri" w:eastAsia="Calibri" w:hAnsi="Calibri" w:cs="Calibri"/>
        </w:rPr>
        <w:t xml:space="preserve"> about</w:t>
      </w:r>
      <w:r w:rsidRPr="00A962E7">
        <w:rPr>
          <w:rFonts w:ascii="Calibri" w:eastAsia="Calibri" w:hAnsi="Calibri" w:cs="Calibri"/>
        </w:rPr>
        <w:t xml:space="preserve"> </w:t>
      </w:r>
      <w:r>
        <w:rPr>
          <w:rFonts w:ascii="Calibri" w:eastAsia="Calibri" w:hAnsi="Calibri" w:cs="Calibri"/>
        </w:rPr>
        <w:t>as</w:t>
      </w:r>
      <w:r w:rsidRPr="00A962E7">
        <w:rPr>
          <w:rFonts w:ascii="Calibri" w:eastAsia="Calibri" w:hAnsi="Calibri" w:cs="Calibri"/>
        </w:rPr>
        <w:t xml:space="preserve"> likely to attend college as Black respondents</w:t>
      </w:r>
      <w:r>
        <w:rPr>
          <w:rFonts w:ascii="Calibri" w:eastAsia="Calibri" w:hAnsi="Calibri" w:cs="Calibri"/>
        </w:rPr>
        <w:t xml:space="preserve"> </w:t>
      </w:r>
      <w:r w:rsidR="3C6C76C7" w:rsidRPr="7DA2BAF7">
        <w:rPr>
          <w:rFonts w:ascii="Calibri" w:eastAsia="Calibri" w:hAnsi="Calibri" w:cs="Calibri"/>
        </w:rPr>
        <w:t>with low wealth</w:t>
      </w:r>
      <w:r w:rsidR="30C00A65" w:rsidRPr="7DA2BAF7">
        <w:rPr>
          <w:rFonts w:ascii="Calibri" w:eastAsia="Calibri" w:hAnsi="Calibri" w:cs="Calibri"/>
        </w:rPr>
        <w:t xml:space="preserve"> </w:t>
      </w:r>
      <w:r w:rsidRPr="7DA2BAF7">
        <w:rPr>
          <w:rFonts w:ascii="Calibri" w:eastAsia="Calibri" w:hAnsi="Calibri" w:cs="Calibri"/>
        </w:rPr>
        <w:t>(</w:t>
      </w:r>
      <w:r>
        <w:rPr>
          <w:rFonts w:ascii="Calibri" w:eastAsia="Calibri" w:hAnsi="Calibri" w:cs="Calibri"/>
        </w:rPr>
        <w:t>60 percent and 61 percent</w:t>
      </w:r>
      <w:r w:rsidR="00D32ACA">
        <w:rPr>
          <w:rFonts w:ascii="Calibri" w:eastAsia="Calibri" w:hAnsi="Calibri" w:cs="Calibri"/>
        </w:rPr>
        <w:t>,</w:t>
      </w:r>
      <w:r>
        <w:rPr>
          <w:rFonts w:ascii="Calibri" w:eastAsia="Calibri" w:hAnsi="Calibri" w:cs="Calibri"/>
        </w:rPr>
        <w:t xml:space="preserve"> respectively). Middle-income (69 percent) and middle-wealth (67 percent) and high-income (80 percent) and high-wealth (81 percent) Black respondents also attended at similar rates.</w:t>
      </w:r>
    </w:p>
    <w:p w14:paraId="180A0C6D" w14:textId="77777777" w:rsidR="000136B0" w:rsidRDefault="000136B0" w:rsidP="004B1105">
      <w:pPr>
        <w:ind w:left="360" w:right="-20"/>
        <w:rPr>
          <w:rFonts w:ascii="Calibri" w:eastAsia="Calibri" w:hAnsi="Calibri" w:cs="Calibri"/>
        </w:rPr>
      </w:pPr>
    </w:p>
    <w:p w14:paraId="5615CDB5" w14:textId="46A0A526" w:rsidR="00B76F92" w:rsidRDefault="00EE28A5" w:rsidP="004B1105">
      <w:pPr>
        <w:ind w:left="360" w:right="-20"/>
        <w:rPr>
          <w:rFonts w:ascii="Calibri" w:eastAsia="Calibri" w:hAnsi="Calibri" w:cs="Calibri"/>
        </w:rPr>
      </w:pPr>
      <w:r w:rsidRPr="067FA4F0">
        <w:rPr>
          <w:rFonts w:ascii="Calibri" w:eastAsia="Calibri" w:hAnsi="Calibri" w:cs="Calibri"/>
        </w:rPr>
        <w:t xml:space="preserve">However, the trends </w:t>
      </w:r>
      <w:r>
        <w:rPr>
          <w:rFonts w:ascii="Calibri" w:eastAsia="Calibri" w:hAnsi="Calibri" w:cs="Calibri"/>
        </w:rPr>
        <w:t xml:space="preserve">for income and wealth </w:t>
      </w:r>
      <w:r w:rsidRPr="067FA4F0">
        <w:rPr>
          <w:rFonts w:ascii="Calibri" w:eastAsia="Calibri" w:hAnsi="Calibri" w:cs="Calibri"/>
        </w:rPr>
        <w:t>are not identical</w:t>
      </w:r>
      <w:r w:rsidR="00627510">
        <w:rPr>
          <w:rFonts w:ascii="Calibri" w:eastAsia="Calibri" w:hAnsi="Calibri" w:cs="Calibri"/>
        </w:rPr>
        <w:t xml:space="preserve"> for respondents</w:t>
      </w:r>
      <w:r w:rsidR="00DD20DC">
        <w:rPr>
          <w:rFonts w:ascii="Calibri" w:eastAsia="Calibri" w:hAnsi="Calibri" w:cs="Calibri"/>
        </w:rPr>
        <w:t xml:space="preserve"> </w:t>
      </w:r>
      <w:r w:rsidR="00A42A83">
        <w:rPr>
          <w:rFonts w:ascii="Calibri" w:eastAsia="Calibri" w:hAnsi="Calibri" w:cs="Calibri"/>
        </w:rPr>
        <w:t>from</w:t>
      </w:r>
      <w:r w:rsidR="00DD20DC">
        <w:rPr>
          <w:rFonts w:ascii="Calibri" w:eastAsia="Calibri" w:hAnsi="Calibri" w:cs="Calibri"/>
        </w:rPr>
        <w:t xml:space="preserve"> other races and ethnicities</w:t>
      </w:r>
      <w:r w:rsidRPr="067FA4F0">
        <w:rPr>
          <w:rFonts w:ascii="Calibri" w:eastAsia="Calibri" w:hAnsi="Calibri" w:cs="Calibri"/>
        </w:rPr>
        <w:t xml:space="preserve">. For Latinx respondents, wealth is a better </w:t>
      </w:r>
      <w:r>
        <w:rPr>
          <w:rFonts w:ascii="Calibri" w:eastAsia="Calibri" w:hAnsi="Calibri" w:cs="Calibri"/>
        </w:rPr>
        <w:t xml:space="preserve">indicator </w:t>
      </w:r>
      <w:r w:rsidRPr="067FA4F0">
        <w:rPr>
          <w:rFonts w:ascii="Calibri" w:eastAsia="Calibri" w:hAnsi="Calibri" w:cs="Calibri"/>
        </w:rPr>
        <w:t xml:space="preserve">of college </w:t>
      </w:r>
      <w:r w:rsidR="2E971187" w:rsidRPr="11891D48">
        <w:rPr>
          <w:rFonts w:ascii="Calibri" w:eastAsia="Calibri" w:hAnsi="Calibri" w:cs="Calibri"/>
        </w:rPr>
        <w:t>enrollment than income</w:t>
      </w:r>
      <w:r>
        <w:rPr>
          <w:rFonts w:ascii="Calibri" w:eastAsia="Calibri" w:hAnsi="Calibri" w:cs="Calibri"/>
        </w:rPr>
        <w:t>.</w:t>
      </w:r>
      <w:r w:rsidRPr="067FA4F0">
        <w:rPr>
          <w:rFonts w:ascii="Calibri" w:eastAsia="Calibri" w:hAnsi="Calibri" w:cs="Calibri"/>
        </w:rPr>
        <w:t xml:space="preserve"> </w:t>
      </w:r>
      <w:r w:rsidR="003D4094">
        <w:rPr>
          <w:rFonts w:ascii="Calibri" w:eastAsia="Calibri" w:hAnsi="Calibri" w:cs="Calibri"/>
        </w:rPr>
        <w:t>While</w:t>
      </w:r>
      <w:r w:rsidR="00781751">
        <w:rPr>
          <w:rFonts w:ascii="Calibri" w:eastAsia="Calibri" w:hAnsi="Calibri" w:cs="Calibri"/>
        </w:rPr>
        <w:t xml:space="preserve"> PSID-TAS</w:t>
      </w:r>
      <w:r w:rsidR="00365802">
        <w:rPr>
          <w:rFonts w:ascii="Calibri" w:eastAsia="Calibri" w:hAnsi="Calibri" w:cs="Calibri"/>
        </w:rPr>
        <w:t xml:space="preserve"> data show </w:t>
      </w:r>
      <w:r w:rsidR="003D4094">
        <w:rPr>
          <w:rFonts w:ascii="Calibri" w:eastAsia="Calibri" w:hAnsi="Calibri" w:cs="Calibri"/>
        </w:rPr>
        <w:t xml:space="preserve">a statistically significant difference in college </w:t>
      </w:r>
      <w:r w:rsidR="7DBB956F" w:rsidRPr="0D83C6A9">
        <w:rPr>
          <w:rFonts w:ascii="Calibri" w:eastAsia="Calibri" w:hAnsi="Calibri" w:cs="Calibri"/>
        </w:rPr>
        <w:t>enrollment</w:t>
      </w:r>
      <w:r w:rsidR="003D4094">
        <w:rPr>
          <w:rFonts w:ascii="Calibri" w:eastAsia="Calibri" w:hAnsi="Calibri" w:cs="Calibri"/>
        </w:rPr>
        <w:t xml:space="preserve"> rates between </w:t>
      </w:r>
      <w:r w:rsidR="000F6FF0">
        <w:rPr>
          <w:rFonts w:ascii="Calibri" w:eastAsia="Calibri" w:hAnsi="Calibri" w:cs="Calibri"/>
        </w:rPr>
        <w:t>Latinx respondents</w:t>
      </w:r>
      <w:r w:rsidR="75775975" w:rsidRPr="4D99EE2A">
        <w:rPr>
          <w:rFonts w:ascii="Calibri" w:eastAsia="Calibri" w:hAnsi="Calibri" w:cs="Calibri"/>
        </w:rPr>
        <w:t xml:space="preserve"> with low wealth and high wealth</w:t>
      </w:r>
      <w:r w:rsidR="000F6FF0">
        <w:rPr>
          <w:rFonts w:ascii="Calibri" w:eastAsia="Calibri" w:hAnsi="Calibri" w:cs="Calibri"/>
        </w:rPr>
        <w:t xml:space="preserve">, </w:t>
      </w:r>
      <w:r w:rsidR="5BDCDCE4" w:rsidRPr="0D83C6A9">
        <w:rPr>
          <w:rFonts w:ascii="Calibri" w:eastAsia="Calibri" w:hAnsi="Calibri" w:cs="Calibri"/>
        </w:rPr>
        <w:t>no</w:t>
      </w:r>
      <w:r w:rsidR="000F6FF0">
        <w:rPr>
          <w:rFonts w:ascii="Calibri" w:eastAsia="Calibri" w:hAnsi="Calibri" w:cs="Calibri"/>
        </w:rPr>
        <w:t xml:space="preserve"> significant difference in college </w:t>
      </w:r>
      <w:r w:rsidR="5E55EEFB" w:rsidRPr="0D83C6A9">
        <w:rPr>
          <w:rFonts w:ascii="Calibri" w:eastAsia="Calibri" w:hAnsi="Calibri" w:cs="Calibri"/>
        </w:rPr>
        <w:t>enrollment</w:t>
      </w:r>
      <w:r w:rsidR="000F6FF0">
        <w:rPr>
          <w:rFonts w:ascii="Calibri" w:eastAsia="Calibri" w:hAnsi="Calibri" w:cs="Calibri"/>
        </w:rPr>
        <w:t xml:space="preserve"> rates </w:t>
      </w:r>
      <w:r w:rsidR="1767540F" w:rsidRPr="4D99EE2A">
        <w:rPr>
          <w:rFonts w:ascii="Calibri" w:eastAsia="Calibri" w:hAnsi="Calibri" w:cs="Calibri"/>
        </w:rPr>
        <w:t xml:space="preserve">exists </w:t>
      </w:r>
      <w:r w:rsidR="000F6FF0">
        <w:rPr>
          <w:rFonts w:ascii="Calibri" w:eastAsia="Calibri" w:hAnsi="Calibri" w:cs="Calibri"/>
        </w:rPr>
        <w:t>between Latinx respondents</w:t>
      </w:r>
      <w:r w:rsidR="4BA8B301" w:rsidRPr="4D99EE2A">
        <w:rPr>
          <w:rFonts w:ascii="Calibri" w:eastAsia="Calibri" w:hAnsi="Calibri" w:cs="Calibri"/>
        </w:rPr>
        <w:t xml:space="preserve"> with low incomes and those with high incomes</w:t>
      </w:r>
      <w:r w:rsidR="287C90DE" w:rsidRPr="4D99EE2A">
        <w:rPr>
          <w:rFonts w:ascii="Calibri" w:eastAsia="Calibri" w:hAnsi="Calibri" w:cs="Calibri"/>
        </w:rPr>
        <w:t>.</w:t>
      </w:r>
      <w:r w:rsidR="000F6FF0">
        <w:rPr>
          <w:rFonts w:ascii="Calibri" w:eastAsia="Calibri" w:hAnsi="Calibri" w:cs="Calibri"/>
        </w:rPr>
        <w:t xml:space="preserve"> </w:t>
      </w:r>
      <w:r>
        <w:rPr>
          <w:rFonts w:ascii="Calibri" w:eastAsia="Calibri" w:hAnsi="Calibri" w:cs="Calibri"/>
        </w:rPr>
        <w:t>For</w:t>
      </w:r>
      <w:r w:rsidRPr="067FA4F0">
        <w:rPr>
          <w:rFonts w:ascii="Calibri" w:eastAsia="Calibri" w:hAnsi="Calibri" w:cs="Calibri"/>
        </w:rPr>
        <w:t xml:space="preserve"> White respondents</w:t>
      </w:r>
      <w:r>
        <w:rPr>
          <w:rFonts w:ascii="Calibri" w:eastAsia="Calibri" w:hAnsi="Calibri" w:cs="Calibri"/>
        </w:rPr>
        <w:t>,</w:t>
      </w:r>
      <w:r w:rsidR="00C135CC">
        <w:rPr>
          <w:rFonts w:ascii="Calibri" w:eastAsia="Calibri" w:hAnsi="Calibri" w:cs="Calibri"/>
        </w:rPr>
        <w:t xml:space="preserve"> income </w:t>
      </w:r>
      <w:r w:rsidR="00FA7C46" w:rsidRPr="0D83C6A9">
        <w:rPr>
          <w:rFonts w:ascii="Calibri" w:eastAsia="Calibri" w:hAnsi="Calibri" w:cs="Calibri"/>
        </w:rPr>
        <w:t>is</w:t>
      </w:r>
      <w:r w:rsidR="00C135CC">
        <w:rPr>
          <w:rFonts w:ascii="Calibri" w:eastAsia="Calibri" w:hAnsi="Calibri" w:cs="Calibri"/>
        </w:rPr>
        <w:t xml:space="preserve"> a </w:t>
      </w:r>
      <w:r w:rsidR="00781751">
        <w:rPr>
          <w:rFonts w:ascii="Calibri" w:eastAsia="Calibri" w:hAnsi="Calibri" w:cs="Calibri"/>
        </w:rPr>
        <w:t xml:space="preserve">stronger </w:t>
      </w:r>
      <w:r w:rsidR="00C135CC">
        <w:rPr>
          <w:rFonts w:ascii="Calibri" w:eastAsia="Calibri" w:hAnsi="Calibri" w:cs="Calibri"/>
        </w:rPr>
        <w:t xml:space="preserve">indicator </w:t>
      </w:r>
      <w:r w:rsidR="00781751">
        <w:rPr>
          <w:rFonts w:ascii="Calibri" w:eastAsia="Calibri" w:hAnsi="Calibri" w:cs="Calibri"/>
        </w:rPr>
        <w:t>than wealth</w:t>
      </w:r>
      <w:r w:rsidR="00A265DF">
        <w:rPr>
          <w:rFonts w:ascii="Calibri" w:eastAsia="Calibri" w:hAnsi="Calibri" w:cs="Calibri"/>
        </w:rPr>
        <w:t>; t</w:t>
      </w:r>
      <w:r>
        <w:rPr>
          <w:rFonts w:ascii="Calibri" w:eastAsia="Calibri" w:hAnsi="Calibri" w:cs="Calibri"/>
        </w:rPr>
        <w:t>here is a 40 percentage-point difference in</w:t>
      </w:r>
      <w:r w:rsidRPr="067FA4F0">
        <w:rPr>
          <w:rFonts w:ascii="Calibri" w:eastAsia="Calibri" w:hAnsi="Calibri" w:cs="Calibri"/>
        </w:rPr>
        <w:t xml:space="preserve"> college </w:t>
      </w:r>
      <w:r w:rsidR="4B449C60" w:rsidRPr="0D83C6A9">
        <w:rPr>
          <w:rFonts w:ascii="Calibri" w:eastAsia="Calibri" w:hAnsi="Calibri" w:cs="Calibri"/>
        </w:rPr>
        <w:t>enrollment</w:t>
      </w:r>
      <w:r w:rsidRPr="067FA4F0">
        <w:rPr>
          <w:rFonts w:ascii="Calibri" w:eastAsia="Calibri" w:hAnsi="Calibri" w:cs="Calibri"/>
        </w:rPr>
        <w:t xml:space="preserve"> </w:t>
      </w:r>
      <w:r>
        <w:rPr>
          <w:rFonts w:ascii="Calibri" w:eastAsia="Calibri" w:hAnsi="Calibri" w:cs="Calibri"/>
        </w:rPr>
        <w:t xml:space="preserve">rates between </w:t>
      </w:r>
      <w:r w:rsidR="00D57FD6">
        <w:rPr>
          <w:rFonts w:ascii="Calibri" w:eastAsia="Calibri" w:hAnsi="Calibri" w:cs="Calibri"/>
        </w:rPr>
        <w:t>the</w:t>
      </w:r>
      <w:r>
        <w:rPr>
          <w:rFonts w:ascii="Calibri" w:eastAsia="Calibri" w:hAnsi="Calibri" w:cs="Calibri"/>
        </w:rPr>
        <w:t xml:space="preserve"> lowest</w:t>
      </w:r>
      <w:r w:rsidR="00521C63">
        <w:rPr>
          <w:rFonts w:ascii="Calibri" w:eastAsia="Calibri" w:hAnsi="Calibri" w:cs="Calibri"/>
        </w:rPr>
        <w:t>-</w:t>
      </w:r>
      <w:r>
        <w:rPr>
          <w:rFonts w:ascii="Calibri" w:eastAsia="Calibri" w:hAnsi="Calibri" w:cs="Calibri"/>
        </w:rPr>
        <w:t xml:space="preserve"> and highest</w:t>
      </w:r>
      <w:r w:rsidR="00521C63">
        <w:rPr>
          <w:rFonts w:ascii="Calibri" w:eastAsia="Calibri" w:hAnsi="Calibri" w:cs="Calibri"/>
        </w:rPr>
        <w:t>-</w:t>
      </w:r>
      <w:r w:rsidRPr="067FA4F0">
        <w:rPr>
          <w:rFonts w:ascii="Calibri" w:eastAsia="Calibri" w:hAnsi="Calibri" w:cs="Calibri"/>
        </w:rPr>
        <w:t>income</w:t>
      </w:r>
      <w:r>
        <w:rPr>
          <w:rFonts w:ascii="Calibri" w:eastAsia="Calibri" w:hAnsi="Calibri" w:cs="Calibri"/>
        </w:rPr>
        <w:t xml:space="preserve"> groups, but only a 31 percentage-point difference between </w:t>
      </w:r>
      <w:r w:rsidR="00D57FD6">
        <w:rPr>
          <w:rFonts w:ascii="Calibri" w:eastAsia="Calibri" w:hAnsi="Calibri" w:cs="Calibri"/>
        </w:rPr>
        <w:t>the</w:t>
      </w:r>
      <w:r>
        <w:rPr>
          <w:rFonts w:ascii="Calibri" w:eastAsia="Calibri" w:hAnsi="Calibri" w:cs="Calibri"/>
        </w:rPr>
        <w:t xml:space="preserve"> lowest</w:t>
      </w:r>
      <w:r w:rsidR="00521C63">
        <w:rPr>
          <w:rFonts w:ascii="Calibri" w:eastAsia="Calibri" w:hAnsi="Calibri" w:cs="Calibri"/>
        </w:rPr>
        <w:t>-</w:t>
      </w:r>
      <w:r w:rsidR="00AC49AB">
        <w:rPr>
          <w:rFonts w:ascii="Calibri" w:eastAsia="Calibri" w:hAnsi="Calibri" w:cs="Calibri"/>
        </w:rPr>
        <w:t xml:space="preserve"> </w:t>
      </w:r>
      <w:r>
        <w:rPr>
          <w:rFonts w:ascii="Calibri" w:eastAsia="Calibri" w:hAnsi="Calibri" w:cs="Calibri"/>
        </w:rPr>
        <w:t>and highest</w:t>
      </w:r>
      <w:r w:rsidR="00521C63">
        <w:rPr>
          <w:rFonts w:ascii="Calibri" w:eastAsia="Calibri" w:hAnsi="Calibri" w:cs="Calibri"/>
        </w:rPr>
        <w:t>-</w:t>
      </w:r>
      <w:r>
        <w:rPr>
          <w:rFonts w:ascii="Calibri" w:eastAsia="Calibri" w:hAnsi="Calibri" w:cs="Calibri"/>
        </w:rPr>
        <w:t>wealth groups.</w:t>
      </w:r>
      <w:r w:rsidRPr="067FA4F0">
        <w:rPr>
          <w:rFonts w:ascii="Calibri" w:eastAsia="Calibri" w:hAnsi="Calibri" w:cs="Calibri"/>
        </w:rPr>
        <w:t xml:space="preserve"> </w:t>
      </w:r>
      <w:r w:rsidR="00FA2D73">
        <w:rPr>
          <w:rFonts w:ascii="Calibri" w:eastAsia="Calibri" w:hAnsi="Calibri" w:cs="Calibri"/>
        </w:rPr>
        <w:t xml:space="preserve">For these groups, </w:t>
      </w:r>
      <w:r w:rsidR="003514C3">
        <w:rPr>
          <w:rFonts w:ascii="Calibri" w:eastAsia="Calibri" w:hAnsi="Calibri" w:cs="Calibri"/>
        </w:rPr>
        <w:t xml:space="preserve">wealth and income do not appear to have the same impact on enrollment, </w:t>
      </w:r>
      <w:r w:rsidR="0090758B" w:rsidRPr="0D83C6A9">
        <w:rPr>
          <w:rFonts w:ascii="Calibri" w:eastAsia="Calibri" w:hAnsi="Calibri" w:cs="Calibri"/>
        </w:rPr>
        <w:t>so</w:t>
      </w:r>
      <w:r w:rsidR="003514C3">
        <w:rPr>
          <w:rFonts w:ascii="Calibri" w:eastAsia="Calibri" w:hAnsi="Calibri" w:cs="Calibri"/>
        </w:rPr>
        <w:t xml:space="preserve"> </w:t>
      </w:r>
      <w:r w:rsidR="00F35351">
        <w:rPr>
          <w:rFonts w:ascii="Calibri" w:eastAsia="Calibri" w:hAnsi="Calibri" w:cs="Calibri"/>
        </w:rPr>
        <w:t xml:space="preserve">it </w:t>
      </w:r>
      <w:r w:rsidR="0090758B" w:rsidRPr="0D83C6A9">
        <w:rPr>
          <w:rFonts w:ascii="Calibri" w:eastAsia="Calibri" w:hAnsi="Calibri" w:cs="Calibri"/>
        </w:rPr>
        <w:t>is</w:t>
      </w:r>
      <w:r w:rsidR="00F35351">
        <w:rPr>
          <w:rFonts w:ascii="Calibri" w:eastAsia="Calibri" w:hAnsi="Calibri" w:cs="Calibri"/>
        </w:rPr>
        <w:t xml:space="preserve"> useful to look at both type</w:t>
      </w:r>
      <w:r w:rsidR="001C6403">
        <w:rPr>
          <w:rFonts w:ascii="Calibri" w:eastAsia="Calibri" w:hAnsi="Calibri" w:cs="Calibri"/>
        </w:rPr>
        <w:t>s</w:t>
      </w:r>
      <w:r w:rsidR="00F35351">
        <w:rPr>
          <w:rFonts w:ascii="Calibri" w:eastAsia="Calibri" w:hAnsi="Calibri" w:cs="Calibri"/>
        </w:rPr>
        <w:t xml:space="preserve"> of financial resources.</w:t>
      </w:r>
    </w:p>
    <w:p w14:paraId="360A6369" w14:textId="0690C267" w:rsidR="00D256ED" w:rsidRDefault="00D256ED" w:rsidP="004B1105">
      <w:pPr>
        <w:spacing w:line="257" w:lineRule="auto"/>
        <w:ind w:left="360" w:right="-20"/>
        <w:rPr>
          <w:rFonts w:ascii="Calibri" w:eastAsia="Calibri" w:hAnsi="Calibri" w:cs="Calibri"/>
        </w:rPr>
      </w:pPr>
    </w:p>
    <w:p w14:paraId="14BAFB30" w14:textId="7C2A86F6" w:rsidR="00186179" w:rsidRDefault="00186179" w:rsidP="004B1105">
      <w:pPr>
        <w:spacing w:line="257" w:lineRule="auto"/>
        <w:ind w:left="360" w:right="-20"/>
        <w:rPr>
          <w:rFonts w:ascii="Calibri" w:eastAsia="Calibri" w:hAnsi="Calibri" w:cs="Calibri"/>
        </w:rPr>
      </w:pPr>
      <w:r w:rsidRPr="00186179">
        <w:rPr>
          <w:rFonts w:ascii="Calibri" w:eastAsia="Calibri" w:hAnsi="Calibri" w:cs="Calibri"/>
        </w:rPr>
        <w:t xml:space="preserve">Income </w:t>
      </w:r>
      <w:r w:rsidR="00FE7DA1">
        <w:rPr>
          <w:rFonts w:ascii="Calibri" w:eastAsia="Calibri" w:hAnsi="Calibri" w:cs="Calibri"/>
        </w:rPr>
        <w:t>and wealth are</w:t>
      </w:r>
      <w:r w:rsidRPr="00186179">
        <w:rPr>
          <w:rFonts w:ascii="Calibri" w:eastAsia="Calibri" w:hAnsi="Calibri" w:cs="Calibri"/>
        </w:rPr>
        <w:t xml:space="preserve"> particularly </w:t>
      </w:r>
      <w:r>
        <w:rPr>
          <w:rFonts w:ascii="Calibri" w:eastAsia="Calibri" w:hAnsi="Calibri" w:cs="Calibri"/>
        </w:rPr>
        <w:t>s</w:t>
      </w:r>
      <w:r w:rsidRPr="00186179">
        <w:rPr>
          <w:rFonts w:ascii="Calibri" w:eastAsia="Calibri" w:hAnsi="Calibri" w:cs="Calibri"/>
        </w:rPr>
        <w:t>trong indicator</w:t>
      </w:r>
      <w:r w:rsidR="00FE7DA1">
        <w:rPr>
          <w:rFonts w:ascii="Calibri" w:eastAsia="Calibri" w:hAnsi="Calibri" w:cs="Calibri"/>
        </w:rPr>
        <w:t>s</w:t>
      </w:r>
      <w:r w:rsidRPr="00186179">
        <w:rPr>
          <w:rFonts w:ascii="Calibri" w:eastAsia="Calibri" w:hAnsi="Calibri" w:cs="Calibri"/>
        </w:rPr>
        <w:t xml:space="preserve"> </w:t>
      </w:r>
      <w:r w:rsidR="006A6688" w:rsidRPr="4ED9D64F">
        <w:rPr>
          <w:rFonts w:ascii="Calibri" w:eastAsia="Calibri" w:hAnsi="Calibri" w:cs="Calibri"/>
        </w:rPr>
        <w:t>of</w:t>
      </w:r>
      <w:r w:rsidR="00381E07">
        <w:rPr>
          <w:rFonts w:ascii="Calibri" w:eastAsia="Calibri" w:hAnsi="Calibri" w:cs="Calibri"/>
        </w:rPr>
        <w:t xml:space="preserve"> </w:t>
      </w:r>
      <w:r w:rsidR="00D861CB">
        <w:rPr>
          <w:rFonts w:ascii="Calibri" w:eastAsia="Calibri" w:hAnsi="Calibri" w:cs="Calibri"/>
        </w:rPr>
        <w:t xml:space="preserve">college </w:t>
      </w:r>
      <w:r w:rsidR="00381E07">
        <w:rPr>
          <w:rFonts w:ascii="Calibri" w:eastAsia="Calibri" w:hAnsi="Calibri" w:cs="Calibri"/>
        </w:rPr>
        <w:t xml:space="preserve">enrollment </w:t>
      </w:r>
      <w:r w:rsidR="006A6688">
        <w:rPr>
          <w:rFonts w:ascii="Calibri" w:eastAsia="Calibri" w:hAnsi="Calibri" w:cs="Calibri"/>
        </w:rPr>
        <w:t xml:space="preserve">among </w:t>
      </w:r>
      <w:r w:rsidRPr="00186179">
        <w:rPr>
          <w:rFonts w:ascii="Calibri" w:eastAsia="Calibri" w:hAnsi="Calibri" w:cs="Calibri"/>
        </w:rPr>
        <w:t xml:space="preserve">White </w:t>
      </w:r>
      <w:r w:rsidR="183AAA8D" w:rsidRPr="5723EC0C">
        <w:rPr>
          <w:rFonts w:ascii="Calibri" w:eastAsia="Calibri" w:hAnsi="Calibri" w:cs="Calibri"/>
        </w:rPr>
        <w:t>individuals</w:t>
      </w:r>
      <w:r w:rsidR="00381E07">
        <w:rPr>
          <w:rFonts w:ascii="Calibri" w:eastAsia="Calibri" w:hAnsi="Calibri" w:cs="Calibri"/>
        </w:rPr>
        <w:t xml:space="preserve"> and </w:t>
      </w:r>
      <w:r w:rsidR="183AAA8D" w:rsidRPr="5723EC0C">
        <w:rPr>
          <w:rFonts w:ascii="Calibri" w:eastAsia="Calibri" w:hAnsi="Calibri" w:cs="Calibri"/>
        </w:rPr>
        <w:t>individuals</w:t>
      </w:r>
      <w:r w:rsidR="00381E07">
        <w:rPr>
          <w:rFonts w:ascii="Calibri" w:eastAsia="Calibri" w:hAnsi="Calibri" w:cs="Calibri"/>
        </w:rPr>
        <w:t xml:space="preserve"> of another race</w:t>
      </w:r>
      <w:r w:rsidRPr="00186179">
        <w:rPr>
          <w:rFonts w:ascii="Calibri" w:eastAsia="Calibri" w:hAnsi="Calibri" w:cs="Calibri"/>
        </w:rPr>
        <w:t xml:space="preserve">. </w:t>
      </w:r>
      <w:r w:rsidR="00297608">
        <w:rPr>
          <w:rFonts w:ascii="Calibri" w:eastAsia="Calibri" w:hAnsi="Calibri" w:cs="Calibri"/>
        </w:rPr>
        <w:t xml:space="preserve">These two groups </w:t>
      </w:r>
      <w:r w:rsidR="3597A351" w:rsidRPr="5723EC0C">
        <w:rPr>
          <w:rFonts w:ascii="Calibri" w:eastAsia="Calibri" w:hAnsi="Calibri" w:cs="Calibri"/>
        </w:rPr>
        <w:t>showed</w:t>
      </w:r>
      <w:r w:rsidR="00297608">
        <w:rPr>
          <w:rFonts w:ascii="Calibri" w:eastAsia="Calibri" w:hAnsi="Calibri" w:cs="Calibri"/>
        </w:rPr>
        <w:t xml:space="preserve"> the largest </w:t>
      </w:r>
      <w:r w:rsidR="3597A351" w:rsidRPr="5723EC0C">
        <w:rPr>
          <w:rFonts w:ascii="Calibri" w:eastAsia="Calibri" w:hAnsi="Calibri" w:cs="Calibri"/>
        </w:rPr>
        <w:t>differences</w:t>
      </w:r>
      <w:r w:rsidR="00C14FB7">
        <w:rPr>
          <w:rFonts w:ascii="Calibri" w:eastAsia="Calibri" w:hAnsi="Calibri" w:cs="Calibri"/>
        </w:rPr>
        <w:t xml:space="preserve"> in enrollment</w:t>
      </w:r>
      <w:r w:rsidR="00D42839">
        <w:rPr>
          <w:rFonts w:ascii="Calibri" w:eastAsia="Calibri" w:hAnsi="Calibri" w:cs="Calibri"/>
        </w:rPr>
        <w:t xml:space="preserve"> rates between </w:t>
      </w:r>
      <w:r w:rsidR="00C7682C">
        <w:rPr>
          <w:rFonts w:ascii="Calibri" w:eastAsia="Calibri" w:hAnsi="Calibri" w:cs="Calibri"/>
        </w:rPr>
        <w:t>the</w:t>
      </w:r>
      <w:r w:rsidR="00D42839">
        <w:rPr>
          <w:rFonts w:ascii="Calibri" w:eastAsia="Calibri" w:hAnsi="Calibri" w:cs="Calibri"/>
        </w:rPr>
        <w:t xml:space="preserve"> low- and high-income categories and between </w:t>
      </w:r>
      <w:r w:rsidR="00C7682C">
        <w:rPr>
          <w:rFonts w:ascii="Calibri" w:eastAsia="Calibri" w:hAnsi="Calibri" w:cs="Calibri"/>
        </w:rPr>
        <w:t xml:space="preserve">the </w:t>
      </w:r>
      <w:r w:rsidR="00D42839">
        <w:rPr>
          <w:rFonts w:ascii="Calibri" w:eastAsia="Calibri" w:hAnsi="Calibri" w:cs="Calibri"/>
        </w:rPr>
        <w:t xml:space="preserve">low- and high-wealth categories, compared </w:t>
      </w:r>
      <w:r w:rsidR="00DE6D48">
        <w:rPr>
          <w:rFonts w:ascii="Calibri" w:eastAsia="Calibri" w:hAnsi="Calibri" w:cs="Calibri"/>
        </w:rPr>
        <w:t>with</w:t>
      </w:r>
      <w:r w:rsidR="00D42839">
        <w:rPr>
          <w:rFonts w:ascii="Calibri" w:eastAsia="Calibri" w:hAnsi="Calibri" w:cs="Calibri"/>
        </w:rPr>
        <w:t xml:space="preserve"> Latinx and Black respondents.</w:t>
      </w:r>
      <w:r w:rsidR="00C14FB7">
        <w:rPr>
          <w:rFonts w:ascii="Calibri" w:eastAsia="Calibri" w:hAnsi="Calibri" w:cs="Calibri"/>
        </w:rPr>
        <w:t xml:space="preserve"> </w:t>
      </w:r>
      <w:r w:rsidR="00FE7DA1">
        <w:rPr>
          <w:rFonts w:ascii="Calibri" w:eastAsia="Calibri" w:hAnsi="Calibri" w:cs="Calibri"/>
        </w:rPr>
        <w:t xml:space="preserve">For example, </w:t>
      </w:r>
      <w:r w:rsidR="00A51CB8">
        <w:rPr>
          <w:rFonts w:ascii="Calibri" w:eastAsia="Calibri" w:hAnsi="Calibri" w:cs="Calibri"/>
        </w:rPr>
        <w:t xml:space="preserve">although </w:t>
      </w:r>
      <w:r w:rsidRPr="00186179">
        <w:rPr>
          <w:rFonts w:ascii="Calibri" w:eastAsia="Calibri" w:hAnsi="Calibri" w:cs="Calibri"/>
        </w:rPr>
        <w:t xml:space="preserve">White </w:t>
      </w:r>
      <w:r w:rsidR="1BF2A997" w:rsidRPr="5723EC0C">
        <w:rPr>
          <w:rFonts w:ascii="Calibri" w:eastAsia="Calibri" w:hAnsi="Calibri" w:cs="Calibri"/>
        </w:rPr>
        <w:t>respondents</w:t>
      </w:r>
      <w:r w:rsidRPr="00186179">
        <w:rPr>
          <w:rFonts w:ascii="Calibri" w:eastAsia="Calibri" w:hAnsi="Calibri" w:cs="Calibri"/>
        </w:rPr>
        <w:t xml:space="preserve"> from the </w:t>
      </w:r>
      <w:r w:rsidR="007F57ED" w:rsidRPr="00186179">
        <w:rPr>
          <w:rFonts w:ascii="Calibri" w:eastAsia="Calibri" w:hAnsi="Calibri" w:cs="Calibri"/>
        </w:rPr>
        <w:t>lowest</w:t>
      </w:r>
      <w:r w:rsidR="007F57ED">
        <w:rPr>
          <w:rFonts w:ascii="Calibri" w:eastAsia="Calibri" w:hAnsi="Calibri" w:cs="Calibri"/>
        </w:rPr>
        <w:t>-</w:t>
      </w:r>
      <w:r w:rsidRPr="00186179">
        <w:rPr>
          <w:rFonts w:ascii="Calibri" w:eastAsia="Calibri" w:hAnsi="Calibri" w:cs="Calibri"/>
        </w:rPr>
        <w:t>income group were the least likely race or ethnicity to attend college (50</w:t>
      </w:r>
      <w:r w:rsidR="00C7682C">
        <w:rPr>
          <w:rFonts w:ascii="Calibri" w:eastAsia="Calibri" w:hAnsi="Calibri" w:cs="Calibri"/>
        </w:rPr>
        <w:t xml:space="preserve"> percent</w:t>
      </w:r>
      <w:r w:rsidRPr="00186179">
        <w:rPr>
          <w:rFonts w:ascii="Calibri" w:eastAsia="Calibri" w:hAnsi="Calibri" w:cs="Calibri"/>
        </w:rPr>
        <w:t>)</w:t>
      </w:r>
      <w:r w:rsidR="00A51CB8">
        <w:rPr>
          <w:rFonts w:ascii="Calibri" w:eastAsia="Calibri" w:hAnsi="Calibri" w:cs="Calibri"/>
        </w:rPr>
        <w:t xml:space="preserve">, </w:t>
      </w:r>
      <w:r w:rsidRPr="00186179">
        <w:rPr>
          <w:rFonts w:ascii="Calibri" w:eastAsia="Calibri" w:hAnsi="Calibri" w:cs="Calibri"/>
        </w:rPr>
        <w:t xml:space="preserve">White </w:t>
      </w:r>
      <w:r w:rsidR="1BF2A997" w:rsidRPr="5723EC0C">
        <w:rPr>
          <w:rFonts w:ascii="Calibri" w:eastAsia="Calibri" w:hAnsi="Calibri" w:cs="Calibri"/>
        </w:rPr>
        <w:t>respondents</w:t>
      </w:r>
      <w:r w:rsidRPr="00186179">
        <w:rPr>
          <w:rFonts w:ascii="Calibri" w:eastAsia="Calibri" w:hAnsi="Calibri" w:cs="Calibri"/>
        </w:rPr>
        <w:t xml:space="preserve"> from the </w:t>
      </w:r>
      <w:r w:rsidR="007F57ED" w:rsidRPr="00186179">
        <w:rPr>
          <w:rFonts w:ascii="Calibri" w:eastAsia="Calibri" w:hAnsi="Calibri" w:cs="Calibri"/>
        </w:rPr>
        <w:t>highest</w:t>
      </w:r>
      <w:r w:rsidR="007F57ED">
        <w:rPr>
          <w:rFonts w:ascii="Calibri" w:eastAsia="Calibri" w:hAnsi="Calibri" w:cs="Calibri"/>
        </w:rPr>
        <w:t>-</w:t>
      </w:r>
      <w:r w:rsidRPr="00186179">
        <w:rPr>
          <w:rFonts w:ascii="Calibri" w:eastAsia="Calibri" w:hAnsi="Calibri" w:cs="Calibri"/>
        </w:rPr>
        <w:t>income group were the most likely to attend (90</w:t>
      </w:r>
      <w:r w:rsidR="00C7682C">
        <w:rPr>
          <w:rFonts w:ascii="Calibri" w:eastAsia="Calibri" w:hAnsi="Calibri" w:cs="Calibri"/>
        </w:rPr>
        <w:t xml:space="preserve"> percent</w:t>
      </w:r>
      <w:r w:rsidRPr="00186179">
        <w:rPr>
          <w:rFonts w:ascii="Calibri" w:eastAsia="Calibri" w:hAnsi="Calibri" w:cs="Calibri"/>
        </w:rPr>
        <w:t xml:space="preserve">). </w:t>
      </w:r>
    </w:p>
    <w:p w14:paraId="598B55A5" w14:textId="77777777" w:rsidR="00880077" w:rsidRDefault="00880077" w:rsidP="004B1105">
      <w:pPr>
        <w:spacing w:line="257" w:lineRule="auto"/>
        <w:ind w:left="360" w:right="-20"/>
        <w:rPr>
          <w:rFonts w:ascii="Calibri" w:eastAsia="Calibri" w:hAnsi="Calibri" w:cs="Calibri"/>
        </w:rPr>
      </w:pPr>
    </w:p>
    <w:p w14:paraId="5607B7C6" w14:textId="1D834307" w:rsidR="00F0099B" w:rsidRPr="0065640B" w:rsidRDefault="008F43CA" w:rsidP="004B1105">
      <w:pPr>
        <w:pStyle w:val="Heading4"/>
        <w:ind w:left="360"/>
      </w:pPr>
      <w:r>
        <w:t xml:space="preserve">Individuals </w:t>
      </w:r>
      <w:r w:rsidR="451DD308">
        <w:t>with both</w:t>
      </w:r>
      <w:r w:rsidR="005E0830">
        <w:t xml:space="preserve"> </w:t>
      </w:r>
      <w:r>
        <w:t>l</w:t>
      </w:r>
      <w:r w:rsidR="009C632D">
        <w:t>ow</w:t>
      </w:r>
      <w:r w:rsidR="00F002BD">
        <w:t xml:space="preserve"> </w:t>
      </w:r>
      <w:r w:rsidR="009C632D">
        <w:t>income</w:t>
      </w:r>
      <w:r w:rsidR="2FD28862">
        <w:t>s</w:t>
      </w:r>
      <w:r w:rsidR="009C632D">
        <w:t xml:space="preserve"> and low</w:t>
      </w:r>
      <w:r w:rsidR="00F002BD">
        <w:t xml:space="preserve"> </w:t>
      </w:r>
      <w:r w:rsidR="009C632D">
        <w:t>wealth</w:t>
      </w:r>
      <w:r w:rsidR="00401B82">
        <w:t xml:space="preserve"> </w:t>
      </w:r>
      <w:r>
        <w:t xml:space="preserve">are the least likely to </w:t>
      </w:r>
      <w:r w:rsidR="4F59F5AA">
        <w:t>enroll in</w:t>
      </w:r>
      <w:r w:rsidR="00401B82">
        <w:t xml:space="preserve"> college</w:t>
      </w:r>
      <w:r w:rsidR="00D91D46">
        <w:t xml:space="preserve">, while </w:t>
      </w:r>
      <w:r w:rsidR="49475B69">
        <w:t>those with</w:t>
      </w:r>
      <w:r w:rsidR="1B5931FA">
        <w:t xml:space="preserve"> </w:t>
      </w:r>
      <w:r w:rsidR="00497D52">
        <w:t>high income</w:t>
      </w:r>
      <w:r w:rsidR="00AD5C7F">
        <w:t>s</w:t>
      </w:r>
      <w:r w:rsidR="00497D52">
        <w:t xml:space="preserve"> </w:t>
      </w:r>
      <w:r w:rsidR="003D3D3C">
        <w:t xml:space="preserve">or high wealth </w:t>
      </w:r>
      <w:r w:rsidR="56F43872">
        <w:t>are more likely to enroll</w:t>
      </w:r>
      <w:r w:rsidR="279EA0A6">
        <w:t>.</w:t>
      </w:r>
    </w:p>
    <w:p w14:paraId="73696F2B" w14:textId="77777777" w:rsidR="00F0099B" w:rsidRPr="0065640B" w:rsidRDefault="00F0099B" w:rsidP="004B1105">
      <w:pPr>
        <w:pStyle w:val="NoSpacing"/>
        <w:ind w:left="360"/>
      </w:pPr>
    </w:p>
    <w:p w14:paraId="3E7CE353" w14:textId="65AC463F" w:rsidR="009A436D" w:rsidRDefault="2B634E3D" w:rsidP="004B1105">
      <w:pPr>
        <w:ind w:left="360" w:right="-20"/>
        <w:rPr>
          <w:rFonts w:ascii="Calibri" w:eastAsia="Calibri" w:hAnsi="Calibri" w:cs="Calibri"/>
        </w:rPr>
      </w:pPr>
      <w:r w:rsidRPr="1CC86497">
        <w:rPr>
          <w:rFonts w:ascii="Calibri" w:eastAsia="Calibri" w:hAnsi="Calibri" w:cs="Calibri"/>
        </w:rPr>
        <w:t xml:space="preserve">Income and wealth can </w:t>
      </w:r>
      <w:r w:rsidR="616C94B9" w:rsidRPr="1CC86497">
        <w:rPr>
          <w:rFonts w:ascii="Calibri" w:eastAsia="Calibri" w:hAnsi="Calibri" w:cs="Calibri"/>
        </w:rPr>
        <w:t>mitigat</w:t>
      </w:r>
      <w:r w:rsidR="7D1BA379">
        <w:rPr>
          <w:rFonts w:ascii="Calibri" w:eastAsia="Calibri" w:hAnsi="Calibri" w:cs="Calibri"/>
        </w:rPr>
        <w:t>e</w:t>
      </w:r>
      <w:r w:rsidRPr="1CC86497">
        <w:rPr>
          <w:rFonts w:ascii="Calibri" w:eastAsia="Calibri" w:hAnsi="Calibri" w:cs="Calibri"/>
        </w:rPr>
        <w:t xml:space="preserve"> or </w:t>
      </w:r>
      <w:r w:rsidR="616C94B9" w:rsidRPr="1CC86497">
        <w:rPr>
          <w:rFonts w:ascii="Calibri" w:eastAsia="Calibri" w:hAnsi="Calibri" w:cs="Calibri"/>
        </w:rPr>
        <w:t>exacerbat</w:t>
      </w:r>
      <w:r w:rsidR="7D1BA379">
        <w:rPr>
          <w:rFonts w:ascii="Calibri" w:eastAsia="Calibri" w:hAnsi="Calibri" w:cs="Calibri"/>
        </w:rPr>
        <w:t>e</w:t>
      </w:r>
      <w:r w:rsidRPr="1CC86497">
        <w:rPr>
          <w:rFonts w:ascii="Calibri" w:eastAsia="Calibri" w:hAnsi="Calibri" w:cs="Calibri"/>
        </w:rPr>
        <w:t xml:space="preserve"> the other’s </w:t>
      </w:r>
      <w:r w:rsidR="435265F2" w:rsidRPr="1CC86497">
        <w:rPr>
          <w:rFonts w:ascii="Calibri" w:eastAsia="Calibri" w:hAnsi="Calibri" w:cs="Calibri"/>
        </w:rPr>
        <w:t xml:space="preserve">relationship </w:t>
      </w:r>
      <w:r w:rsidR="00D47E87">
        <w:rPr>
          <w:rFonts w:ascii="Calibri" w:eastAsia="Calibri" w:hAnsi="Calibri" w:cs="Calibri"/>
        </w:rPr>
        <w:t>to</w:t>
      </w:r>
      <w:r w:rsidR="00D47E87" w:rsidRPr="1CC86497">
        <w:rPr>
          <w:rFonts w:ascii="Calibri" w:eastAsia="Calibri" w:hAnsi="Calibri" w:cs="Calibri"/>
        </w:rPr>
        <w:t xml:space="preserve"> </w:t>
      </w:r>
      <w:r w:rsidR="02032143" w:rsidRPr="1CC86497">
        <w:rPr>
          <w:rFonts w:ascii="Calibri" w:eastAsia="Calibri" w:hAnsi="Calibri" w:cs="Calibri"/>
        </w:rPr>
        <w:t>enrollment</w:t>
      </w:r>
      <w:r w:rsidRPr="1CC86497">
        <w:rPr>
          <w:rFonts w:ascii="Calibri" w:eastAsia="Calibri" w:hAnsi="Calibri" w:cs="Calibri"/>
        </w:rPr>
        <w:t xml:space="preserve">. </w:t>
      </w:r>
      <w:r w:rsidR="009F6DA2">
        <w:rPr>
          <w:rFonts w:ascii="Calibri" w:eastAsia="Calibri" w:hAnsi="Calibri" w:cs="Calibri"/>
        </w:rPr>
        <w:t xml:space="preserve">To examine the interplay between wealth and income, </w:t>
      </w:r>
      <w:r w:rsidR="00C03480">
        <w:rPr>
          <w:rFonts w:ascii="Calibri" w:eastAsia="Calibri" w:hAnsi="Calibri" w:cs="Calibri"/>
        </w:rPr>
        <w:t>this analysis b</w:t>
      </w:r>
      <w:r w:rsidR="005016D7">
        <w:rPr>
          <w:rFonts w:ascii="Calibri" w:eastAsia="Calibri" w:hAnsi="Calibri" w:cs="Calibri"/>
        </w:rPr>
        <w:t>reaks out</w:t>
      </w:r>
      <w:r w:rsidR="00834714">
        <w:rPr>
          <w:rFonts w:ascii="Calibri" w:eastAsia="Calibri" w:hAnsi="Calibri" w:cs="Calibri"/>
        </w:rPr>
        <w:t xml:space="preserve"> </w:t>
      </w:r>
      <w:r w:rsidR="004E74AC">
        <w:rPr>
          <w:rFonts w:ascii="Calibri" w:eastAsia="Calibri" w:hAnsi="Calibri" w:cs="Calibri"/>
        </w:rPr>
        <w:t xml:space="preserve">respondents </w:t>
      </w:r>
      <w:r w:rsidR="001F7D7B">
        <w:rPr>
          <w:rFonts w:ascii="Calibri" w:eastAsia="Calibri" w:hAnsi="Calibri" w:cs="Calibri"/>
        </w:rPr>
        <w:t>by both income group and wealth group (</w:t>
      </w:r>
      <w:r w:rsidR="00EC2915">
        <w:rPr>
          <w:rFonts w:ascii="Calibri" w:eastAsia="Calibri" w:hAnsi="Calibri" w:cs="Calibri"/>
        </w:rPr>
        <w:fldChar w:fldCharType="begin"/>
      </w:r>
      <w:r w:rsidR="00EC2915">
        <w:rPr>
          <w:rFonts w:ascii="Calibri" w:eastAsia="Calibri" w:hAnsi="Calibri" w:cs="Calibri"/>
        </w:rPr>
        <w:instrText xml:space="preserve"> REF _Ref153959472 \h </w:instrText>
      </w:r>
      <w:r w:rsidR="004B1105">
        <w:rPr>
          <w:rFonts w:ascii="Calibri" w:eastAsia="Calibri" w:hAnsi="Calibri" w:cs="Calibri"/>
        </w:rPr>
        <w:instrText xml:space="preserve"> \* MERGEFORMAT </w:instrText>
      </w:r>
      <w:r w:rsidR="00EC2915">
        <w:rPr>
          <w:rFonts w:ascii="Calibri" w:eastAsia="Calibri" w:hAnsi="Calibri" w:cs="Calibri"/>
        </w:rPr>
      </w:r>
      <w:r w:rsidR="00EC2915">
        <w:rPr>
          <w:rFonts w:ascii="Calibri" w:eastAsia="Calibri" w:hAnsi="Calibri" w:cs="Calibri"/>
        </w:rPr>
        <w:fldChar w:fldCharType="separate"/>
      </w:r>
      <w:r w:rsidR="00932B97" w:rsidRPr="0010735C">
        <w:rPr>
          <w:b/>
          <w:bCs/>
        </w:rPr>
        <w:t xml:space="preserve">Table </w:t>
      </w:r>
      <w:r w:rsidR="00932B97">
        <w:rPr>
          <w:b/>
          <w:bCs/>
        </w:rPr>
        <w:t>5</w:t>
      </w:r>
      <w:r w:rsidR="00EC2915">
        <w:rPr>
          <w:rFonts w:ascii="Calibri" w:eastAsia="Calibri" w:hAnsi="Calibri" w:cs="Calibri"/>
        </w:rPr>
        <w:fldChar w:fldCharType="end"/>
      </w:r>
      <w:r w:rsidR="001F7D7B">
        <w:rPr>
          <w:rFonts w:ascii="Calibri" w:eastAsia="Calibri" w:hAnsi="Calibri" w:cs="Calibri"/>
        </w:rPr>
        <w:t>)</w:t>
      </w:r>
      <w:r w:rsidR="00F0099B">
        <w:rPr>
          <w:rFonts w:ascii="Calibri" w:eastAsia="Calibri" w:hAnsi="Calibri" w:cs="Calibri"/>
        </w:rPr>
        <w:t xml:space="preserve">. For </w:t>
      </w:r>
      <w:r w:rsidR="5F52F5FB">
        <w:rPr>
          <w:rFonts w:ascii="Calibri" w:eastAsia="Calibri" w:hAnsi="Calibri" w:cs="Calibri"/>
        </w:rPr>
        <w:t>instance</w:t>
      </w:r>
      <w:r w:rsidR="00F0099B">
        <w:rPr>
          <w:rFonts w:ascii="Calibri" w:eastAsia="Calibri" w:hAnsi="Calibri" w:cs="Calibri"/>
        </w:rPr>
        <w:t>, a respondent might be in the lowest</w:t>
      </w:r>
      <w:r w:rsidR="005F5B60">
        <w:rPr>
          <w:rFonts w:ascii="Calibri" w:eastAsia="Calibri" w:hAnsi="Calibri" w:cs="Calibri"/>
        </w:rPr>
        <w:t>-</w:t>
      </w:r>
      <w:r w:rsidR="00F0099B">
        <w:rPr>
          <w:rFonts w:ascii="Calibri" w:eastAsia="Calibri" w:hAnsi="Calibri" w:cs="Calibri"/>
        </w:rPr>
        <w:t>income and highest</w:t>
      </w:r>
      <w:r w:rsidR="005F5B60">
        <w:rPr>
          <w:rFonts w:ascii="Calibri" w:eastAsia="Calibri" w:hAnsi="Calibri" w:cs="Calibri"/>
        </w:rPr>
        <w:t>-</w:t>
      </w:r>
      <w:r w:rsidR="00F0099B">
        <w:rPr>
          <w:rFonts w:ascii="Calibri" w:eastAsia="Calibri" w:hAnsi="Calibri" w:cs="Calibri"/>
        </w:rPr>
        <w:t>wealth group, or the middle-income and lowest</w:t>
      </w:r>
      <w:r w:rsidR="005F5B60">
        <w:rPr>
          <w:rFonts w:ascii="Calibri" w:eastAsia="Calibri" w:hAnsi="Calibri" w:cs="Calibri"/>
        </w:rPr>
        <w:t>-</w:t>
      </w:r>
      <w:r w:rsidR="00F0099B">
        <w:rPr>
          <w:rFonts w:ascii="Calibri" w:eastAsia="Calibri" w:hAnsi="Calibri" w:cs="Calibri"/>
        </w:rPr>
        <w:t xml:space="preserve">wealth group. </w:t>
      </w:r>
    </w:p>
    <w:p w14:paraId="023588E3" w14:textId="77777777" w:rsidR="009A436D" w:rsidRDefault="009A436D" w:rsidP="004B1105">
      <w:pPr>
        <w:ind w:left="360" w:right="-20"/>
        <w:rPr>
          <w:rFonts w:ascii="Calibri" w:eastAsia="Calibri" w:hAnsi="Calibri" w:cs="Calibri"/>
        </w:rPr>
      </w:pPr>
    </w:p>
    <w:p w14:paraId="7C2C85C5" w14:textId="453823A7" w:rsidR="002F7D39" w:rsidRDefault="001F7D7B" w:rsidP="004B1105">
      <w:pPr>
        <w:ind w:left="360" w:right="-20"/>
        <w:rPr>
          <w:rFonts w:ascii="Calibri" w:eastAsia="Calibri" w:hAnsi="Calibri" w:cs="Calibri"/>
        </w:rPr>
      </w:pPr>
      <w:r>
        <w:rPr>
          <w:rFonts w:ascii="Calibri" w:eastAsia="Calibri" w:hAnsi="Calibri" w:cs="Calibri"/>
        </w:rPr>
        <w:t>R</w:t>
      </w:r>
      <w:r w:rsidRPr="067FA4F0">
        <w:rPr>
          <w:rFonts w:ascii="Calibri" w:eastAsia="Calibri" w:hAnsi="Calibri" w:cs="Calibri"/>
        </w:rPr>
        <w:t xml:space="preserve">espondents </w:t>
      </w:r>
      <w:r w:rsidR="00401CB7" w:rsidRPr="29AB5009">
        <w:rPr>
          <w:rFonts w:ascii="Calibri" w:eastAsia="Calibri" w:hAnsi="Calibri" w:cs="Calibri"/>
        </w:rPr>
        <w:t>in</w:t>
      </w:r>
      <w:r w:rsidRPr="067FA4F0">
        <w:rPr>
          <w:rFonts w:ascii="Calibri" w:eastAsia="Calibri" w:hAnsi="Calibri" w:cs="Calibri"/>
        </w:rPr>
        <w:t xml:space="preserve"> both the lowest</w:t>
      </w:r>
      <w:r w:rsidR="005F5B60">
        <w:rPr>
          <w:rFonts w:ascii="Calibri" w:eastAsia="Calibri" w:hAnsi="Calibri" w:cs="Calibri"/>
        </w:rPr>
        <w:t>-</w:t>
      </w:r>
      <w:r w:rsidRPr="067FA4F0">
        <w:rPr>
          <w:rFonts w:ascii="Calibri" w:eastAsia="Calibri" w:hAnsi="Calibri" w:cs="Calibri"/>
        </w:rPr>
        <w:t>income and lowest</w:t>
      </w:r>
      <w:r w:rsidR="005F5B60">
        <w:rPr>
          <w:rFonts w:ascii="Calibri" w:eastAsia="Calibri" w:hAnsi="Calibri" w:cs="Calibri"/>
        </w:rPr>
        <w:t>-</w:t>
      </w:r>
      <w:r w:rsidRPr="067FA4F0">
        <w:rPr>
          <w:rFonts w:ascii="Calibri" w:eastAsia="Calibri" w:hAnsi="Calibri" w:cs="Calibri"/>
        </w:rPr>
        <w:t xml:space="preserve">wealth groups generally had lower </w:t>
      </w:r>
      <w:r w:rsidR="3E938D89" w:rsidRPr="6EFFF496">
        <w:rPr>
          <w:rFonts w:ascii="Calibri" w:eastAsia="Calibri" w:hAnsi="Calibri" w:cs="Calibri"/>
        </w:rPr>
        <w:t>enrollment</w:t>
      </w:r>
      <w:r w:rsidRPr="067FA4F0">
        <w:rPr>
          <w:rFonts w:ascii="Calibri" w:eastAsia="Calibri" w:hAnsi="Calibri" w:cs="Calibri"/>
        </w:rPr>
        <w:t xml:space="preserve"> rates </w:t>
      </w:r>
      <w:r w:rsidRPr="1CADD784">
        <w:rPr>
          <w:rFonts w:ascii="Calibri" w:eastAsia="Calibri" w:hAnsi="Calibri" w:cs="Calibri"/>
        </w:rPr>
        <w:t xml:space="preserve">than members of just one of those groups. </w:t>
      </w:r>
      <w:r w:rsidR="003A42FC">
        <w:rPr>
          <w:rFonts w:ascii="Calibri" w:eastAsia="Calibri" w:hAnsi="Calibri" w:cs="Calibri"/>
        </w:rPr>
        <w:t>For example</w:t>
      </w:r>
      <w:r w:rsidR="00CD52C4">
        <w:rPr>
          <w:rFonts w:ascii="Calibri" w:eastAsia="Calibri" w:hAnsi="Calibri" w:cs="Calibri"/>
        </w:rPr>
        <w:t xml:space="preserve">, </w:t>
      </w:r>
      <w:r w:rsidR="0003017E">
        <w:rPr>
          <w:rFonts w:ascii="Calibri" w:eastAsia="Calibri" w:hAnsi="Calibri" w:cs="Calibri"/>
        </w:rPr>
        <w:t>Black respondents</w:t>
      </w:r>
      <w:r w:rsidR="009A436D">
        <w:rPr>
          <w:rFonts w:ascii="Calibri" w:eastAsia="Calibri" w:hAnsi="Calibri" w:cs="Calibri"/>
        </w:rPr>
        <w:t xml:space="preserve"> </w:t>
      </w:r>
      <w:r w:rsidR="00795B6A">
        <w:rPr>
          <w:rFonts w:ascii="Calibri" w:eastAsia="Calibri" w:hAnsi="Calibri" w:cs="Calibri"/>
        </w:rPr>
        <w:t xml:space="preserve">with the lowest </w:t>
      </w:r>
      <w:r w:rsidR="00795B6A">
        <w:rPr>
          <w:rFonts w:ascii="Calibri" w:eastAsia="Calibri" w:hAnsi="Calibri" w:cs="Calibri"/>
        </w:rPr>
        <w:lastRenderedPageBreak/>
        <w:t xml:space="preserve">incomes and lowest wealth </w:t>
      </w:r>
      <w:r w:rsidR="009A436D">
        <w:rPr>
          <w:rFonts w:ascii="Calibri" w:eastAsia="Calibri" w:hAnsi="Calibri" w:cs="Calibri"/>
        </w:rPr>
        <w:t>were</w:t>
      </w:r>
      <w:r w:rsidR="00BB1CC4">
        <w:rPr>
          <w:rFonts w:ascii="Calibri" w:eastAsia="Calibri" w:hAnsi="Calibri" w:cs="Calibri"/>
        </w:rPr>
        <w:t xml:space="preserve"> much</w:t>
      </w:r>
      <w:r w:rsidR="009A436D">
        <w:rPr>
          <w:rFonts w:ascii="Calibri" w:eastAsia="Calibri" w:hAnsi="Calibri" w:cs="Calibri"/>
        </w:rPr>
        <w:t xml:space="preserve"> less likely to attend college (49 percent) than </w:t>
      </w:r>
      <w:r w:rsidR="00595D31">
        <w:rPr>
          <w:rFonts w:ascii="Calibri" w:eastAsia="Calibri" w:hAnsi="Calibri" w:cs="Calibri"/>
        </w:rPr>
        <w:t>Black respondents</w:t>
      </w:r>
      <w:r w:rsidR="00795B6A">
        <w:rPr>
          <w:rFonts w:ascii="Calibri" w:eastAsia="Calibri" w:hAnsi="Calibri" w:cs="Calibri"/>
        </w:rPr>
        <w:t xml:space="preserve"> with the lowest incomes and highest wealth (</w:t>
      </w:r>
      <w:r w:rsidR="00A25A53">
        <w:rPr>
          <w:rFonts w:ascii="Calibri" w:eastAsia="Calibri" w:hAnsi="Calibri" w:cs="Calibri"/>
        </w:rPr>
        <w:t>8</w:t>
      </w:r>
      <w:r w:rsidR="008E0D37">
        <w:rPr>
          <w:rFonts w:ascii="Calibri" w:eastAsia="Calibri" w:hAnsi="Calibri" w:cs="Calibri"/>
        </w:rPr>
        <w:t>3</w:t>
      </w:r>
      <w:r w:rsidR="00A25A53">
        <w:rPr>
          <w:rFonts w:ascii="Calibri" w:eastAsia="Calibri" w:hAnsi="Calibri" w:cs="Calibri"/>
        </w:rPr>
        <w:t xml:space="preserve"> percent) and those with </w:t>
      </w:r>
      <w:r w:rsidR="00A10B3A">
        <w:rPr>
          <w:rFonts w:ascii="Calibri" w:eastAsia="Calibri" w:hAnsi="Calibri" w:cs="Calibri"/>
        </w:rPr>
        <w:t xml:space="preserve">middle incomes and </w:t>
      </w:r>
      <w:r w:rsidR="00A55FC9">
        <w:rPr>
          <w:rFonts w:ascii="Calibri" w:eastAsia="Calibri" w:hAnsi="Calibri" w:cs="Calibri"/>
        </w:rPr>
        <w:t>lowest wealth (77 percent).</w:t>
      </w:r>
      <w:r w:rsidR="00595D31">
        <w:rPr>
          <w:rFonts w:ascii="Calibri" w:eastAsia="Calibri" w:hAnsi="Calibri" w:cs="Calibri"/>
        </w:rPr>
        <w:t xml:space="preserve"> </w:t>
      </w:r>
    </w:p>
    <w:p w14:paraId="6FCE0AAE" w14:textId="77777777" w:rsidR="002F7D39" w:rsidRDefault="002F7D39" w:rsidP="004B1105">
      <w:pPr>
        <w:ind w:left="360" w:right="-20"/>
        <w:rPr>
          <w:rFonts w:ascii="Calibri" w:eastAsia="Calibri" w:hAnsi="Calibri" w:cs="Calibri"/>
        </w:rPr>
      </w:pPr>
    </w:p>
    <w:p w14:paraId="7BABA495" w14:textId="2C4F0B9B" w:rsidR="00F0099B" w:rsidRDefault="14F3C5BE" w:rsidP="004B1105">
      <w:pPr>
        <w:ind w:left="360" w:right="-20"/>
        <w:rPr>
          <w:rFonts w:ascii="Calibri" w:eastAsia="Calibri" w:hAnsi="Calibri" w:cs="Calibri"/>
        </w:rPr>
      </w:pPr>
      <w:r w:rsidRPr="22C2C0E4">
        <w:rPr>
          <w:rFonts w:ascii="Calibri" w:eastAsia="Calibri" w:hAnsi="Calibri" w:cs="Calibri"/>
        </w:rPr>
        <w:t>T</w:t>
      </w:r>
      <w:r w:rsidR="002F7D39" w:rsidRPr="22C2C0E4">
        <w:rPr>
          <w:rFonts w:ascii="Calibri" w:eastAsia="Calibri" w:hAnsi="Calibri" w:cs="Calibri"/>
        </w:rPr>
        <w:t>he</w:t>
      </w:r>
      <w:r w:rsidR="00C509CD">
        <w:rPr>
          <w:rFonts w:ascii="Calibri" w:eastAsia="Calibri" w:hAnsi="Calibri" w:cs="Calibri"/>
        </w:rPr>
        <w:t xml:space="preserve"> data </w:t>
      </w:r>
      <w:r w:rsidR="007678AC">
        <w:rPr>
          <w:rFonts w:ascii="Calibri" w:eastAsia="Calibri" w:hAnsi="Calibri" w:cs="Calibri"/>
        </w:rPr>
        <w:t>suggest</w:t>
      </w:r>
      <w:r w:rsidR="00C509CD">
        <w:rPr>
          <w:rFonts w:ascii="Calibri" w:eastAsia="Calibri" w:hAnsi="Calibri" w:cs="Calibri"/>
        </w:rPr>
        <w:t xml:space="preserve"> that </w:t>
      </w:r>
      <w:r w:rsidR="5809AD13" w:rsidRPr="5E154477">
        <w:rPr>
          <w:rFonts w:ascii="Calibri" w:eastAsia="Calibri" w:hAnsi="Calibri" w:cs="Calibri"/>
        </w:rPr>
        <w:t>having a</w:t>
      </w:r>
      <w:r w:rsidRPr="5E154477" w:rsidDel="14F3C5BE">
        <w:rPr>
          <w:rFonts w:ascii="Calibri" w:eastAsia="Calibri" w:hAnsi="Calibri" w:cs="Calibri"/>
        </w:rPr>
        <w:t xml:space="preserve"> </w:t>
      </w:r>
      <w:r w:rsidR="00A603DB">
        <w:rPr>
          <w:rFonts w:ascii="Calibri" w:eastAsia="Calibri" w:hAnsi="Calibri" w:cs="Calibri"/>
        </w:rPr>
        <w:t xml:space="preserve">high income can </w:t>
      </w:r>
      <w:r w:rsidR="34A65BB0" w:rsidRPr="22C2C0E4">
        <w:rPr>
          <w:rFonts w:ascii="Calibri" w:eastAsia="Calibri" w:hAnsi="Calibri" w:cs="Calibri"/>
        </w:rPr>
        <w:t>buffer</w:t>
      </w:r>
      <w:r w:rsidR="00A603DB">
        <w:rPr>
          <w:rFonts w:ascii="Calibri" w:eastAsia="Calibri" w:hAnsi="Calibri" w:cs="Calibri"/>
        </w:rPr>
        <w:t xml:space="preserve"> the </w:t>
      </w:r>
      <w:r w:rsidR="1493DA47" w:rsidRPr="5E154477">
        <w:rPr>
          <w:rFonts w:ascii="Calibri" w:eastAsia="Calibri" w:hAnsi="Calibri" w:cs="Calibri"/>
        </w:rPr>
        <w:t xml:space="preserve">negative </w:t>
      </w:r>
      <w:r w:rsidR="002F7D39">
        <w:rPr>
          <w:rFonts w:ascii="Calibri" w:eastAsia="Calibri" w:hAnsi="Calibri" w:cs="Calibri"/>
        </w:rPr>
        <w:t xml:space="preserve">effect of </w:t>
      </w:r>
      <w:r w:rsidR="00CD3303">
        <w:rPr>
          <w:rFonts w:ascii="Calibri" w:eastAsia="Calibri" w:hAnsi="Calibri" w:cs="Calibri"/>
        </w:rPr>
        <w:t>having</w:t>
      </w:r>
      <w:r w:rsidR="002F7D39">
        <w:rPr>
          <w:rFonts w:ascii="Calibri" w:eastAsia="Calibri" w:hAnsi="Calibri" w:cs="Calibri"/>
        </w:rPr>
        <w:t xml:space="preserve"> low wealth, and </w:t>
      </w:r>
      <w:r w:rsidR="00124A27">
        <w:rPr>
          <w:rFonts w:ascii="Calibri" w:eastAsia="Calibri" w:hAnsi="Calibri" w:cs="Calibri"/>
        </w:rPr>
        <w:t xml:space="preserve">having </w:t>
      </w:r>
      <w:r w:rsidR="002F7D39">
        <w:rPr>
          <w:rFonts w:ascii="Calibri" w:eastAsia="Calibri" w:hAnsi="Calibri" w:cs="Calibri"/>
        </w:rPr>
        <w:t xml:space="preserve">high wealth can protect against the effect of </w:t>
      </w:r>
      <w:r w:rsidR="000F6614">
        <w:rPr>
          <w:rFonts w:ascii="Calibri" w:eastAsia="Calibri" w:hAnsi="Calibri" w:cs="Calibri"/>
        </w:rPr>
        <w:t>having a</w:t>
      </w:r>
      <w:r w:rsidR="002F7D39">
        <w:rPr>
          <w:rFonts w:ascii="Calibri" w:eastAsia="Calibri" w:hAnsi="Calibri" w:cs="Calibri"/>
        </w:rPr>
        <w:t xml:space="preserve"> low income.</w:t>
      </w:r>
      <w:r w:rsidR="00FC6CB4">
        <w:rPr>
          <w:rFonts w:ascii="Calibri" w:eastAsia="Calibri" w:hAnsi="Calibri" w:cs="Calibri"/>
        </w:rPr>
        <w:t xml:space="preserve"> </w:t>
      </w:r>
      <w:r w:rsidR="00C15762">
        <w:rPr>
          <w:rFonts w:ascii="Calibri" w:eastAsia="Calibri" w:hAnsi="Calibri" w:cs="Calibri"/>
        </w:rPr>
        <w:t>A</w:t>
      </w:r>
      <w:r w:rsidR="00F0099B" w:rsidRPr="00B72FC6">
        <w:rPr>
          <w:rFonts w:ascii="Calibri" w:eastAsia="Calibri" w:hAnsi="Calibri" w:cs="Calibri"/>
        </w:rPr>
        <w:t>cross all races</w:t>
      </w:r>
      <w:r w:rsidR="00F0099B">
        <w:rPr>
          <w:rFonts w:ascii="Calibri" w:eastAsia="Calibri" w:hAnsi="Calibri" w:cs="Calibri"/>
        </w:rPr>
        <w:t xml:space="preserve"> and </w:t>
      </w:r>
      <w:r w:rsidR="00F0099B" w:rsidRPr="00B72FC6">
        <w:rPr>
          <w:rFonts w:ascii="Calibri" w:eastAsia="Calibri" w:hAnsi="Calibri" w:cs="Calibri"/>
        </w:rPr>
        <w:t xml:space="preserve">ethnicities, respondents who were </w:t>
      </w:r>
      <w:r w:rsidR="007371B6" w:rsidRPr="00B72FC6">
        <w:rPr>
          <w:rFonts w:ascii="Calibri" w:eastAsia="Calibri" w:hAnsi="Calibri" w:cs="Calibri"/>
        </w:rPr>
        <w:t>high</w:t>
      </w:r>
      <w:r w:rsidR="007371B6">
        <w:rPr>
          <w:rFonts w:ascii="Calibri" w:eastAsia="Calibri" w:hAnsi="Calibri" w:cs="Calibri"/>
        </w:rPr>
        <w:t>-</w:t>
      </w:r>
      <w:r w:rsidR="00F0099B" w:rsidRPr="00B72FC6">
        <w:rPr>
          <w:rFonts w:ascii="Calibri" w:eastAsia="Calibri" w:hAnsi="Calibri" w:cs="Calibri"/>
        </w:rPr>
        <w:t xml:space="preserve">income (regardless of wealth), </w:t>
      </w:r>
      <w:r w:rsidR="007371B6" w:rsidRPr="00B72FC6">
        <w:rPr>
          <w:rFonts w:ascii="Calibri" w:eastAsia="Calibri" w:hAnsi="Calibri" w:cs="Calibri"/>
        </w:rPr>
        <w:t>high</w:t>
      </w:r>
      <w:r w:rsidR="007371B6">
        <w:rPr>
          <w:rFonts w:ascii="Calibri" w:eastAsia="Calibri" w:hAnsi="Calibri" w:cs="Calibri"/>
        </w:rPr>
        <w:t>-</w:t>
      </w:r>
      <w:r w:rsidR="00F0099B" w:rsidRPr="00B72FC6">
        <w:rPr>
          <w:rFonts w:ascii="Calibri" w:eastAsia="Calibri" w:hAnsi="Calibri" w:cs="Calibri"/>
        </w:rPr>
        <w:t xml:space="preserve">wealth (regardless of income), or both </w:t>
      </w:r>
      <w:r w:rsidR="007371B6" w:rsidRPr="00B72FC6">
        <w:rPr>
          <w:rFonts w:ascii="Calibri" w:eastAsia="Calibri" w:hAnsi="Calibri" w:cs="Calibri"/>
        </w:rPr>
        <w:t>high</w:t>
      </w:r>
      <w:r w:rsidR="007371B6">
        <w:rPr>
          <w:rFonts w:ascii="Calibri" w:eastAsia="Calibri" w:hAnsi="Calibri" w:cs="Calibri"/>
        </w:rPr>
        <w:t>-</w:t>
      </w:r>
      <w:r w:rsidR="00F0099B" w:rsidRPr="00B72FC6">
        <w:rPr>
          <w:rFonts w:ascii="Calibri" w:eastAsia="Calibri" w:hAnsi="Calibri" w:cs="Calibri"/>
        </w:rPr>
        <w:t xml:space="preserve">income and </w:t>
      </w:r>
      <w:r w:rsidR="007371B6" w:rsidRPr="00B72FC6">
        <w:rPr>
          <w:rFonts w:ascii="Calibri" w:eastAsia="Calibri" w:hAnsi="Calibri" w:cs="Calibri"/>
        </w:rPr>
        <w:t>high</w:t>
      </w:r>
      <w:r w:rsidR="007371B6">
        <w:rPr>
          <w:rFonts w:ascii="Calibri" w:eastAsia="Calibri" w:hAnsi="Calibri" w:cs="Calibri"/>
        </w:rPr>
        <w:t>-</w:t>
      </w:r>
      <w:r w:rsidR="00F0099B" w:rsidRPr="00B72FC6">
        <w:rPr>
          <w:rFonts w:ascii="Calibri" w:eastAsia="Calibri" w:hAnsi="Calibri" w:cs="Calibri"/>
        </w:rPr>
        <w:t>wealth attended college at a high rate (73</w:t>
      </w:r>
      <w:r w:rsidR="00B146EB">
        <w:rPr>
          <w:rFonts w:ascii="Calibri" w:eastAsia="Calibri" w:hAnsi="Calibri" w:cs="Calibri"/>
        </w:rPr>
        <w:t xml:space="preserve"> </w:t>
      </w:r>
      <w:r w:rsidR="00DC7E74">
        <w:rPr>
          <w:rFonts w:ascii="Calibri" w:eastAsia="Calibri" w:hAnsi="Calibri" w:cs="Calibri"/>
        </w:rPr>
        <w:t>percent</w:t>
      </w:r>
      <w:r w:rsidR="00F0099B" w:rsidRPr="00B72FC6">
        <w:rPr>
          <w:rFonts w:ascii="Calibri" w:eastAsia="Calibri" w:hAnsi="Calibri" w:cs="Calibri"/>
        </w:rPr>
        <w:t xml:space="preserve"> or higher)</w:t>
      </w:r>
      <w:r w:rsidR="00F0099B">
        <w:rPr>
          <w:rFonts w:ascii="Calibri" w:eastAsia="Calibri" w:hAnsi="Calibri" w:cs="Calibri"/>
        </w:rPr>
        <w:t xml:space="preserve">. </w:t>
      </w:r>
      <w:r w:rsidR="5B273A81" w:rsidRPr="5E154477">
        <w:rPr>
          <w:rFonts w:ascii="Calibri" w:eastAsia="Calibri" w:hAnsi="Calibri" w:cs="Calibri"/>
        </w:rPr>
        <w:t xml:space="preserve">While this </w:t>
      </w:r>
      <w:r w:rsidR="2B4AE06E" w:rsidRPr="5E154477">
        <w:rPr>
          <w:rFonts w:ascii="Calibri" w:eastAsia="Calibri" w:hAnsi="Calibri" w:cs="Calibri"/>
        </w:rPr>
        <w:t xml:space="preserve">protective </w:t>
      </w:r>
      <w:r w:rsidR="5B273A81" w:rsidRPr="5E154477">
        <w:rPr>
          <w:rFonts w:ascii="Calibri" w:eastAsia="Calibri" w:hAnsi="Calibri" w:cs="Calibri"/>
        </w:rPr>
        <w:t xml:space="preserve">trend is </w:t>
      </w:r>
      <w:r w:rsidR="5B273A81" w:rsidRPr="14AAE8A8">
        <w:rPr>
          <w:rFonts w:ascii="Calibri" w:eastAsia="Calibri" w:hAnsi="Calibri" w:cs="Calibri"/>
        </w:rPr>
        <w:t>not</w:t>
      </w:r>
      <w:r w:rsidR="590CF4A3" w:rsidRPr="14AAE8A8">
        <w:rPr>
          <w:rFonts w:ascii="Calibri" w:eastAsia="Calibri" w:hAnsi="Calibri" w:cs="Calibri"/>
        </w:rPr>
        <w:t>eworthy</w:t>
      </w:r>
      <w:r w:rsidR="5B273A81" w:rsidRPr="5E154477">
        <w:rPr>
          <w:rFonts w:ascii="Calibri" w:eastAsia="Calibri" w:hAnsi="Calibri" w:cs="Calibri"/>
        </w:rPr>
        <w:t>,</w:t>
      </w:r>
      <w:r w:rsidR="33154C97" w:rsidRPr="5E154477">
        <w:rPr>
          <w:rFonts w:ascii="Calibri" w:eastAsia="Calibri" w:hAnsi="Calibri" w:cs="Calibri"/>
        </w:rPr>
        <w:t xml:space="preserve"> it</w:t>
      </w:r>
      <w:r w:rsidRPr="5E154477" w:rsidDel="14F3C5BE">
        <w:rPr>
          <w:rFonts w:ascii="Calibri" w:eastAsia="Calibri" w:hAnsi="Calibri" w:cs="Calibri"/>
        </w:rPr>
        <w:t xml:space="preserve"> </w:t>
      </w:r>
      <w:r w:rsidR="33154C97" w:rsidRPr="14AAE8A8">
        <w:rPr>
          <w:rFonts w:ascii="Calibri" w:eastAsia="Calibri" w:hAnsi="Calibri" w:cs="Calibri"/>
        </w:rPr>
        <w:t>is</w:t>
      </w:r>
      <w:r w:rsidR="0A49328A" w:rsidRPr="5E154477">
        <w:rPr>
          <w:rFonts w:ascii="Calibri" w:eastAsia="Calibri" w:hAnsi="Calibri" w:cs="Calibri"/>
        </w:rPr>
        <w:t xml:space="preserve"> </w:t>
      </w:r>
      <w:r w:rsidR="276EE929" w:rsidRPr="5E154477">
        <w:rPr>
          <w:rFonts w:ascii="Calibri" w:eastAsia="Calibri" w:hAnsi="Calibri" w:cs="Calibri"/>
        </w:rPr>
        <w:t>uncommon</w:t>
      </w:r>
      <w:r w:rsidR="0A49328A" w:rsidRPr="5E154477">
        <w:rPr>
          <w:rFonts w:ascii="Calibri" w:eastAsia="Calibri" w:hAnsi="Calibri" w:cs="Calibri"/>
        </w:rPr>
        <w:t xml:space="preserve"> </w:t>
      </w:r>
      <w:r w:rsidR="720D4B33" w:rsidRPr="5E154477">
        <w:rPr>
          <w:rFonts w:ascii="Calibri" w:eastAsia="Calibri" w:hAnsi="Calibri" w:cs="Calibri"/>
        </w:rPr>
        <w:t xml:space="preserve">for individuals </w:t>
      </w:r>
      <w:r w:rsidR="0A49328A" w:rsidRPr="5E154477">
        <w:rPr>
          <w:rFonts w:ascii="Calibri" w:eastAsia="Calibri" w:hAnsi="Calibri" w:cs="Calibri"/>
        </w:rPr>
        <w:t xml:space="preserve">to </w:t>
      </w:r>
      <w:r w:rsidR="66F27086" w:rsidRPr="5E154477">
        <w:rPr>
          <w:rFonts w:ascii="Calibri" w:eastAsia="Calibri" w:hAnsi="Calibri" w:cs="Calibri"/>
        </w:rPr>
        <w:t xml:space="preserve">simultaneously </w:t>
      </w:r>
      <w:r w:rsidR="494D42BA" w:rsidRPr="5E154477">
        <w:rPr>
          <w:rFonts w:ascii="Calibri" w:eastAsia="Calibri" w:hAnsi="Calibri" w:cs="Calibri"/>
        </w:rPr>
        <w:t>have</w:t>
      </w:r>
      <w:r w:rsidR="0A49328A" w:rsidRPr="5E154477">
        <w:rPr>
          <w:rFonts w:ascii="Calibri" w:eastAsia="Calibri" w:hAnsi="Calibri" w:cs="Calibri"/>
        </w:rPr>
        <w:t xml:space="preserve"> </w:t>
      </w:r>
      <w:r w:rsidR="5486A258" w:rsidRPr="5E154477">
        <w:rPr>
          <w:rFonts w:ascii="Calibri" w:eastAsia="Calibri" w:hAnsi="Calibri" w:cs="Calibri"/>
        </w:rPr>
        <w:t>low</w:t>
      </w:r>
      <w:r w:rsidR="494D42BA" w:rsidRPr="5E154477">
        <w:rPr>
          <w:rFonts w:ascii="Calibri" w:eastAsia="Calibri" w:hAnsi="Calibri" w:cs="Calibri"/>
        </w:rPr>
        <w:t xml:space="preserve"> </w:t>
      </w:r>
      <w:r w:rsidR="276EE929" w:rsidRPr="5E154477">
        <w:rPr>
          <w:rFonts w:ascii="Calibri" w:eastAsia="Calibri" w:hAnsi="Calibri" w:cs="Calibri"/>
        </w:rPr>
        <w:t>income</w:t>
      </w:r>
      <w:r w:rsidR="5882A2DF" w:rsidRPr="5E154477">
        <w:rPr>
          <w:rFonts w:ascii="Calibri" w:eastAsia="Calibri" w:hAnsi="Calibri" w:cs="Calibri"/>
        </w:rPr>
        <w:t xml:space="preserve"> and </w:t>
      </w:r>
      <w:r w:rsidR="5486A258" w:rsidRPr="5E154477">
        <w:rPr>
          <w:rFonts w:ascii="Calibri" w:eastAsia="Calibri" w:hAnsi="Calibri" w:cs="Calibri"/>
        </w:rPr>
        <w:t>high</w:t>
      </w:r>
      <w:r w:rsidR="494D42BA" w:rsidRPr="5E154477">
        <w:rPr>
          <w:rFonts w:ascii="Calibri" w:eastAsia="Calibri" w:hAnsi="Calibri" w:cs="Calibri"/>
        </w:rPr>
        <w:t xml:space="preserve"> </w:t>
      </w:r>
      <w:r w:rsidR="276EE929" w:rsidRPr="5E154477">
        <w:rPr>
          <w:rFonts w:ascii="Calibri" w:eastAsia="Calibri" w:hAnsi="Calibri" w:cs="Calibri"/>
        </w:rPr>
        <w:t xml:space="preserve">wealth </w:t>
      </w:r>
      <w:r w:rsidR="0E9FAB27" w:rsidRPr="5E154477">
        <w:rPr>
          <w:rFonts w:ascii="Calibri" w:eastAsia="Calibri" w:hAnsi="Calibri" w:cs="Calibri"/>
        </w:rPr>
        <w:t xml:space="preserve">or </w:t>
      </w:r>
      <w:r w:rsidR="75BDD0D2" w:rsidRPr="5E154477">
        <w:rPr>
          <w:rFonts w:ascii="Calibri" w:eastAsia="Calibri" w:hAnsi="Calibri" w:cs="Calibri"/>
        </w:rPr>
        <w:t xml:space="preserve">vice </w:t>
      </w:r>
      <w:r w:rsidR="75BDD0D2" w:rsidRPr="14AAE8A8">
        <w:rPr>
          <w:rFonts w:ascii="Calibri" w:eastAsia="Calibri" w:hAnsi="Calibri" w:cs="Calibri"/>
        </w:rPr>
        <w:t>versa</w:t>
      </w:r>
      <w:r w:rsidR="205E1A5A" w:rsidRPr="14AAE8A8">
        <w:rPr>
          <w:rFonts w:ascii="Calibri" w:eastAsia="Calibri" w:hAnsi="Calibri" w:cs="Calibri"/>
        </w:rPr>
        <w:t>.</w:t>
      </w:r>
      <w:r w:rsidR="205E1A5A" w:rsidRPr="5E154477">
        <w:rPr>
          <w:rFonts w:ascii="Calibri" w:eastAsia="Calibri" w:hAnsi="Calibri" w:cs="Calibri"/>
        </w:rPr>
        <w:t xml:space="preserve"> </w:t>
      </w:r>
      <w:r w:rsidR="79C9A8FB" w:rsidRPr="0A44C8D5">
        <w:rPr>
          <w:rFonts w:ascii="Calibri" w:eastAsia="Calibri" w:hAnsi="Calibri" w:cs="Calibri"/>
        </w:rPr>
        <w:t>(</w:t>
      </w:r>
      <w:r w:rsidR="00DB4138">
        <w:rPr>
          <w:rFonts w:ascii="Calibri" w:eastAsia="Calibri" w:hAnsi="Calibri" w:cs="Calibri"/>
        </w:rPr>
        <w:t xml:space="preserve">See </w:t>
      </w:r>
      <w:r w:rsidR="00E30105">
        <w:rPr>
          <w:rFonts w:ascii="Calibri" w:eastAsia="Calibri" w:hAnsi="Calibri" w:cs="Calibri"/>
        </w:rPr>
        <w:fldChar w:fldCharType="begin"/>
      </w:r>
      <w:r w:rsidR="00E30105">
        <w:rPr>
          <w:rFonts w:ascii="Calibri" w:eastAsia="Calibri" w:hAnsi="Calibri" w:cs="Calibri"/>
        </w:rPr>
        <w:instrText xml:space="preserve"> REF _Ref160101728 \h </w:instrText>
      </w:r>
      <w:r w:rsidR="004B1105">
        <w:rPr>
          <w:rFonts w:ascii="Calibri" w:eastAsia="Calibri" w:hAnsi="Calibri" w:cs="Calibri"/>
        </w:rPr>
        <w:instrText xml:space="preserve"> \* MERGEFORMAT </w:instrText>
      </w:r>
      <w:r w:rsidR="00E30105">
        <w:rPr>
          <w:rFonts w:ascii="Calibri" w:eastAsia="Calibri" w:hAnsi="Calibri" w:cs="Calibri"/>
        </w:rPr>
      </w:r>
      <w:r w:rsidR="00E30105">
        <w:rPr>
          <w:rFonts w:ascii="Calibri" w:eastAsia="Calibri" w:hAnsi="Calibri" w:cs="Calibri"/>
        </w:rPr>
        <w:fldChar w:fldCharType="separate"/>
      </w:r>
      <w:r w:rsidR="00932B97" w:rsidRPr="00417AAB">
        <w:rPr>
          <w:b/>
          <w:bCs/>
        </w:rPr>
        <w:t xml:space="preserve">Figure </w:t>
      </w:r>
      <w:r w:rsidR="00932B97">
        <w:rPr>
          <w:b/>
          <w:bCs/>
          <w:noProof/>
        </w:rPr>
        <w:t>4</w:t>
      </w:r>
      <w:r w:rsidR="00E30105">
        <w:rPr>
          <w:rFonts w:ascii="Calibri" w:eastAsia="Calibri" w:hAnsi="Calibri" w:cs="Calibri"/>
        </w:rPr>
        <w:fldChar w:fldCharType="end"/>
      </w:r>
      <w:r w:rsidR="00E30105">
        <w:rPr>
          <w:rFonts w:ascii="Calibri" w:eastAsia="Calibri" w:hAnsi="Calibri" w:cs="Calibri"/>
        </w:rPr>
        <w:t xml:space="preserve"> </w:t>
      </w:r>
      <w:r w:rsidR="00DB4138">
        <w:rPr>
          <w:rFonts w:ascii="Calibri" w:eastAsia="Calibri" w:hAnsi="Calibri" w:cs="Calibri"/>
        </w:rPr>
        <w:t>for the distribution of PSID-TAS respondents by race and ethnicity across wealth and income categories</w:t>
      </w:r>
      <w:r w:rsidR="00DB4138" w:rsidRPr="0A44C8D5">
        <w:rPr>
          <w:rFonts w:ascii="Calibri" w:eastAsia="Calibri" w:hAnsi="Calibri" w:cs="Calibri"/>
        </w:rPr>
        <w:t>.</w:t>
      </w:r>
      <w:r w:rsidR="2A236758" w:rsidRPr="0A44C8D5">
        <w:rPr>
          <w:rFonts w:ascii="Calibri" w:eastAsia="Calibri" w:hAnsi="Calibri" w:cs="Calibri"/>
        </w:rPr>
        <w:t>)</w:t>
      </w:r>
    </w:p>
    <w:p w14:paraId="272B8EF3" w14:textId="77777777" w:rsidR="001500F2" w:rsidRDefault="001500F2" w:rsidP="004B1105">
      <w:pPr>
        <w:ind w:left="360" w:right="-20"/>
        <w:rPr>
          <w:rFonts w:ascii="Calibri" w:eastAsia="Calibri" w:hAnsi="Calibri" w:cs="Calibri"/>
        </w:rPr>
      </w:pPr>
    </w:p>
    <w:p w14:paraId="05114012" w14:textId="24C8878A" w:rsidR="00F0099B" w:rsidRDefault="00F0099B" w:rsidP="004B1105">
      <w:pPr>
        <w:pStyle w:val="Heading4"/>
        <w:ind w:left="360"/>
      </w:pPr>
      <w:r>
        <w:t>Closing racial wealth</w:t>
      </w:r>
      <w:r w:rsidR="00655ECF">
        <w:t xml:space="preserve"> and income</w:t>
      </w:r>
      <w:r>
        <w:t xml:space="preserve"> gaps </w:t>
      </w:r>
      <w:r w:rsidR="00EE1000">
        <w:t xml:space="preserve">would </w:t>
      </w:r>
      <w:r w:rsidR="001A3269">
        <w:t>substantially narrow</w:t>
      </w:r>
      <w:r w:rsidR="00A322DB">
        <w:t>, but not close,</w:t>
      </w:r>
      <w:r w:rsidR="001A3269">
        <w:t xml:space="preserve"> college </w:t>
      </w:r>
      <w:r w:rsidR="00EE1000">
        <w:t>attendance gaps by race</w:t>
      </w:r>
      <w:r w:rsidR="00013840">
        <w:t xml:space="preserve"> and ethnicity</w:t>
      </w:r>
      <w:r w:rsidR="5B8602A2">
        <w:t>.</w:t>
      </w:r>
      <w:r w:rsidR="00EE1000">
        <w:t xml:space="preserve"> </w:t>
      </w:r>
    </w:p>
    <w:p w14:paraId="55FFDAA1" w14:textId="77777777" w:rsidR="00F0099B" w:rsidRPr="00F0099B" w:rsidRDefault="00F0099B" w:rsidP="004B1105">
      <w:pPr>
        <w:pStyle w:val="NoSpacing"/>
        <w:ind w:left="360"/>
      </w:pPr>
    </w:p>
    <w:p w14:paraId="67F33ACE" w14:textId="539EEC73" w:rsidR="00D9203B" w:rsidRDefault="2FFDC528" w:rsidP="004B1105">
      <w:pPr>
        <w:spacing w:line="257" w:lineRule="auto"/>
        <w:ind w:left="360" w:right="-20"/>
        <w:rPr>
          <w:rFonts w:ascii="Calibri" w:eastAsia="Calibri" w:hAnsi="Calibri" w:cs="Calibri"/>
        </w:rPr>
      </w:pPr>
      <w:r w:rsidRPr="21E30250">
        <w:rPr>
          <w:rFonts w:ascii="Calibri" w:eastAsia="Calibri" w:hAnsi="Calibri" w:cs="Calibri"/>
        </w:rPr>
        <w:t xml:space="preserve">Increased wealth and income </w:t>
      </w:r>
      <w:r w:rsidR="657EDB6C" w:rsidRPr="21E30250">
        <w:rPr>
          <w:rFonts w:ascii="Calibri" w:eastAsia="Calibri" w:hAnsi="Calibri" w:cs="Calibri"/>
        </w:rPr>
        <w:t>among Black and Latinx populations c</w:t>
      </w:r>
      <w:r w:rsidR="49D54654" w:rsidRPr="21E30250">
        <w:rPr>
          <w:rFonts w:ascii="Calibri" w:eastAsia="Calibri" w:hAnsi="Calibri" w:cs="Calibri"/>
        </w:rPr>
        <w:t xml:space="preserve">ould substantially </w:t>
      </w:r>
      <w:r w:rsidR="2BD68C0D" w:rsidRPr="21E30250">
        <w:rPr>
          <w:rFonts w:ascii="Calibri" w:eastAsia="Calibri" w:hAnsi="Calibri" w:cs="Calibri"/>
        </w:rPr>
        <w:t>increas</w:t>
      </w:r>
      <w:r w:rsidR="49D54654" w:rsidRPr="21E30250">
        <w:rPr>
          <w:rFonts w:ascii="Calibri" w:eastAsia="Calibri" w:hAnsi="Calibri" w:cs="Calibri"/>
        </w:rPr>
        <w:t>e</w:t>
      </w:r>
      <w:r w:rsidR="07A844F9" w:rsidRPr="21E30250">
        <w:rPr>
          <w:rFonts w:ascii="Calibri" w:eastAsia="Calibri" w:hAnsi="Calibri" w:cs="Calibri"/>
        </w:rPr>
        <w:t xml:space="preserve"> </w:t>
      </w:r>
      <w:r w:rsidR="615B5C04" w:rsidRPr="21E30250">
        <w:rPr>
          <w:rFonts w:ascii="Calibri" w:eastAsia="Calibri" w:hAnsi="Calibri" w:cs="Calibri"/>
        </w:rPr>
        <w:t xml:space="preserve">their </w:t>
      </w:r>
      <w:r w:rsidR="65D56FD9" w:rsidRPr="21E30250">
        <w:rPr>
          <w:rFonts w:ascii="Calibri" w:eastAsia="Calibri" w:hAnsi="Calibri" w:cs="Calibri"/>
        </w:rPr>
        <w:t xml:space="preserve">college </w:t>
      </w:r>
      <w:r w:rsidR="7B955791" w:rsidRPr="21E30250">
        <w:rPr>
          <w:rFonts w:ascii="Calibri" w:eastAsia="Calibri" w:hAnsi="Calibri" w:cs="Calibri"/>
        </w:rPr>
        <w:t>enrollment</w:t>
      </w:r>
      <w:r w:rsidR="0001160F">
        <w:rPr>
          <w:rFonts w:ascii="Calibri" w:eastAsia="Calibri" w:hAnsi="Calibri" w:cs="Calibri"/>
        </w:rPr>
        <w:t xml:space="preserve"> </w:t>
      </w:r>
      <w:r w:rsidR="615B5C04" w:rsidRPr="21E30250">
        <w:rPr>
          <w:rFonts w:ascii="Calibri" w:eastAsia="Calibri" w:hAnsi="Calibri" w:cs="Calibri"/>
        </w:rPr>
        <w:t xml:space="preserve">rates. </w:t>
      </w:r>
      <w:r w:rsidR="6E4FA2B4" w:rsidRPr="21E30250">
        <w:rPr>
          <w:rFonts w:ascii="Calibri" w:eastAsia="Calibri" w:hAnsi="Calibri" w:cs="Calibri"/>
        </w:rPr>
        <w:t xml:space="preserve">For example, </w:t>
      </w:r>
      <w:r w:rsidR="6E1BD939" w:rsidRPr="21E30250">
        <w:rPr>
          <w:rFonts w:ascii="Calibri" w:eastAsia="Calibri" w:hAnsi="Calibri" w:cs="Calibri"/>
        </w:rPr>
        <w:t xml:space="preserve">49 percent of Black and </w:t>
      </w:r>
      <w:r w:rsidR="6463EE5C" w:rsidRPr="21E30250">
        <w:rPr>
          <w:rFonts w:ascii="Calibri" w:eastAsia="Calibri" w:hAnsi="Calibri" w:cs="Calibri"/>
        </w:rPr>
        <w:t>64</w:t>
      </w:r>
      <w:r w:rsidR="29C8D835" w:rsidRPr="21E30250">
        <w:rPr>
          <w:rFonts w:ascii="Calibri" w:eastAsia="Calibri" w:hAnsi="Calibri" w:cs="Calibri"/>
        </w:rPr>
        <w:t xml:space="preserve"> percent</w:t>
      </w:r>
      <w:r w:rsidR="6463EE5C" w:rsidRPr="21E30250">
        <w:rPr>
          <w:rFonts w:ascii="Calibri" w:eastAsia="Calibri" w:hAnsi="Calibri" w:cs="Calibri"/>
        </w:rPr>
        <w:t xml:space="preserve"> of Latinx </w:t>
      </w:r>
      <w:r w:rsidR="32AD5C9A" w:rsidRPr="21E30250">
        <w:rPr>
          <w:rFonts w:ascii="Calibri" w:eastAsia="Calibri" w:hAnsi="Calibri" w:cs="Calibri"/>
        </w:rPr>
        <w:t xml:space="preserve">individuals with </w:t>
      </w:r>
      <w:r w:rsidR="05938304" w:rsidRPr="6CBCDC3B">
        <w:rPr>
          <w:rFonts w:ascii="Calibri" w:eastAsia="Calibri" w:hAnsi="Calibri" w:cs="Calibri"/>
        </w:rPr>
        <w:t xml:space="preserve">both </w:t>
      </w:r>
      <w:r w:rsidR="6E4FA2B4" w:rsidRPr="21E30250">
        <w:rPr>
          <w:rFonts w:ascii="Calibri" w:eastAsia="Calibri" w:hAnsi="Calibri" w:cs="Calibri"/>
        </w:rPr>
        <w:t>low</w:t>
      </w:r>
      <w:r w:rsidR="001D6EB8">
        <w:rPr>
          <w:rFonts w:ascii="Calibri" w:eastAsia="Calibri" w:hAnsi="Calibri" w:cs="Calibri"/>
        </w:rPr>
        <w:t xml:space="preserve"> </w:t>
      </w:r>
      <w:r w:rsidR="6E4FA2B4" w:rsidRPr="21E30250">
        <w:rPr>
          <w:rFonts w:ascii="Calibri" w:eastAsia="Calibri" w:hAnsi="Calibri" w:cs="Calibri"/>
        </w:rPr>
        <w:t>income</w:t>
      </w:r>
      <w:r w:rsidR="001D6EB8">
        <w:rPr>
          <w:rFonts w:ascii="Calibri" w:eastAsia="Calibri" w:hAnsi="Calibri" w:cs="Calibri"/>
        </w:rPr>
        <w:t>s</w:t>
      </w:r>
      <w:r w:rsidR="32AD5C9A" w:rsidRPr="21E30250">
        <w:rPr>
          <w:rFonts w:ascii="Calibri" w:eastAsia="Calibri" w:hAnsi="Calibri" w:cs="Calibri"/>
        </w:rPr>
        <w:t xml:space="preserve"> and</w:t>
      </w:r>
      <w:r w:rsidR="6E4FA2B4" w:rsidRPr="21E30250">
        <w:rPr>
          <w:rFonts w:ascii="Calibri" w:eastAsia="Calibri" w:hAnsi="Calibri" w:cs="Calibri"/>
        </w:rPr>
        <w:t xml:space="preserve"> low</w:t>
      </w:r>
      <w:r w:rsidR="001D6EB8">
        <w:rPr>
          <w:rFonts w:ascii="Calibri" w:eastAsia="Calibri" w:hAnsi="Calibri" w:cs="Calibri"/>
        </w:rPr>
        <w:t xml:space="preserve"> </w:t>
      </w:r>
      <w:r w:rsidR="6E4FA2B4" w:rsidRPr="21E30250">
        <w:rPr>
          <w:rFonts w:ascii="Calibri" w:eastAsia="Calibri" w:hAnsi="Calibri" w:cs="Calibri"/>
        </w:rPr>
        <w:t>wealth</w:t>
      </w:r>
      <w:r w:rsidR="6463EE5C" w:rsidRPr="21E30250">
        <w:rPr>
          <w:rFonts w:ascii="Calibri" w:eastAsia="Calibri" w:hAnsi="Calibri" w:cs="Calibri"/>
        </w:rPr>
        <w:t xml:space="preserve"> </w:t>
      </w:r>
      <w:r w:rsidR="7120A1F8" w:rsidRPr="21E30250">
        <w:rPr>
          <w:rFonts w:ascii="Calibri" w:eastAsia="Calibri" w:hAnsi="Calibri" w:cs="Calibri"/>
        </w:rPr>
        <w:t xml:space="preserve">enroll in </w:t>
      </w:r>
      <w:r w:rsidR="7D8FE984" w:rsidRPr="21E30250">
        <w:rPr>
          <w:rFonts w:ascii="Calibri" w:eastAsia="Calibri" w:hAnsi="Calibri" w:cs="Calibri"/>
        </w:rPr>
        <w:t>college</w:t>
      </w:r>
      <w:r w:rsidR="2E07D755" w:rsidRPr="21E30250">
        <w:rPr>
          <w:rFonts w:ascii="Calibri" w:eastAsia="Calibri" w:hAnsi="Calibri" w:cs="Calibri"/>
        </w:rPr>
        <w:t xml:space="preserve">, compared with 79 percent of Black </w:t>
      </w:r>
      <w:r w:rsidR="5D29A73F" w:rsidRPr="21E30250">
        <w:rPr>
          <w:rFonts w:ascii="Calibri" w:eastAsia="Calibri" w:hAnsi="Calibri" w:cs="Calibri"/>
        </w:rPr>
        <w:t xml:space="preserve">and 86 percent of Latinx </w:t>
      </w:r>
      <w:r w:rsidR="29C8D835" w:rsidRPr="21E30250">
        <w:rPr>
          <w:rFonts w:ascii="Calibri" w:eastAsia="Calibri" w:hAnsi="Calibri" w:cs="Calibri"/>
        </w:rPr>
        <w:t xml:space="preserve">individuals with </w:t>
      </w:r>
      <w:r w:rsidR="5DC534D9" w:rsidRPr="6CBCDC3B">
        <w:rPr>
          <w:rFonts w:ascii="Calibri" w:eastAsia="Calibri" w:hAnsi="Calibri" w:cs="Calibri"/>
        </w:rPr>
        <w:t xml:space="preserve">both </w:t>
      </w:r>
      <w:r w:rsidR="29C8D835" w:rsidRPr="21E30250">
        <w:rPr>
          <w:rFonts w:ascii="Calibri" w:eastAsia="Calibri" w:hAnsi="Calibri" w:cs="Calibri"/>
        </w:rPr>
        <w:t>high income</w:t>
      </w:r>
      <w:r w:rsidR="001D6EB8">
        <w:rPr>
          <w:rFonts w:ascii="Calibri" w:eastAsia="Calibri" w:hAnsi="Calibri" w:cs="Calibri"/>
        </w:rPr>
        <w:t>s</w:t>
      </w:r>
      <w:r w:rsidR="29C8D835" w:rsidRPr="21E30250">
        <w:rPr>
          <w:rFonts w:ascii="Calibri" w:eastAsia="Calibri" w:hAnsi="Calibri" w:cs="Calibri"/>
        </w:rPr>
        <w:t xml:space="preserve"> and high wealth</w:t>
      </w:r>
      <w:r w:rsidR="00321C29">
        <w:rPr>
          <w:rFonts w:ascii="Calibri" w:eastAsia="Calibri" w:hAnsi="Calibri" w:cs="Calibri"/>
        </w:rPr>
        <w:t xml:space="preserve"> (</w:t>
      </w:r>
      <w:r w:rsidR="00321C29" w:rsidRPr="00F12147">
        <w:rPr>
          <w:rFonts w:ascii="Calibri" w:eastAsia="Calibri" w:hAnsi="Calibri" w:cs="Calibri"/>
          <w:b/>
          <w:bCs/>
        </w:rPr>
        <w:t>Table 5</w:t>
      </w:r>
      <w:r w:rsidR="00321C29">
        <w:rPr>
          <w:rFonts w:ascii="Calibri" w:eastAsia="Calibri" w:hAnsi="Calibri" w:cs="Calibri"/>
        </w:rPr>
        <w:t>)</w:t>
      </w:r>
      <w:r w:rsidR="29C8D835" w:rsidRPr="21E30250">
        <w:rPr>
          <w:rFonts w:ascii="Calibri" w:eastAsia="Calibri" w:hAnsi="Calibri" w:cs="Calibri"/>
        </w:rPr>
        <w:t>.</w:t>
      </w:r>
      <w:r w:rsidR="6E4FA2B4" w:rsidRPr="21E30250">
        <w:rPr>
          <w:rFonts w:ascii="Calibri" w:eastAsia="Calibri" w:hAnsi="Calibri" w:cs="Calibri"/>
        </w:rPr>
        <w:t xml:space="preserve"> </w:t>
      </w:r>
      <w:r w:rsidR="000A6AD2">
        <w:rPr>
          <w:rFonts w:ascii="Calibri" w:eastAsia="Calibri" w:hAnsi="Calibri" w:cs="Calibri"/>
        </w:rPr>
        <w:t xml:space="preserve">Yet </w:t>
      </w:r>
      <w:r w:rsidR="00DA25C9">
        <w:rPr>
          <w:rFonts w:ascii="Calibri" w:eastAsia="Calibri" w:hAnsi="Calibri" w:cs="Calibri"/>
        </w:rPr>
        <w:t>Black and Latinx</w:t>
      </w:r>
      <w:r w:rsidR="000A6AD2">
        <w:rPr>
          <w:rFonts w:ascii="Calibri" w:eastAsia="Calibri" w:hAnsi="Calibri" w:cs="Calibri"/>
        </w:rPr>
        <w:t xml:space="preserve"> populations are less likely than</w:t>
      </w:r>
      <w:r w:rsidR="00E5375E">
        <w:rPr>
          <w:rFonts w:ascii="Calibri" w:eastAsia="Calibri" w:hAnsi="Calibri" w:cs="Calibri"/>
        </w:rPr>
        <w:t xml:space="preserve"> White populations to have </w:t>
      </w:r>
      <w:r w:rsidR="00DA25C9">
        <w:rPr>
          <w:rFonts w:ascii="Calibri" w:eastAsia="Calibri" w:hAnsi="Calibri" w:cs="Calibri"/>
        </w:rPr>
        <w:t xml:space="preserve">high incomes or high wealth. </w:t>
      </w:r>
      <w:r w:rsidR="2DCA07DD" w:rsidRPr="21E30250">
        <w:rPr>
          <w:rFonts w:ascii="Calibri" w:eastAsia="Calibri" w:hAnsi="Calibri" w:cs="Calibri"/>
        </w:rPr>
        <w:t xml:space="preserve">Greater financial resources </w:t>
      </w:r>
      <w:r w:rsidR="4725AE89" w:rsidRPr="21E30250">
        <w:rPr>
          <w:rFonts w:ascii="Calibri" w:eastAsia="Calibri" w:hAnsi="Calibri" w:cs="Calibri"/>
        </w:rPr>
        <w:t xml:space="preserve">almost certainly would open the door to </w:t>
      </w:r>
      <w:r w:rsidR="0030786D">
        <w:rPr>
          <w:rFonts w:ascii="Calibri" w:eastAsia="Calibri" w:hAnsi="Calibri" w:cs="Calibri"/>
        </w:rPr>
        <w:t>increased</w:t>
      </w:r>
      <w:r w:rsidR="00D35ED0">
        <w:rPr>
          <w:rFonts w:ascii="Calibri" w:eastAsia="Calibri" w:hAnsi="Calibri" w:cs="Calibri"/>
        </w:rPr>
        <w:t>—</w:t>
      </w:r>
      <w:r w:rsidR="009E714A">
        <w:rPr>
          <w:rFonts w:ascii="Calibri" w:eastAsia="Calibri" w:hAnsi="Calibri" w:cs="Calibri"/>
        </w:rPr>
        <w:t>and more equitable</w:t>
      </w:r>
      <w:r w:rsidR="00D35ED0">
        <w:rPr>
          <w:rFonts w:ascii="Calibri" w:eastAsia="Calibri" w:hAnsi="Calibri" w:cs="Calibri"/>
        </w:rPr>
        <w:t>—</w:t>
      </w:r>
      <w:r w:rsidR="4725AE89" w:rsidRPr="21E30250">
        <w:rPr>
          <w:rFonts w:ascii="Calibri" w:eastAsia="Calibri" w:hAnsi="Calibri" w:cs="Calibri"/>
        </w:rPr>
        <w:t xml:space="preserve">college </w:t>
      </w:r>
      <w:r w:rsidR="676269F6" w:rsidRPr="6CBCDC3B">
        <w:rPr>
          <w:rFonts w:ascii="Calibri" w:eastAsia="Calibri" w:hAnsi="Calibri" w:cs="Calibri"/>
        </w:rPr>
        <w:t>enrollment</w:t>
      </w:r>
      <w:r w:rsidR="4725AE89" w:rsidRPr="21E30250">
        <w:rPr>
          <w:rFonts w:ascii="Calibri" w:eastAsia="Calibri" w:hAnsi="Calibri" w:cs="Calibri"/>
        </w:rPr>
        <w:t>.</w:t>
      </w:r>
      <w:r w:rsidR="61A421D6" w:rsidRPr="21E30250">
        <w:rPr>
          <w:rFonts w:ascii="Calibri" w:eastAsia="Calibri" w:hAnsi="Calibri" w:cs="Calibri"/>
        </w:rPr>
        <w:t xml:space="preserve"> </w:t>
      </w:r>
    </w:p>
    <w:p w14:paraId="7F24B059" w14:textId="77777777" w:rsidR="001F0A15" w:rsidRDefault="001F0A15" w:rsidP="004B1105">
      <w:pPr>
        <w:spacing w:line="257" w:lineRule="auto"/>
        <w:ind w:left="360" w:right="-20"/>
        <w:rPr>
          <w:rFonts w:ascii="Calibri" w:eastAsia="Calibri" w:hAnsi="Calibri" w:cs="Calibri"/>
        </w:rPr>
      </w:pPr>
    </w:p>
    <w:p w14:paraId="01D3B621" w14:textId="0365D6A1" w:rsidR="00F0099B" w:rsidRDefault="044F698B" w:rsidP="004B1105">
      <w:pPr>
        <w:spacing w:line="257" w:lineRule="auto"/>
        <w:ind w:left="360" w:right="-20"/>
        <w:rPr>
          <w:rFonts w:ascii="Calibri" w:eastAsia="Calibri" w:hAnsi="Calibri" w:cs="Calibri"/>
        </w:rPr>
      </w:pPr>
      <w:r w:rsidRPr="469A3843">
        <w:rPr>
          <w:rFonts w:ascii="Calibri" w:eastAsia="Calibri" w:hAnsi="Calibri" w:cs="Calibri"/>
        </w:rPr>
        <w:t>However</w:t>
      </w:r>
      <w:r w:rsidR="00F0099B" w:rsidRPr="067FA4F0">
        <w:rPr>
          <w:rFonts w:ascii="Calibri" w:eastAsia="Calibri" w:hAnsi="Calibri" w:cs="Calibri"/>
        </w:rPr>
        <w:t xml:space="preserve">, </w:t>
      </w:r>
      <w:r w:rsidRPr="469A3843">
        <w:rPr>
          <w:rFonts w:ascii="Calibri" w:eastAsia="Calibri" w:hAnsi="Calibri" w:cs="Calibri"/>
        </w:rPr>
        <w:t xml:space="preserve">this analysis </w:t>
      </w:r>
      <w:r w:rsidR="00667489">
        <w:rPr>
          <w:rFonts w:ascii="Calibri" w:eastAsia="Calibri" w:hAnsi="Calibri" w:cs="Calibri"/>
        </w:rPr>
        <w:t>indicates</w:t>
      </w:r>
      <w:r w:rsidRPr="469A3843">
        <w:rPr>
          <w:rFonts w:ascii="Calibri" w:eastAsia="Calibri" w:hAnsi="Calibri" w:cs="Calibri"/>
        </w:rPr>
        <w:t xml:space="preserve"> that financial resources are not the only barrier to college </w:t>
      </w:r>
      <w:r w:rsidR="4F9C9C5F" w:rsidRPr="469A3843">
        <w:rPr>
          <w:rFonts w:ascii="Calibri" w:eastAsia="Calibri" w:hAnsi="Calibri" w:cs="Calibri"/>
        </w:rPr>
        <w:t>enrollment</w:t>
      </w:r>
      <w:r w:rsidRPr="469A3843">
        <w:rPr>
          <w:rFonts w:ascii="Calibri" w:eastAsia="Calibri" w:hAnsi="Calibri" w:cs="Calibri"/>
        </w:rPr>
        <w:t xml:space="preserve">. </w:t>
      </w:r>
      <w:r w:rsidR="10665712" w:rsidRPr="469A3843">
        <w:rPr>
          <w:rFonts w:ascii="Calibri" w:eastAsia="Calibri" w:hAnsi="Calibri" w:cs="Calibri"/>
        </w:rPr>
        <w:t>D</w:t>
      </w:r>
      <w:r w:rsidR="0E91736F" w:rsidRPr="469A3843">
        <w:rPr>
          <w:rFonts w:ascii="Calibri" w:eastAsia="Calibri" w:hAnsi="Calibri" w:cs="Calibri"/>
        </w:rPr>
        <w:t>ifferences</w:t>
      </w:r>
      <w:r w:rsidR="00761454">
        <w:rPr>
          <w:rFonts w:ascii="Calibri" w:eastAsia="Calibri" w:hAnsi="Calibri" w:cs="Calibri"/>
        </w:rPr>
        <w:t xml:space="preserve"> in college </w:t>
      </w:r>
      <w:r w:rsidR="7EB93EBE" w:rsidRPr="469A3843">
        <w:rPr>
          <w:rFonts w:ascii="Calibri" w:eastAsia="Calibri" w:hAnsi="Calibri" w:cs="Calibri"/>
        </w:rPr>
        <w:t>enrollment</w:t>
      </w:r>
      <w:r w:rsidR="00761454">
        <w:rPr>
          <w:rFonts w:ascii="Calibri" w:eastAsia="Calibri" w:hAnsi="Calibri" w:cs="Calibri"/>
        </w:rPr>
        <w:t xml:space="preserve"> by race and ethnicity </w:t>
      </w:r>
      <w:r w:rsidR="00F0099B" w:rsidRPr="067FA4F0">
        <w:rPr>
          <w:rFonts w:ascii="Calibri" w:eastAsia="Calibri" w:hAnsi="Calibri" w:cs="Calibri"/>
        </w:rPr>
        <w:t>persist even for</w:t>
      </w:r>
      <w:r w:rsidR="0015765D">
        <w:rPr>
          <w:rFonts w:ascii="Calibri" w:eastAsia="Calibri" w:hAnsi="Calibri" w:cs="Calibri"/>
        </w:rPr>
        <w:t xml:space="preserve"> the</w:t>
      </w:r>
      <w:r w:rsidR="00F0099B" w:rsidRPr="067FA4F0">
        <w:rPr>
          <w:rFonts w:ascii="Calibri" w:eastAsia="Calibri" w:hAnsi="Calibri" w:cs="Calibri"/>
        </w:rPr>
        <w:t xml:space="preserve"> highest-income, highest-wealth respondents. </w:t>
      </w:r>
      <w:r w:rsidR="00761454">
        <w:rPr>
          <w:rFonts w:ascii="Calibri" w:eastAsia="Calibri" w:hAnsi="Calibri" w:cs="Calibri"/>
        </w:rPr>
        <w:t xml:space="preserve">In that group, </w:t>
      </w:r>
      <w:r w:rsidR="008967C0">
        <w:rPr>
          <w:rFonts w:ascii="Calibri" w:eastAsia="Calibri" w:hAnsi="Calibri" w:cs="Calibri"/>
        </w:rPr>
        <w:t xml:space="preserve">Black respondents are least likely to </w:t>
      </w:r>
      <w:r w:rsidR="1FD84CAB" w:rsidRPr="469A3843">
        <w:rPr>
          <w:rFonts w:ascii="Calibri" w:eastAsia="Calibri" w:hAnsi="Calibri" w:cs="Calibri"/>
        </w:rPr>
        <w:t>enroll in</w:t>
      </w:r>
      <w:r w:rsidR="008967C0">
        <w:rPr>
          <w:rFonts w:ascii="Calibri" w:eastAsia="Calibri" w:hAnsi="Calibri" w:cs="Calibri"/>
        </w:rPr>
        <w:t xml:space="preserve"> college (79 percent) and White respondents are most likely to </w:t>
      </w:r>
      <w:r w:rsidR="50921424" w:rsidRPr="469A3843">
        <w:rPr>
          <w:rFonts w:ascii="Calibri" w:eastAsia="Calibri" w:hAnsi="Calibri" w:cs="Calibri"/>
        </w:rPr>
        <w:t>go to</w:t>
      </w:r>
      <w:r w:rsidR="008967C0">
        <w:rPr>
          <w:rFonts w:ascii="Calibri" w:eastAsia="Calibri" w:hAnsi="Calibri" w:cs="Calibri"/>
        </w:rPr>
        <w:t xml:space="preserve"> college (92 percent</w:t>
      </w:r>
      <w:r w:rsidR="211759B5" w:rsidRPr="469A3843">
        <w:rPr>
          <w:rFonts w:ascii="Calibri" w:eastAsia="Calibri" w:hAnsi="Calibri" w:cs="Calibri"/>
        </w:rPr>
        <w:t>)</w:t>
      </w:r>
      <w:r w:rsidR="00D764B6">
        <w:rPr>
          <w:rFonts w:ascii="Calibri" w:eastAsia="Calibri" w:hAnsi="Calibri" w:cs="Calibri"/>
        </w:rPr>
        <w:t>.</w:t>
      </w:r>
      <w:r w:rsidR="3575276E" w:rsidRPr="469A3843">
        <w:rPr>
          <w:rFonts w:ascii="Calibri" w:eastAsia="Calibri" w:hAnsi="Calibri" w:cs="Calibri"/>
        </w:rPr>
        <w:t xml:space="preserve"> </w:t>
      </w:r>
      <w:r w:rsidR="00D764B6">
        <w:rPr>
          <w:rFonts w:ascii="Calibri" w:eastAsia="Calibri" w:hAnsi="Calibri" w:cs="Calibri"/>
        </w:rPr>
        <w:t xml:space="preserve">This </w:t>
      </w:r>
      <w:r w:rsidR="003861E2">
        <w:rPr>
          <w:rFonts w:ascii="Calibri" w:eastAsia="Calibri" w:hAnsi="Calibri" w:cs="Calibri"/>
        </w:rPr>
        <w:t>corroborat</w:t>
      </w:r>
      <w:r w:rsidR="00D764B6">
        <w:rPr>
          <w:rFonts w:ascii="Calibri" w:eastAsia="Calibri" w:hAnsi="Calibri" w:cs="Calibri"/>
        </w:rPr>
        <w:t>es</w:t>
      </w:r>
      <w:r w:rsidR="003861E2">
        <w:rPr>
          <w:rFonts w:ascii="Calibri" w:eastAsia="Calibri" w:hAnsi="Calibri" w:cs="Calibri"/>
        </w:rPr>
        <w:t xml:space="preserve"> research</w:t>
      </w:r>
      <w:r w:rsidR="007F175F">
        <w:rPr>
          <w:rFonts w:ascii="Calibri" w:eastAsia="Calibri" w:hAnsi="Calibri" w:cs="Calibri"/>
        </w:rPr>
        <w:t xml:space="preserve"> </w:t>
      </w:r>
      <w:r w:rsidR="3575276E" w:rsidRPr="469A3843">
        <w:rPr>
          <w:rFonts w:ascii="Calibri" w:eastAsia="Calibri" w:hAnsi="Calibri" w:cs="Calibri"/>
        </w:rPr>
        <w:t>that</w:t>
      </w:r>
      <w:r w:rsidR="00F0687A">
        <w:rPr>
          <w:rFonts w:ascii="Calibri" w:eastAsia="Calibri" w:hAnsi="Calibri" w:cs="Calibri"/>
        </w:rPr>
        <w:t xml:space="preserve"> shows that</w:t>
      </w:r>
      <w:r w:rsidR="3575276E" w:rsidRPr="469A3843">
        <w:rPr>
          <w:rFonts w:ascii="Calibri" w:eastAsia="Calibri" w:hAnsi="Calibri" w:cs="Calibri"/>
        </w:rPr>
        <w:t xml:space="preserve"> </w:t>
      </w:r>
      <w:r w:rsidR="1C1B9C64" w:rsidRPr="469A3843">
        <w:rPr>
          <w:rFonts w:ascii="Calibri" w:eastAsia="Calibri" w:hAnsi="Calibri" w:cs="Calibri"/>
        </w:rPr>
        <w:t xml:space="preserve">many </w:t>
      </w:r>
      <w:r w:rsidR="3575276E" w:rsidRPr="469A3843">
        <w:rPr>
          <w:rFonts w:ascii="Calibri" w:eastAsia="Calibri" w:hAnsi="Calibri" w:cs="Calibri"/>
        </w:rPr>
        <w:t xml:space="preserve">Black students </w:t>
      </w:r>
      <w:r w:rsidR="15114231" w:rsidRPr="1B5075FA">
        <w:rPr>
          <w:rFonts w:ascii="Calibri" w:eastAsia="Calibri" w:hAnsi="Calibri" w:cs="Calibri"/>
        </w:rPr>
        <w:t>also</w:t>
      </w:r>
      <w:r w:rsidR="3575276E" w:rsidRPr="469A3843">
        <w:rPr>
          <w:rFonts w:ascii="Calibri" w:eastAsia="Calibri" w:hAnsi="Calibri" w:cs="Calibri"/>
        </w:rPr>
        <w:t xml:space="preserve"> fac</w:t>
      </w:r>
      <w:r w:rsidR="7A0BC142" w:rsidRPr="469A3843">
        <w:rPr>
          <w:rFonts w:ascii="Calibri" w:eastAsia="Calibri" w:hAnsi="Calibri" w:cs="Calibri"/>
        </w:rPr>
        <w:t>e</w:t>
      </w:r>
      <w:r w:rsidR="3575276E" w:rsidRPr="469A3843">
        <w:rPr>
          <w:rFonts w:ascii="Calibri" w:eastAsia="Calibri" w:hAnsi="Calibri" w:cs="Calibri"/>
        </w:rPr>
        <w:t xml:space="preserve"> nonfinancial</w:t>
      </w:r>
      <w:r w:rsidR="009C4411">
        <w:rPr>
          <w:rFonts w:ascii="Calibri" w:eastAsia="Calibri" w:hAnsi="Calibri" w:cs="Calibri"/>
        </w:rPr>
        <w:t xml:space="preserve"> </w:t>
      </w:r>
      <w:r w:rsidR="3575276E" w:rsidRPr="469A3843">
        <w:rPr>
          <w:rFonts w:ascii="Calibri" w:eastAsia="Calibri" w:hAnsi="Calibri" w:cs="Calibri"/>
        </w:rPr>
        <w:t xml:space="preserve">barriers to college </w:t>
      </w:r>
      <w:r w:rsidR="26520DDE" w:rsidRPr="469A3843">
        <w:rPr>
          <w:rFonts w:ascii="Calibri" w:eastAsia="Calibri" w:hAnsi="Calibri" w:cs="Calibri"/>
        </w:rPr>
        <w:t>enrollment</w:t>
      </w:r>
      <w:r w:rsidR="00D764B6">
        <w:rPr>
          <w:rStyle w:val="EndnoteReference"/>
          <w:rFonts w:ascii="Calibri" w:eastAsia="Calibri" w:hAnsi="Calibri" w:cs="Calibri"/>
        </w:rPr>
        <w:endnoteReference w:id="59"/>
      </w:r>
      <w:r w:rsidR="00D433A1">
        <w:rPr>
          <w:rFonts w:ascii="Calibri" w:eastAsia="Calibri" w:hAnsi="Calibri" w:cs="Calibri"/>
        </w:rPr>
        <w:t xml:space="preserve"> and</w:t>
      </w:r>
      <w:r w:rsidR="006557A5">
        <w:rPr>
          <w:rFonts w:ascii="Calibri" w:eastAsia="Calibri" w:hAnsi="Calibri" w:cs="Calibri"/>
        </w:rPr>
        <w:t xml:space="preserve"> </w:t>
      </w:r>
      <w:r w:rsidR="00771CD3">
        <w:rPr>
          <w:rFonts w:ascii="Calibri" w:eastAsia="Calibri" w:hAnsi="Calibri" w:cs="Calibri"/>
        </w:rPr>
        <w:t>commo</w:t>
      </w:r>
      <w:r w:rsidR="00D02C0F">
        <w:rPr>
          <w:rFonts w:ascii="Calibri" w:eastAsia="Calibri" w:hAnsi="Calibri" w:cs="Calibri"/>
        </w:rPr>
        <w:t xml:space="preserve">nly used recruitment, admissions, and enrollment policies and practices serve to exclude </w:t>
      </w:r>
      <w:r w:rsidR="00A31FEC">
        <w:rPr>
          <w:rFonts w:ascii="Calibri" w:eastAsia="Calibri" w:hAnsi="Calibri" w:cs="Calibri"/>
        </w:rPr>
        <w:t xml:space="preserve">students of color while privileging </w:t>
      </w:r>
      <w:r w:rsidR="008B292B">
        <w:rPr>
          <w:rFonts w:ascii="Calibri" w:eastAsia="Calibri" w:hAnsi="Calibri" w:cs="Calibri"/>
        </w:rPr>
        <w:t>their White peers</w:t>
      </w:r>
      <w:r w:rsidR="00882396">
        <w:rPr>
          <w:rFonts w:ascii="Calibri" w:eastAsia="Calibri" w:hAnsi="Calibri" w:cs="Calibri"/>
        </w:rPr>
        <w:t>.</w:t>
      </w:r>
      <w:r w:rsidR="008B292B">
        <w:rPr>
          <w:rStyle w:val="EndnoteReference"/>
          <w:rFonts w:ascii="Calibri" w:eastAsia="Calibri" w:hAnsi="Calibri" w:cs="Calibri"/>
        </w:rPr>
        <w:endnoteReference w:id="60"/>
      </w:r>
      <w:r w:rsidR="25CF93BC" w:rsidRPr="469A3843">
        <w:rPr>
          <w:rFonts w:ascii="Calibri" w:eastAsia="Calibri" w:hAnsi="Calibri" w:cs="Calibri"/>
        </w:rPr>
        <w:t xml:space="preserve"> </w:t>
      </w:r>
      <w:r w:rsidR="008967C0">
        <w:rPr>
          <w:rFonts w:ascii="Calibri" w:eastAsia="Calibri" w:hAnsi="Calibri" w:cs="Calibri"/>
        </w:rPr>
        <w:t xml:space="preserve"> </w:t>
      </w:r>
      <w:r w:rsidR="00F0099B" w:rsidRPr="067FA4F0">
        <w:rPr>
          <w:rFonts w:ascii="Calibri" w:eastAsia="Calibri" w:hAnsi="Calibri" w:cs="Calibri"/>
        </w:rPr>
        <w:t xml:space="preserve"> </w:t>
      </w:r>
    </w:p>
    <w:p w14:paraId="3BFF3227" w14:textId="77777777" w:rsidR="0031215F" w:rsidRDefault="0031215F" w:rsidP="004B1105">
      <w:pPr>
        <w:pStyle w:val="NoSpacing"/>
      </w:pPr>
    </w:p>
    <w:p w14:paraId="07A9DD91" w14:textId="2366ABFE" w:rsidR="000660C3" w:rsidRDefault="00DA3160" w:rsidP="004B1105">
      <w:pPr>
        <w:pStyle w:val="Heading3"/>
      </w:pPr>
      <w:bookmarkStart w:id="30" w:name="_Toc167901752"/>
      <w:r>
        <w:t xml:space="preserve">How Wealth </w:t>
      </w:r>
      <w:r w:rsidR="00962184">
        <w:t xml:space="preserve">Is </w:t>
      </w:r>
      <w:r>
        <w:t xml:space="preserve">Associated with </w:t>
      </w:r>
      <w:r w:rsidR="00FD7E56">
        <w:t>Co</w:t>
      </w:r>
      <w:r w:rsidR="00CC59AE">
        <w:t>llege</w:t>
      </w:r>
      <w:r w:rsidR="00FD7E56">
        <w:t xml:space="preserve"> Completion</w:t>
      </w:r>
      <w:bookmarkEnd w:id="30"/>
      <w:r w:rsidR="00FD7E56">
        <w:t xml:space="preserve"> </w:t>
      </w:r>
    </w:p>
    <w:p w14:paraId="6A673A39" w14:textId="77777777" w:rsidR="00F422F6" w:rsidRDefault="00F422F6" w:rsidP="004B1105">
      <w:pPr>
        <w:pStyle w:val="NoSpacing"/>
      </w:pPr>
    </w:p>
    <w:p w14:paraId="48EA9F1C" w14:textId="374D6228" w:rsidR="00A71D3C" w:rsidRDefault="033D2E1A" w:rsidP="004B1105">
      <w:pPr>
        <w:pStyle w:val="Heading4"/>
        <w:ind w:left="360"/>
      </w:pPr>
      <w:r>
        <w:t>Although</w:t>
      </w:r>
      <w:r w:rsidR="00A71D3C">
        <w:t xml:space="preserve"> high incomes or high levels of wealth</w:t>
      </w:r>
      <w:r w:rsidR="201FAEE9">
        <w:t xml:space="preserve"> </w:t>
      </w:r>
      <w:r w:rsidR="001D4156">
        <w:t>are associated with</w:t>
      </w:r>
      <w:r w:rsidR="201FAEE9">
        <w:t xml:space="preserve"> increase</w:t>
      </w:r>
      <w:r w:rsidR="001D4156">
        <w:t>d</w:t>
      </w:r>
      <w:r w:rsidR="201FAEE9">
        <w:t xml:space="preserve"> college </w:t>
      </w:r>
      <w:r w:rsidR="00417184">
        <w:t>completion</w:t>
      </w:r>
      <w:r w:rsidR="00A71D3C">
        <w:t xml:space="preserve">, </w:t>
      </w:r>
      <w:r w:rsidR="00501256">
        <w:t>less</w:t>
      </w:r>
      <w:r w:rsidR="00A71D3C">
        <w:t xml:space="preserve"> than half of Black and Latinx </w:t>
      </w:r>
      <w:r w:rsidR="00501256">
        <w:t>students</w:t>
      </w:r>
      <w:r w:rsidR="00A71D3C">
        <w:t xml:space="preserve"> </w:t>
      </w:r>
      <w:r w:rsidR="008A0C54">
        <w:t xml:space="preserve">from </w:t>
      </w:r>
      <w:r w:rsidR="00962184">
        <w:t>high-</w:t>
      </w:r>
      <w:r w:rsidR="008A0C54">
        <w:t xml:space="preserve">income or </w:t>
      </w:r>
      <w:r w:rsidR="00962184">
        <w:t>high-</w:t>
      </w:r>
      <w:r w:rsidR="008A0C54">
        <w:t>wealth backgrounds</w:t>
      </w:r>
      <w:r w:rsidR="00A71D3C">
        <w:t xml:space="preserve"> complete degrees.</w:t>
      </w:r>
    </w:p>
    <w:p w14:paraId="6BE6E0CE" w14:textId="77777777" w:rsidR="00A71D3C" w:rsidRPr="006078D5" w:rsidRDefault="00A71D3C" w:rsidP="004B1105">
      <w:pPr>
        <w:pStyle w:val="NoSpacing"/>
        <w:ind w:left="360"/>
      </w:pPr>
    </w:p>
    <w:p w14:paraId="134B2916" w14:textId="6FDDC4AC" w:rsidR="00A71D3C" w:rsidRDefault="00DB06E5" w:rsidP="004B1105">
      <w:pPr>
        <w:ind w:left="360"/>
        <w:rPr>
          <w:rFonts w:ascii="Calibri" w:eastAsia="Calibri" w:hAnsi="Calibri" w:cs="Calibri"/>
        </w:rPr>
      </w:pPr>
      <w:r>
        <w:rPr>
          <w:rFonts w:ascii="Calibri" w:eastAsia="Calibri" w:hAnsi="Calibri" w:cs="Calibri"/>
        </w:rPr>
        <w:t xml:space="preserve">For Black students, White students, and students of another race, </w:t>
      </w:r>
      <w:r w:rsidR="000B0E33">
        <w:rPr>
          <w:rFonts w:ascii="Calibri" w:eastAsia="Calibri" w:hAnsi="Calibri" w:cs="Calibri"/>
        </w:rPr>
        <w:t xml:space="preserve">higher levels of wealth </w:t>
      </w:r>
      <w:r w:rsidR="006635FF">
        <w:rPr>
          <w:rFonts w:ascii="Calibri" w:eastAsia="Calibri" w:hAnsi="Calibri" w:cs="Calibri"/>
        </w:rPr>
        <w:t>a</w:t>
      </w:r>
      <w:r w:rsidR="000B0E33">
        <w:rPr>
          <w:rFonts w:ascii="Calibri" w:eastAsia="Calibri" w:hAnsi="Calibri" w:cs="Calibri"/>
        </w:rPr>
        <w:t xml:space="preserve">re associated with </w:t>
      </w:r>
      <w:r w:rsidR="004564F7">
        <w:rPr>
          <w:rFonts w:ascii="Calibri" w:eastAsia="Calibri" w:hAnsi="Calibri" w:cs="Calibri"/>
        </w:rPr>
        <w:t xml:space="preserve">a higher likelihood of completing college. </w:t>
      </w:r>
      <w:r w:rsidR="00A71D3C" w:rsidDel="00501256">
        <w:rPr>
          <w:rFonts w:ascii="Calibri" w:eastAsia="Calibri" w:hAnsi="Calibri" w:cs="Calibri"/>
        </w:rPr>
        <w:t xml:space="preserve">However, </w:t>
      </w:r>
      <w:r w:rsidR="00B94A42">
        <w:rPr>
          <w:rFonts w:ascii="Calibri" w:eastAsia="Calibri" w:hAnsi="Calibri" w:cs="Calibri"/>
        </w:rPr>
        <w:t xml:space="preserve">despite the </w:t>
      </w:r>
      <w:r w:rsidR="00F520B4">
        <w:rPr>
          <w:rFonts w:ascii="Calibri" w:eastAsia="Calibri" w:hAnsi="Calibri" w:cs="Calibri"/>
        </w:rPr>
        <w:t xml:space="preserve">positive </w:t>
      </w:r>
      <w:r w:rsidR="2F4D2E61" w:rsidRPr="00301666">
        <w:rPr>
          <w:rFonts w:ascii="Calibri" w:eastAsia="Calibri" w:hAnsi="Calibri" w:cs="Calibri"/>
        </w:rPr>
        <w:t>association</w:t>
      </w:r>
      <w:r w:rsidR="00F520B4">
        <w:rPr>
          <w:rFonts w:ascii="Calibri" w:eastAsia="Calibri" w:hAnsi="Calibri" w:cs="Calibri"/>
        </w:rPr>
        <w:t>s of income and wealth,</w:t>
      </w:r>
      <w:r w:rsidR="00A71D3C">
        <w:rPr>
          <w:rFonts w:ascii="Calibri" w:eastAsia="Calibri" w:hAnsi="Calibri" w:cs="Calibri"/>
        </w:rPr>
        <w:t xml:space="preserve"> </w:t>
      </w:r>
      <w:r w:rsidR="00501256">
        <w:rPr>
          <w:rFonts w:ascii="Calibri" w:eastAsia="Calibri" w:hAnsi="Calibri" w:cs="Calibri"/>
        </w:rPr>
        <w:t>less</w:t>
      </w:r>
      <w:r w:rsidR="00A71D3C">
        <w:rPr>
          <w:rFonts w:ascii="Calibri" w:eastAsia="Calibri" w:hAnsi="Calibri" w:cs="Calibri"/>
        </w:rPr>
        <w:t xml:space="preserve"> than half of </w:t>
      </w:r>
      <w:r w:rsidR="00F520B4">
        <w:rPr>
          <w:rFonts w:ascii="Calibri" w:eastAsia="Calibri" w:hAnsi="Calibri" w:cs="Calibri"/>
        </w:rPr>
        <w:t xml:space="preserve">Black and Latinx </w:t>
      </w:r>
      <w:r w:rsidR="00A71D3C">
        <w:rPr>
          <w:rFonts w:ascii="Calibri" w:eastAsia="Calibri" w:hAnsi="Calibri" w:cs="Calibri"/>
        </w:rPr>
        <w:t xml:space="preserve">respondents from the highest-income group or the highest-wealth group completed college </w:t>
      </w:r>
      <w:r w:rsidR="00501256">
        <w:rPr>
          <w:rFonts w:ascii="Calibri" w:eastAsia="Calibri" w:hAnsi="Calibri" w:cs="Calibri"/>
        </w:rPr>
        <w:t>(</w:t>
      </w:r>
      <w:r w:rsidR="00501256">
        <w:rPr>
          <w:rFonts w:ascii="Calibri" w:eastAsia="Calibri" w:hAnsi="Calibri" w:cs="Calibri"/>
        </w:rPr>
        <w:fldChar w:fldCharType="begin"/>
      </w:r>
      <w:r w:rsidR="00501256">
        <w:rPr>
          <w:rFonts w:ascii="Calibri" w:eastAsia="Calibri" w:hAnsi="Calibri" w:cs="Calibri"/>
        </w:rPr>
        <w:instrText xml:space="preserve"> REF _Ref153959419 \h </w:instrText>
      </w:r>
      <w:r w:rsidR="004B1105">
        <w:rPr>
          <w:rFonts w:ascii="Calibri" w:eastAsia="Calibri" w:hAnsi="Calibri" w:cs="Calibri"/>
        </w:rPr>
        <w:instrText xml:space="preserve"> \* MERGEFORMAT </w:instrText>
      </w:r>
      <w:r w:rsidR="00501256">
        <w:rPr>
          <w:rFonts w:ascii="Calibri" w:eastAsia="Calibri" w:hAnsi="Calibri" w:cs="Calibri"/>
        </w:rPr>
      </w:r>
      <w:r w:rsidR="00501256">
        <w:rPr>
          <w:rFonts w:ascii="Calibri" w:eastAsia="Calibri" w:hAnsi="Calibri" w:cs="Calibri"/>
        </w:rPr>
        <w:fldChar w:fldCharType="separate"/>
      </w:r>
      <w:r w:rsidR="00932B97" w:rsidRPr="0054370F">
        <w:rPr>
          <w:b/>
          <w:bCs/>
        </w:rPr>
        <w:t xml:space="preserve">Table </w:t>
      </w:r>
      <w:r w:rsidR="00932B97">
        <w:rPr>
          <w:b/>
          <w:bCs/>
        </w:rPr>
        <w:t>4</w:t>
      </w:r>
      <w:r w:rsidR="00501256">
        <w:rPr>
          <w:rFonts w:ascii="Calibri" w:eastAsia="Calibri" w:hAnsi="Calibri" w:cs="Calibri"/>
        </w:rPr>
        <w:fldChar w:fldCharType="end"/>
      </w:r>
      <w:r w:rsidR="00501256">
        <w:rPr>
          <w:rFonts w:ascii="Calibri" w:eastAsia="Calibri" w:hAnsi="Calibri" w:cs="Calibri"/>
        </w:rPr>
        <w:t>).</w:t>
      </w:r>
      <w:r w:rsidR="00A71D3C" w:rsidDel="00CB51A1">
        <w:rPr>
          <w:rFonts w:ascii="Calibri" w:eastAsia="Calibri" w:hAnsi="Calibri" w:cs="Calibri"/>
        </w:rPr>
        <w:t xml:space="preserve"> </w:t>
      </w:r>
      <w:r w:rsidR="00A71D3C">
        <w:rPr>
          <w:rFonts w:ascii="Calibri" w:eastAsia="Calibri" w:hAnsi="Calibri" w:cs="Calibri"/>
        </w:rPr>
        <w:t xml:space="preserve">Even among respondents who were in both the highest-income and highest-wealth group, only 46 percent of Latinx </w:t>
      </w:r>
      <w:r w:rsidR="00AE4838">
        <w:rPr>
          <w:rFonts w:ascii="Calibri" w:eastAsia="Calibri" w:hAnsi="Calibri" w:cs="Calibri"/>
        </w:rPr>
        <w:t>students</w:t>
      </w:r>
      <w:r w:rsidR="00A71D3C">
        <w:rPr>
          <w:rFonts w:ascii="Calibri" w:eastAsia="Calibri" w:hAnsi="Calibri" w:cs="Calibri"/>
        </w:rPr>
        <w:t xml:space="preserve"> and 39 percent of Black </w:t>
      </w:r>
      <w:r w:rsidR="00AE4838">
        <w:rPr>
          <w:rFonts w:ascii="Calibri" w:eastAsia="Calibri" w:hAnsi="Calibri" w:cs="Calibri"/>
        </w:rPr>
        <w:t>students</w:t>
      </w:r>
      <w:r w:rsidR="00A71D3C">
        <w:rPr>
          <w:rFonts w:ascii="Calibri" w:eastAsia="Calibri" w:hAnsi="Calibri" w:cs="Calibri"/>
        </w:rPr>
        <w:t xml:space="preserve"> completed a college degree</w:t>
      </w:r>
      <w:r w:rsidR="00CB51A1">
        <w:rPr>
          <w:rFonts w:ascii="Calibri" w:eastAsia="Calibri" w:hAnsi="Calibri" w:cs="Calibri"/>
        </w:rPr>
        <w:t xml:space="preserve"> </w:t>
      </w:r>
      <w:r w:rsidR="0047333E">
        <w:rPr>
          <w:rFonts w:ascii="Calibri" w:eastAsia="Calibri" w:hAnsi="Calibri" w:cs="Calibri"/>
        </w:rPr>
        <w:t>(</w:t>
      </w:r>
      <w:r w:rsidR="0047333E">
        <w:rPr>
          <w:rFonts w:ascii="Calibri" w:eastAsia="Calibri" w:hAnsi="Calibri" w:cs="Calibri"/>
        </w:rPr>
        <w:fldChar w:fldCharType="begin"/>
      </w:r>
      <w:r w:rsidR="0047333E">
        <w:rPr>
          <w:rFonts w:ascii="Calibri" w:eastAsia="Calibri" w:hAnsi="Calibri" w:cs="Calibri"/>
        </w:rPr>
        <w:instrText xml:space="preserve"> REF _Ref160092385 \h </w:instrText>
      </w:r>
      <w:r w:rsidR="004B1105">
        <w:rPr>
          <w:rFonts w:ascii="Calibri" w:eastAsia="Calibri" w:hAnsi="Calibri" w:cs="Calibri"/>
        </w:rPr>
        <w:instrText xml:space="preserve"> \* MERGEFORMAT </w:instrText>
      </w:r>
      <w:r w:rsidR="0047333E">
        <w:rPr>
          <w:rFonts w:ascii="Calibri" w:eastAsia="Calibri" w:hAnsi="Calibri" w:cs="Calibri"/>
        </w:rPr>
      </w:r>
      <w:r w:rsidR="0047333E">
        <w:rPr>
          <w:rFonts w:ascii="Calibri" w:eastAsia="Calibri" w:hAnsi="Calibri" w:cs="Calibri"/>
        </w:rPr>
        <w:fldChar w:fldCharType="separate"/>
      </w:r>
      <w:r w:rsidR="00932B97" w:rsidRPr="0010735C">
        <w:rPr>
          <w:b/>
          <w:bCs/>
        </w:rPr>
        <w:t xml:space="preserve">Table </w:t>
      </w:r>
      <w:r w:rsidR="00932B97">
        <w:rPr>
          <w:b/>
          <w:bCs/>
        </w:rPr>
        <w:t>5</w:t>
      </w:r>
      <w:r w:rsidR="0047333E">
        <w:rPr>
          <w:rFonts w:ascii="Calibri" w:eastAsia="Calibri" w:hAnsi="Calibri" w:cs="Calibri"/>
        </w:rPr>
        <w:fldChar w:fldCharType="end"/>
      </w:r>
      <w:r w:rsidR="0047333E">
        <w:rPr>
          <w:rFonts w:ascii="Calibri" w:eastAsia="Calibri" w:hAnsi="Calibri" w:cs="Calibri"/>
        </w:rPr>
        <w:t>)</w:t>
      </w:r>
      <w:r w:rsidR="00A71D3C">
        <w:rPr>
          <w:rFonts w:ascii="Calibri" w:eastAsia="Calibri" w:hAnsi="Calibri" w:cs="Calibri"/>
        </w:rPr>
        <w:t>. In fact</w:t>
      </w:r>
      <w:r w:rsidR="00A71D3C" w:rsidRPr="067FA4F0">
        <w:rPr>
          <w:rFonts w:ascii="Calibri" w:eastAsia="Calibri" w:hAnsi="Calibri" w:cs="Calibri"/>
        </w:rPr>
        <w:t xml:space="preserve">, </w:t>
      </w:r>
      <w:r w:rsidR="00A71D3C">
        <w:rPr>
          <w:rFonts w:ascii="Calibri" w:eastAsia="Calibri" w:hAnsi="Calibri" w:cs="Calibri"/>
        </w:rPr>
        <w:t xml:space="preserve">the </w:t>
      </w:r>
      <w:r w:rsidR="00A71D3C" w:rsidRPr="067FA4F0">
        <w:rPr>
          <w:rFonts w:ascii="Calibri" w:eastAsia="Calibri" w:hAnsi="Calibri" w:cs="Calibri"/>
        </w:rPr>
        <w:t xml:space="preserve">college completion </w:t>
      </w:r>
      <w:r w:rsidR="00A71D3C">
        <w:rPr>
          <w:rFonts w:ascii="Calibri" w:eastAsia="Calibri" w:hAnsi="Calibri" w:cs="Calibri"/>
        </w:rPr>
        <w:t>rate</w:t>
      </w:r>
      <w:r w:rsidR="00A71D3C" w:rsidRPr="067FA4F0">
        <w:rPr>
          <w:rFonts w:ascii="Calibri" w:eastAsia="Calibri" w:hAnsi="Calibri" w:cs="Calibri"/>
        </w:rPr>
        <w:t xml:space="preserve"> for Black students </w:t>
      </w:r>
      <w:r w:rsidR="367D55E3" w:rsidRPr="482412E9">
        <w:rPr>
          <w:rFonts w:ascii="Calibri" w:eastAsia="Calibri" w:hAnsi="Calibri" w:cs="Calibri"/>
        </w:rPr>
        <w:t>with the highest incomes</w:t>
      </w:r>
      <w:r w:rsidR="4893AC1E" w:rsidRPr="067FA4F0">
        <w:rPr>
          <w:rFonts w:ascii="Calibri" w:eastAsia="Calibri" w:hAnsi="Calibri" w:cs="Calibri"/>
        </w:rPr>
        <w:t xml:space="preserve"> </w:t>
      </w:r>
      <w:r w:rsidR="00A71D3C">
        <w:rPr>
          <w:rFonts w:ascii="Calibri" w:eastAsia="Calibri" w:hAnsi="Calibri" w:cs="Calibri"/>
        </w:rPr>
        <w:t>(28 percent) is</w:t>
      </w:r>
      <w:r w:rsidR="00A71D3C" w:rsidRPr="067FA4F0">
        <w:rPr>
          <w:rFonts w:ascii="Calibri" w:eastAsia="Calibri" w:hAnsi="Calibri" w:cs="Calibri"/>
        </w:rPr>
        <w:t xml:space="preserve"> lower than</w:t>
      </w:r>
      <w:r w:rsidR="00AA38E3">
        <w:rPr>
          <w:rFonts w:ascii="Calibri" w:eastAsia="Calibri" w:hAnsi="Calibri" w:cs="Calibri"/>
        </w:rPr>
        <w:t xml:space="preserve"> the</w:t>
      </w:r>
      <w:r w:rsidR="00A71D3C" w:rsidRPr="067FA4F0">
        <w:rPr>
          <w:rFonts w:ascii="Calibri" w:eastAsia="Calibri" w:hAnsi="Calibri" w:cs="Calibri"/>
        </w:rPr>
        <w:t xml:space="preserve"> completion </w:t>
      </w:r>
      <w:r w:rsidR="00A71D3C">
        <w:rPr>
          <w:rFonts w:ascii="Calibri" w:eastAsia="Calibri" w:hAnsi="Calibri" w:cs="Calibri"/>
        </w:rPr>
        <w:t>rate</w:t>
      </w:r>
      <w:r w:rsidR="00A71D3C" w:rsidRPr="067FA4F0">
        <w:rPr>
          <w:rFonts w:ascii="Calibri" w:eastAsia="Calibri" w:hAnsi="Calibri" w:cs="Calibri"/>
        </w:rPr>
        <w:t xml:space="preserve"> for students of other </w:t>
      </w:r>
      <w:r w:rsidR="00A71D3C" w:rsidRPr="0247EBEA">
        <w:rPr>
          <w:rFonts w:ascii="Calibri" w:eastAsia="Calibri" w:hAnsi="Calibri" w:cs="Calibri"/>
        </w:rPr>
        <w:t>races</w:t>
      </w:r>
      <w:r w:rsidR="00A71D3C">
        <w:rPr>
          <w:rFonts w:ascii="Calibri" w:eastAsia="Calibri" w:hAnsi="Calibri" w:cs="Calibri"/>
        </w:rPr>
        <w:t xml:space="preserve"> </w:t>
      </w:r>
      <w:r w:rsidR="00A71D3C" w:rsidRPr="067FA4F0">
        <w:rPr>
          <w:rFonts w:ascii="Calibri" w:eastAsia="Calibri" w:hAnsi="Calibri" w:cs="Calibri"/>
        </w:rPr>
        <w:t xml:space="preserve">and </w:t>
      </w:r>
      <w:r w:rsidR="00A71D3C" w:rsidRPr="0247EBEA">
        <w:rPr>
          <w:rFonts w:ascii="Calibri" w:eastAsia="Calibri" w:hAnsi="Calibri" w:cs="Calibri"/>
        </w:rPr>
        <w:t>ethnicities</w:t>
      </w:r>
      <w:r w:rsidR="49950172" w:rsidRPr="482412E9">
        <w:rPr>
          <w:rFonts w:ascii="Calibri" w:eastAsia="Calibri" w:hAnsi="Calibri" w:cs="Calibri"/>
        </w:rPr>
        <w:t xml:space="preserve"> with the lowest incomes</w:t>
      </w:r>
      <w:r w:rsidR="00D442FC">
        <w:rPr>
          <w:rFonts w:ascii="Calibri" w:eastAsia="Calibri" w:hAnsi="Calibri" w:cs="Calibri"/>
        </w:rPr>
        <w:t xml:space="preserve"> (</w:t>
      </w:r>
      <w:r w:rsidR="00D442FC" w:rsidRPr="00F12147">
        <w:rPr>
          <w:rFonts w:ascii="Calibri" w:eastAsia="Calibri" w:hAnsi="Calibri" w:cs="Calibri"/>
          <w:b/>
          <w:bCs/>
        </w:rPr>
        <w:t>Table 4</w:t>
      </w:r>
      <w:r w:rsidR="00D442FC">
        <w:rPr>
          <w:rFonts w:ascii="Calibri" w:eastAsia="Calibri" w:hAnsi="Calibri" w:cs="Calibri"/>
        </w:rPr>
        <w:t>)</w:t>
      </w:r>
      <w:r w:rsidR="4893AC1E" w:rsidRPr="067FA4F0">
        <w:rPr>
          <w:rFonts w:ascii="Calibri" w:eastAsia="Calibri" w:hAnsi="Calibri" w:cs="Calibri"/>
        </w:rPr>
        <w:t>.</w:t>
      </w:r>
      <w:r w:rsidR="00A71D3C" w:rsidRPr="067FA4F0">
        <w:rPr>
          <w:rFonts w:ascii="Calibri" w:eastAsia="Calibri" w:hAnsi="Calibri" w:cs="Calibri"/>
        </w:rPr>
        <w:t xml:space="preserve"> The same </w:t>
      </w:r>
      <w:r w:rsidR="00A71D3C" w:rsidRPr="0247EBEA">
        <w:rPr>
          <w:rFonts w:ascii="Calibri" w:eastAsia="Calibri" w:hAnsi="Calibri" w:cs="Calibri"/>
        </w:rPr>
        <w:t>is</w:t>
      </w:r>
      <w:r w:rsidR="00A71D3C" w:rsidRPr="067FA4F0">
        <w:rPr>
          <w:rFonts w:ascii="Calibri" w:eastAsia="Calibri" w:hAnsi="Calibri" w:cs="Calibri"/>
        </w:rPr>
        <w:t xml:space="preserve"> true for Black students</w:t>
      </w:r>
      <w:r w:rsidR="00A71D3C">
        <w:rPr>
          <w:rFonts w:ascii="Calibri" w:eastAsia="Calibri" w:hAnsi="Calibri" w:cs="Calibri"/>
        </w:rPr>
        <w:t xml:space="preserve"> </w:t>
      </w:r>
      <w:r w:rsidR="18E3FBA2" w:rsidRPr="067FA4F0">
        <w:rPr>
          <w:rFonts w:ascii="Calibri" w:eastAsia="Calibri" w:hAnsi="Calibri" w:cs="Calibri"/>
        </w:rPr>
        <w:t xml:space="preserve">with the highest wealth </w:t>
      </w:r>
      <w:r w:rsidR="00A71D3C">
        <w:rPr>
          <w:rFonts w:ascii="Calibri" w:eastAsia="Calibri" w:hAnsi="Calibri" w:cs="Calibri"/>
        </w:rPr>
        <w:t>(35 percent)</w:t>
      </w:r>
      <w:r w:rsidR="00A71D3C" w:rsidRPr="067FA4F0">
        <w:rPr>
          <w:rFonts w:ascii="Calibri" w:eastAsia="Calibri" w:hAnsi="Calibri" w:cs="Calibri"/>
        </w:rPr>
        <w:t xml:space="preserve"> compared </w:t>
      </w:r>
      <w:r w:rsidR="00A71D3C">
        <w:rPr>
          <w:rFonts w:ascii="Calibri" w:eastAsia="Calibri" w:hAnsi="Calibri" w:cs="Calibri"/>
        </w:rPr>
        <w:t>with</w:t>
      </w:r>
      <w:r w:rsidR="00A71D3C" w:rsidRPr="067FA4F0">
        <w:rPr>
          <w:rFonts w:ascii="Calibri" w:eastAsia="Calibri" w:hAnsi="Calibri" w:cs="Calibri"/>
        </w:rPr>
        <w:t xml:space="preserve"> </w:t>
      </w:r>
      <w:r w:rsidR="007016A0">
        <w:rPr>
          <w:rFonts w:ascii="Calibri" w:eastAsia="Calibri" w:hAnsi="Calibri" w:cs="Calibri"/>
        </w:rPr>
        <w:t xml:space="preserve">the </w:t>
      </w:r>
      <w:r w:rsidR="00C65080">
        <w:rPr>
          <w:rFonts w:ascii="Calibri" w:eastAsia="Calibri" w:hAnsi="Calibri" w:cs="Calibri"/>
        </w:rPr>
        <w:t xml:space="preserve">college completion rates for </w:t>
      </w:r>
      <w:r w:rsidR="00A71D3C" w:rsidRPr="067FA4F0">
        <w:rPr>
          <w:rFonts w:ascii="Calibri" w:eastAsia="Calibri" w:hAnsi="Calibri" w:cs="Calibri"/>
        </w:rPr>
        <w:lastRenderedPageBreak/>
        <w:t>students</w:t>
      </w:r>
      <w:r w:rsidR="00A71D3C" w:rsidRPr="0247EBEA">
        <w:rPr>
          <w:rFonts w:ascii="Calibri" w:eastAsia="Calibri" w:hAnsi="Calibri" w:cs="Calibri"/>
        </w:rPr>
        <w:t xml:space="preserve"> of </w:t>
      </w:r>
      <w:r w:rsidR="007016A0">
        <w:rPr>
          <w:rFonts w:ascii="Calibri" w:eastAsia="Calibri" w:hAnsi="Calibri" w:cs="Calibri"/>
        </w:rPr>
        <w:t>other</w:t>
      </w:r>
      <w:r w:rsidR="00A71D3C" w:rsidRPr="0247EBEA">
        <w:rPr>
          <w:rFonts w:ascii="Calibri" w:eastAsia="Calibri" w:hAnsi="Calibri" w:cs="Calibri"/>
        </w:rPr>
        <w:t xml:space="preserve"> race</w:t>
      </w:r>
      <w:r w:rsidR="007016A0">
        <w:rPr>
          <w:rFonts w:ascii="Calibri" w:eastAsia="Calibri" w:hAnsi="Calibri" w:cs="Calibri"/>
        </w:rPr>
        <w:t>s and ethnicities</w:t>
      </w:r>
      <w:r w:rsidR="6EA72E88" w:rsidRPr="067FA4F0">
        <w:rPr>
          <w:rFonts w:ascii="Calibri" w:eastAsia="Calibri" w:hAnsi="Calibri" w:cs="Calibri"/>
        </w:rPr>
        <w:t xml:space="preserve"> with the lowest wealth</w:t>
      </w:r>
      <w:r w:rsidR="4893AC1E" w:rsidRPr="067FA4F0">
        <w:rPr>
          <w:rFonts w:ascii="Calibri" w:eastAsia="Calibri" w:hAnsi="Calibri" w:cs="Calibri"/>
        </w:rPr>
        <w:t>.</w:t>
      </w:r>
      <w:r w:rsidR="341F9847" w:rsidRPr="482412E9">
        <w:rPr>
          <w:rFonts w:ascii="Calibri" w:eastAsia="Calibri" w:hAnsi="Calibri" w:cs="Calibri"/>
        </w:rPr>
        <w:t xml:space="preserve"> These </w:t>
      </w:r>
      <w:r w:rsidR="7E905CB0" w:rsidRPr="482412E9">
        <w:rPr>
          <w:rFonts w:ascii="Calibri" w:eastAsia="Calibri" w:hAnsi="Calibri" w:cs="Calibri"/>
        </w:rPr>
        <w:t xml:space="preserve">inequities </w:t>
      </w:r>
      <w:r w:rsidR="00D1520B">
        <w:rPr>
          <w:rFonts w:ascii="Calibri" w:eastAsia="Calibri" w:hAnsi="Calibri" w:cs="Calibri"/>
        </w:rPr>
        <w:t xml:space="preserve">imply that neither income nor wealth </w:t>
      </w:r>
      <w:r w:rsidR="00FB3851">
        <w:rPr>
          <w:rFonts w:ascii="Calibri" w:eastAsia="Calibri" w:hAnsi="Calibri" w:cs="Calibri"/>
        </w:rPr>
        <w:t>fully overcome the</w:t>
      </w:r>
      <w:r w:rsidR="005D3C10">
        <w:rPr>
          <w:rFonts w:ascii="Calibri" w:eastAsia="Calibri" w:hAnsi="Calibri" w:cs="Calibri"/>
        </w:rPr>
        <w:t xml:space="preserve"> obstacles that Black students might face</w:t>
      </w:r>
      <w:r w:rsidR="00F85FFC">
        <w:rPr>
          <w:rFonts w:ascii="Calibri" w:eastAsia="Calibri" w:hAnsi="Calibri" w:cs="Calibri"/>
        </w:rPr>
        <w:t xml:space="preserve">, such as </w:t>
      </w:r>
      <w:r w:rsidR="00910EF7">
        <w:rPr>
          <w:rFonts w:ascii="Calibri" w:eastAsia="Calibri" w:hAnsi="Calibri" w:cs="Calibri"/>
        </w:rPr>
        <w:t xml:space="preserve">the </w:t>
      </w:r>
      <w:r w:rsidR="00EB45D9">
        <w:rPr>
          <w:rFonts w:ascii="Calibri" w:eastAsia="Calibri" w:hAnsi="Calibri" w:cs="Calibri"/>
        </w:rPr>
        <w:t xml:space="preserve">underfunding </w:t>
      </w:r>
      <w:r w:rsidR="00E975CB">
        <w:rPr>
          <w:rFonts w:ascii="Calibri" w:eastAsia="Calibri" w:hAnsi="Calibri" w:cs="Calibri"/>
        </w:rPr>
        <w:t xml:space="preserve">of </w:t>
      </w:r>
      <w:r w:rsidR="00943280">
        <w:rPr>
          <w:rFonts w:ascii="Calibri" w:eastAsia="Calibri" w:hAnsi="Calibri" w:cs="Calibri"/>
        </w:rPr>
        <w:t xml:space="preserve">the institutions they </w:t>
      </w:r>
      <w:r w:rsidR="00FB270C">
        <w:rPr>
          <w:rFonts w:ascii="Calibri" w:eastAsia="Calibri" w:hAnsi="Calibri" w:cs="Calibri"/>
        </w:rPr>
        <w:t>attend</w:t>
      </w:r>
      <w:r w:rsidR="0095487E">
        <w:rPr>
          <w:rFonts w:ascii="Calibri" w:eastAsia="Calibri" w:hAnsi="Calibri" w:cs="Calibri"/>
        </w:rPr>
        <w:t xml:space="preserve"> or their</w:t>
      </w:r>
      <w:r w:rsidR="005D3C10">
        <w:rPr>
          <w:rFonts w:ascii="Calibri" w:eastAsia="Calibri" w:hAnsi="Calibri" w:cs="Calibri"/>
        </w:rPr>
        <w:t xml:space="preserve"> </w:t>
      </w:r>
      <w:r w:rsidR="00C22B6B">
        <w:rPr>
          <w:rFonts w:ascii="Calibri" w:eastAsia="Calibri" w:hAnsi="Calibri" w:cs="Calibri"/>
        </w:rPr>
        <w:t>sense of belonging</w:t>
      </w:r>
      <w:r w:rsidR="009B1005">
        <w:rPr>
          <w:rFonts w:ascii="Calibri" w:eastAsia="Calibri" w:hAnsi="Calibri" w:cs="Calibri"/>
        </w:rPr>
        <w:t xml:space="preserve"> in college</w:t>
      </w:r>
      <w:r w:rsidR="00FB3851">
        <w:rPr>
          <w:rFonts w:ascii="Calibri" w:eastAsia="Calibri" w:hAnsi="Calibri" w:cs="Calibri"/>
        </w:rPr>
        <w:t>.</w:t>
      </w:r>
      <w:r w:rsidR="00030E80">
        <w:rPr>
          <w:rStyle w:val="EndnoteReference"/>
          <w:rFonts w:ascii="Calibri" w:eastAsia="Calibri" w:hAnsi="Calibri" w:cs="Calibri"/>
        </w:rPr>
        <w:endnoteReference w:id="61"/>
      </w:r>
      <w:r w:rsidR="00FB3851">
        <w:rPr>
          <w:rFonts w:ascii="Calibri" w:eastAsia="Calibri" w:hAnsi="Calibri" w:cs="Calibri"/>
        </w:rPr>
        <w:t xml:space="preserve"> </w:t>
      </w:r>
      <w:r w:rsidR="00D0415A">
        <w:rPr>
          <w:rFonts w:ascii="Calibri" w:eastAsia="Calibri" w:hAnsi="Calibri" w:cs="Calibri"/>
        </w:rPr>
        <w:t>Institutions can implement e</w:t>
      </w:r>
      <w:r w:rsidR="00F06EF9">
        <w:rPr>
          <w:rFonts w:ascii="Calibri" w:eastAsia="Calibri" w:hAnsi="Calibri" w:cs="Calibri"/>
        </w:rPr>
        <w:t>vidence-based</w:t>
      </w:r>
      <w:r w:rsidR="3375C00E" w:rsidRPr="482412E9">
        <w:rPr>
          <w:rFonts w:ascii="Calibri" w:eastAsia="Calibri" w:hAnsi="Calibri" w:cs="Calibri"/>
        </w:rPr>
        <w:t>, nonfinancial</w:t>
      </w:r>
      <w:r w:rsidR="48068EDE" w:rsidRPr="482412E9">
        <w:rPr>
          <w:rFonts w:ascii="Calibri" w:eastAsia="Calibri" w:hAnsi="Calibri" w:cs="Calibri"/>
        </w:rPr>
        <w:t xml:space="preserve"> </w:t>
      </w:r>
      <w:r w:rsidR="3DE1EBBF" w:rsidRPr="482412E9">
        <w:rPr>
          <w:rFonts w:ascii="Calibri" w:eastAsia="Calibri" w:hAnsi="Calibri" w:cs="Calibri"/>
        </w:rPr>
        <w:t>strategies</w:t>
      </w:r>
      <w:r w:rsidR="32B99CA3" w:rsidRPr="482412E9">
        <w:rPr>
          <w:rFonts w:ascii="Calibri" w:eastAsia="Calibri" w:hAnsi="Calibri" w:cs="Calibri"/>
        </w:rPr>
        <w:t xml:space="preserve"> </w:t>
      </w:r>
      <w:r w:rsidR="00D0415A">
        <w:rPr>
          <w:rFonts w:ascii="Calibri" w:eastAsia="Calibri" w:hAnsi="Calibri" w:cs="Calibri"/>
        </w:rPr>
        <w:t>to</w:t>
      </w:r>
      <w:r w:rsidR="33C085B8" w:rsidRPr="482412E9">
        <w:rPr>
          <w:rFonts w:ascii="Calibri" w:eastAsia="Calibri" w:hAnsi="Calibri" w:cs="Calibri"/>
        </w:rPr>
        <w:t xml:space="preserve"> </w:t>
      </w:r>
      <w:r w:rsidR="3DE1EBBF" w:rsidRPr="482412E9">
        <w:rPr>
          <w:rFonts w:ascii="Calibri" w:eastAsia="Calibri" w:hAnsi="Calibri" w:cs="Calibri"/>
        </w:rPr>
        <w:t xml:space="preserve">increase </w:t>
      </w:r>
      <w:r w:rsidR="304CAC82" w:rsidRPr="482412E9">
        <w:rPr>
          <w:rFonts w:ascii="Calibri" w:eastAsia="Calibri" w:hAnsi="Calibri" w:cs="Calibri"/>
        </w:rPr>
        <w:t>college completion</w:t>
      </w:r>
      <w:r w:rsidR="00D0415A">
        <w:rPr>
          <w:rFonts w:ascii="Calibri" w:eastAsia="Calibri" w:hAnsi="Calibri" w:cs="Calibri"/>
        </w:rPr>
        <w:t xml:space="preserve"> among all students and especially </w:t>
      </w:r>
      <w:r w:rsidR="007F2F01">
        <w:rPr>
          <w:rFonts w:ascii="Calibri" w:eastAsia="Calibri" w:hAnsi="Calibri" w:cs="Calibri"/>
        </w:rPr>
        <w:t xml:space="preserve">Black </w:t>
      </w:r>
      <w:r w:rsidR="00D0415A">
        <w:rPr>
          <w:rFonts w:ascii="Calibri" w:eastAsia="Calibri" w:hAnsi="Calibri" w:cs="Calibri"/>
        </w:rPr>
        <w:t>students</w:t>
      </w:r>
      <w:r w:rsidR="304CAC82" w:rsidRPr="482412E9">
        <w:rPr>
          <w:rFonts w:ascii="Calibri" w:eastAsia="Calibri" w:hAnsi="Calibri" w:cs="Calibri"/>
        </w:rPr>
        <w:t xml:space="preserve">, such as </w:t>
      </w:r>
      <w:r w:rsidR="00122A7F">
        <w:rPr>
          <w:rFonts w:ascii="Calibri" w:eastAsia="Calibri" w:hAnsi="Calibri" w:cs="Calibri"/>
        </w:rPr>
        <w:t>offering</w:t>
      </w:r>
      <w:r w:rsidR="304CAC82" w:rsidRPr="482412E9">
        <w:rPr>
          <w:rFonts w:ascii="Calibri" w:eastAsia="Calibri" w:hAnsi="Calibri" w:cs="Calibri"/>
        </w:rPr>
        <w:t xml:space="preserve"> </w:t>
      </w:r>
      <w:r w:rsidR="78F3EC14" w:rsidRPr="482412E9">
        <w:rPr>
          <w:rFonts w:ascii="Calibri" w:eastAsia="Calibri" w:hAnsi="Calibri" w:cs="Calibri"/>
        </w:rPr>
        <w:t>wraparound supports</w:t>
      </w:r>
      <w:r w:rsidR="19DBC259" w:rsidRPr="482412E9">
        <w:rPr>
          <w:rFonts w:ascii="Calibri" w:eastAsia="Calibri" w:hAnsi="Calibri" w:cs="Calibri"/>
        </w:rPr>
        <w:t xml:space="preserve">, </w:t>
      </w:r>
      <w:r w:rsidR="00122A7F">
        <w:rPr>
          <w:rFonts w:ascii="Calibri" w:eastAsia="Calibri" w:hAnsi="Calibri" w:cs="Calibri"/>
        </w:rPr>
        <w:t>providing clear</w:t>
      </w:r>
      <w:r w:rsidR="00F54234">
        <w:rPr>
          <w:rFonts w:ascii="Calibri" w:eastAsia="Calibri" w:hAnsi="Calibri" w:cs="Calibri"/>
        </w:rPr>
        <w:t xml:space="preserve"> </w:t>
      </w:r>
      <w:r w:rsidR="19DBC259" w:rsidRPr="482412E9">
        <w:rPr>
          <w:rFonts w:ascii="Calibri" w:eastAsia="Calibri" w:hAnsi="Calibri" w:cs="Calibri"/>
        </w:rPr>
        <w:t>advising</w:t>
      </w:r>
      <w:r w:rsidR="00B6068C">
        <w:rPr>
          <w:rFonts w:ascii="Calibri" w:eastAsia="Calibri" w:hAnsi="Calibri" w:cs="Calibri"/>
        </w:rPr>
        <w:t xml:space="preserve"> pathways</w:t>
      </w:r>
      <w:r w:rsidR="19DBC259" w:rsidRPr="482412E9">
        <w:rPr>
          <w:rFonts w:ascii="Calibri" w:eastAsia="Calibri" w:hAnsi="Calibri" w:cs="Calibri"/>
        </w:rPr>
        <w:t xml:space="preserve">, </w:t>
      </w:r>
      <w:r w:rsidR="00B6068C">
        <w:rPr>
          <w:rFonts w:ascii="Calibri" w:eastAsia="Calibri" w:hAnsi="Calibri" w:cs="Calibri"/>
        </w:rPr>
        <w:t>cultivating positive</w:t>
      </w:r>
      <w:r w:rsidR="5E02DFA0" w:rsidRPr="482412E9">
        <w:rPr>
          <w:rFonts w:ascii="Calibri" w:eastAsia="Calibri" w:hAnsi="Calibri" w:cs="Calibri"/>
        </w:rPr>
        <w:t xml:space="preserve"> student experiences</w:t>
      </w:r>
      <w:r w:rsidR="00D0415A">
        <w:rPr>
          <w:rFonts w:ascii="Calibri" w:eastAsia="Calibri" w:hAnsi="Calibri" w:cs="Calibri"/>
        </w:rPr>
        <w:t>, fostering</w:t>
      </w:r>
      <w:r w:rsidR="5E02DFA0" w:rsidRPr="482412E9">
        <w:rPr>
          <w:rFonts w:ascii="Calibri" w:eastAsia="Calibri" w:hAnsi="Calibri" w:cs="Calibri"/>
        </w:rPr>
        <w:t xml:space="preserve"> </w:t>
      </w:r>
      <w:r w:rsidR="00B6068C">
        <w:rPr>
          <w:rFonts w:ascii="Calibri" w:eastAsia="Calibri" w:hAnsi="Calibri" w:cs="Calibri"/>
        </w:rPr>
        <w:t>students’</w:t>
      </w:r>
      <w:r w:rsidR="5E02DFA0" w:rsidRPr="482412E9">
        <w:rPr>
          <w:rFonts w:ascii="Calibri" w:eastAsia="Calibri" w:hAnsi="Calibri" w:cs="Calibri"/>
        </w:rPr>
        <w:t xml:space="preserve"> sense of belonging,</w:t>
      </w:r>
      <w:r w:rsidR="2AC38B93" w:rsidRPr="482412E9">
        <w:rPr>
          <w:rFonts w:ascii="Calibri" w:eastAsia="Calibri" w:hAnsi="Calibri" w:cs="Calibri"/>
        </w:rPr>
        <w:t xml:space="preserve"> and </w:t>
      </w:r>
      <w:r w:rsidR="18EAF806" w:rsidRPr="482412E9">
        <w:rPr>
          <w:rFonts w:ascii="Calibri" w:eastAsia="Calibri" w:hAnsi="Calibri" w:cs="Calibri"/>
        </w:rPr>
        <w:t>improving transferability of credit</w:t>
      </w:r>
      <w:r w:rsidR="78F3EC14" w:rsidRPr="482412E9">
        <w:rPr>
          <w:rFonts w:ascii="Calibri" w:eastAsia="Calibri" w:hAnsi="Calibri" w:cs="Calibri"/>
        </w:rPr>
        <w:t>.</w:t>
      </w:r>
    </w:p>
    <w:p w14:paraId="6163381A" w14:textId="77777777" w:rsidR="00A71D3C" w:rsidRDefault="00A71D3C" w:rsidP="004B1105"/>
    <w:p w14:paraId="2D9EA256" w14:textId="1D6E33CA" w:rsidR="0EB924A6" w:rsidRDefault="0EB924A6" w:rsidP="004B1105">
      <w:pPr>
        <w:pStyle w:val="Heading4"/>
        <w:ind w:left="360"/>
      </w:pPr>
      <w:r>
        <w:t>W</w:t>
      </w:r>
      <w:r w:rsidR="00847A44">
        <w:t xml:space="preserve">ealth is a stronger indicator </w:t>
      </w:r>
      <w:r w:rsidR="00556ED0">
        <w:t>of college completion than income</w:t>
      </w:r>
      <w:r w:rsidR="58C53575">
        <w:t xml:space="preserve"> for Black students</w:t>
      </w:r>
      <w:r w:rsidR="009A2D71">
        <w:t>.</w:t>
      </w:r>
    </w:p>
    <w:p w14:paraId="63FF8A84" w14:textId="77777777" w:rsidR="00323FA0" w:rsidRPr="00323FA0" w:rsidRDefault="00323FA0" w:rsidP="004B1105">
      <w:pPr>
        <w:pStyle w:val="NoSpacing"/>
        <w:ind w:left="360"/>
      </w:pPr>
    </w:p>
    <w:p w14:paraId="72ABB162" w14:textId="00F9D00E" w:rsidR="001500F2" w:rsidRPr="00820FC3" w:rsidRDefault="00D743C0" w:rsidP="004B1105">
      <w:pPr>
        <w:ind w:left="360" w:right="-20"/>
        <w:rPr>
          <w:rFonts w:ascii="Calibri" w:eastAsia="Calibri" w:hAnsi="Calibri" w:cs="Calibri"/>
        </w:rPr>
      </w:pPr>
      <w:r>
        <w:rPr>
          <w:rFonts w:ascii="Calibri" w:eastAsia="Calibri" w:hAnsi="Calibri" w:cs="Calibri"/>
        </w:rPr>
        <w:t xml:space="preserve">Black students </w:t>
      </w:r>
      <w:r w:rsidR="008E05B3">
        <w:rPr>
          <w:rFonts w:ascii="Calibri" w:eastAsia="Calibri" w:hAnsi="Calibri" w:cs="Calibri"/>
        </w:rPr>
        <w:t xml:space="preserve">in the highest-wealth group </w:t>
      </w:r>
      <w:r w:rsidR="007C107F">
        <w:rPr>
          <w:rFonts w:ascii="Calibri" w:eastAsia="Calibri" w:hAnsi="Calibri" w:cs="Calibri"/>
        </w:rPr>
        <w:t>were significantly more likely to complete a degree (35 percent) than Black students in the lowest</w:t>
      </w:r>
      <w:r w:rsidR="00817367">
        <w:rPr>
          <w:rFonts w:ascii="Calibri" w:eastAsia="Calibri" w:hAnsi="Calibri" w:cs="Calibri"/>
        </w:rPr>
        <w:t>-</w:t>
      </w:r>
      <w:r w:rsidR="007C107F">
        <w:rPr>
          <w:rFonts w:ascii="Calibri" w:eastAsia="Calibri" w:hAnsi="Calibri" w:cs="Calibri"/>
        </w:rPr>
        <w:t>wealth (</w:t>
      </w:r>
      <w:r w:rsidR="00817367">
        <w:rPr>
          <w:rFonts w:ascii="Calibri" w:eastAsia="Calibri" w:hAnsi="Calibri" w:cs="Calibri"/>
        </w:rPr>
        <w:t>24 percent) groups</w:t>
      </w:r>
      <w:r w:rsidR="007F20BD">
        <w:rPr>
          <w:rFonts w:ascii="Calibri" w:eastAsia="Calibri" w:hAnsi="Calibri" w:cs="Calibri"/>
        </w:rPr>
        <w:t xml:space="preserve"> (</w:t>
      </w:r>
      <w:r w:rsidR="007F20BD">
        <w:rPr>
          <w:rFonts w:ascii="Calibri" w:eastAsia="Calibri" w:hAnsi="Calibri" w:cs="Calibri"/>
        </w:rPr>
        <w:fldChar w:fldCharType="begin"/>
      </w:r>
      <w:r w:rsidR="007F20BD">
        <w:rPr>
          <w:rFonts w:ascii="Calibri" w:eastAsia="Calibri" w:hAnsi="Calibri" w:cs="Calibri"/>
        </w:rPr>
        <w:instrText xml:space="preserve"> REF _Ref153959419 \h </w:instrText>
      </w:r>
      <w:r w:rsidR="004B1105">
        <w:rPr>
          <w:rFonts w:ascii="Calibri" w:eastAsia="Calibri" w:hAnsi="Calibri" w:cs="Calibri"/>
        </w:rPr>
        <w:instrText xml:space="preserve"> \* MERGEFORMAT </w:instrText>
      </w:r>
      <w:r w:rsidR="007F20BD">
        <w:rPr>
          <w:rFonts w:ascii="Calibri" w:eastAsia="Calibri" w:hAnsi="Calibri" w:cs="Calibri"/>
        </w:rPr>
      </w:r>
      <w:r w:rsidR="007F20BD">
        <w:rPr>
          <w:rFonts w:ascii="Calibri" w:eastAsia="Calibri" w:hAnsi="Calibri" w:cs="Calibri"/>
        </w:rPr>
        <w:fldChar w:fldCharType="separate"/>
      </w:r>
      <w:r w:rsidR="00932B97" w:rsidRPr="0054370F">
        <w:rPr>
          <w:b/>
          <w:bCs/>
        </w:rPr>
        <w:t xml:space="preserve">Table </w:t>
      </w:r>
      <w:r w:rsidR="00932B97">
        <w:rPr>
          <w:b/>
          <w:bCs/>
        </w:rPr>
        <w:t>4</w:t>
      </w:r>
      <w:r w:rsidR="007F20BD">
        <w:rPr>
          <w:rFonts w:ascii="Calibri" w:eastAsia="Calibri" w:hAnsi="Calibri" w:cs="Calibri"/>
        </w:rPr>
        <w:fldChar w:fldCharType="end"/>
      </w:r>
      <w:r w:rsidR="007F20BD">
        <w:rPr>
          <w:rFonts w:ascii="Calibri" w:eastAsia="Calibri" w:hAnsi="Calibri" w:cs="Calibri"/>
        </w:rPr>
        <w:t>)</w:t>
      </w:r>
      <w:r w:rsidR="00817367">
        <w:rPr>
          <w:rFonts w:ascii="Calibri" w:eastAsia="Calibri" w:hAnsi="Calibri" w:cs="Calibri"/>
        </w:rPr>
        <w:t xml:space="preserve">. </w:t>
      </w:r>
      <w:r w:rsidR="009B79C7">
        <w:rPr>
          <w:rFonts w:ascii="Calibri" w:eastAsia="Calibri" w:hAnsi="Calibri" w:cs="Calibri"/>
        </w:rPr>
        <w:t xml:space="preserve">This was not the case for income, </w:t>
      </w:r>
      <w:r w:rsidR="00387AFD">
        <w:rPr>
          <w:rFonts w:ascii="Calibri" w:eastAsia="Calibri" w:hAnsi="Calibri" w:cs="Calibri"/>
        </w:rPr>
        <w:t xml:space="preserve">as there were </w:t>
      </w:r>
      <w:r w:rsidR="00723751">
        <w:rPr>
          <w:rFonts w:ascii="Calibri" w:eastAsia="Calibri" w:hAnsi="Calibri" w:cs="Calibri"/>
        </w:rPr>
        <w:t xml:space="preserve">no statistically significant differences </w:t>
      </w:r>
      <w:r w:rsidR="00D5250A">
        <w:rPr>
          <w:rFonts w:ascii="Calibri" w:eastAsia="Calibri" w:hAnsi="Calibri" w:cs="Calibri"/>
        </w:rPr>
        <w:t xml:space="preserve">in college completion rates </w:t>
      </w:r>
      <w:r w:rsidR="00D05439">
        <w:rPr>
          <w:rFonts w:ascii="Calibri" w:eastAsia="Calibri" w:hAnsi="Calibri" w:cs="Calibri"/>
        </w:rPr>
        <w:t>for Black students by income</w:t>
      </w:r>
      <w:r w:rsidR="007F20BD">
        <w:rPr>
          <w:rFonts w:ascii="Calibri" w:eastAsia="Calibri" w:hAnsi="Calibri" w:cs="Calibri"/>
        </w:rPr>
        <w:t>.</w:t>
      </w:r>
      <w:r w:rsidR="00723751">
        <w:rPr>
          <w:rFonts w:ascii="Calibri" w:eastAsia="Calibri" w:hAnsi="Calibri" w:cs="Calibri"/>
        </w:rPr>
        <w:t xml:space="preserve"> </w:t>
      </w:r>
      <w:r w:rsidR="009D39E8">
        <w:rPr>
          <w:rFonts w:ascii="Calibri" w:eastAsia="Calibri" w:hAnsi="Calibri" w:cs="Calibri"/>
        </w:rPr>
        <w:t>By contrast,</w:t>
      </w:r>
      <w:r w:rsidR="001F47FF">
        <w:rPr>
          <w:rFonts w:ascii="Calibri" w:eastAsia="Calibri" w:hAnsi="Calibri" w:cs="Calibri"/>
        </w:rPr>
        <w:t xml:space="preserve"> </w:t>
      </w:r>
      <w:r w:rsidR="00DC5A0C">
        <w:rPr>
          <w:rFonts w:ascii="Calibri" w:eastAsia="Calibri" w:hAnsi="Calibri" w:cs="Calibri"/>
        </w:rPr>
        <w:t xml:space="preserve">both income and wealth </w:t>
      </w:r>
      <w:r w:rsidR="001F47FF">
        <w:rPr>
          <w:rFonts w:ascii="Calibri" w:eastAsia="Calibri" w:hAnsi="Calibri" w:cs="Calibri"/>
        </w:rPr>
        <w:t xml:space="preserve">were </w:t>
      </w:r>
      <w:r w:rsidR="00DC5A0C">
        <w:rPr>
          <w:rFonts w:ascii="Calibri" w:eastAsia="Calibri" w:hAnsi="Calibri" w:cs="Calibri"/>
        </w:rPr>
        <w:t>positively associated with college completion</w:t>
      </w:r>
      <w:r w:rsidR="008D3983">
        <w:rPr>
          <w:rFonts w:ascii="Calibri" w:eastAsia="Calibri" w:hAnsi="Calibri" w:cs="Calibri"/>
        </w:rPr>
        <w:t xml:space="preserve"> for White students</w:t>
      </w:r>
      <w:r w:rsidR="00DC5A0C">
        <w:rPr>
          <w:rFonts w:ascii="Calibri" w:eastAsia="Calibri" w:hAnsi="Calibri" w:cs="Calibri"/>
        </w:rPr>
        <w:t xml:space="preserve">. </w:t>
      </w:r>
      <w:r w:rsidR="00DA2CCA" w:rsidRPr="067FA4F0" w:rsidDel="00B826BF">
        <w:rPr>
          <w:rFonts w:ascii="Calibri" w:eastAsia="Calibri" w:hAnsi="Calibri" w:cs="Calibri"/>
        </w:rPr>
        <w:t xml:space="preserve">In this analysis, neither income nor wealth had a statistically significant impact on Latinx </w:t>
      </w:r>
      <w:r w:rsidR="00E63253">
        <w:rPr>
          <w:rFonts w:ascii="Calibri" w:eastAsia="Calibri" w:hAnsi="Calibri" w:cs="Calibri"/>
        </w:rPr>
        <w:t xml:space="preserve">students’ </w:t>
      </w:r>
      <w:r w:rsidR="00DA2CCA" w:rsidRPr="067FA4F0" w:rsidDel="00B826BF">
        <w:rPr>
          <w:rFonts w:ascii="Calibri" w:eastAsia="Calibri" w:hAnsi="Calibri" w:cs="Calibri"/>
        </w:rPr>
        <w:t>completion.</w:t>
      </w:r>
      <w:r w:rsidR="00E56089" w:rsidRPr="55A50FE7">
        <w:rPr>
          <w:rFonts w:ascii="Calibri" w:eastAsia="Calibri" w:hAnsi="Calibri" w:cs="Calibri"/>
        </w:rPr>
        <w:t xml:space="preserve"> </w:t>
      </w:r>
      <w:r w:rsidR="00F94879">
        <w:rPr>
          <w:rFonts w:ascii="Calibri" w:eastAsia="Calibri" w:hAnsi="Calibri" w:cs="Calibri"/>
        </w:rPr>
        <w:t xml:space="preserve">These differences </w:t>
      </w:r>
      <w:r w:rsidR="00BC2209">
        <w:rPr>
          <w:rFonts w:ascii="Calibri" w:eastAsia="Calibri" w:hAnsi="Calibri" w:cs="Calibri"/>
        </w:rPr>
        <w:t>give a glimpse into the</w:t>
      </w:r>
      <w:r w:rsidR="00AD47F5">
        <w:rPr>
          <w:rFonts w:ascii="Calibri" w:eastAsia="Calibri" w:hAnsi="Calibri" w:cs="Calibri"/>
        </w:rPr>
        <w:t xml:space="preserve"> complicated</w:t>
      </w:r>
      <w:r w:rsidR="00BC2209">
        <w:rPr>
          <w:rFonts w:ascii="Calibri" w:eastAsia="Calibri" w:hAnsi="Calibri" w:cs="Calibri"/>
        </w:rPr>
        <w:t xml:space="preserve"> interplay between race</w:t>
      </w:r>
      <w:r w:rsidR="00AD47F5">
        <w:rPr>
          <w:rFonts w:ascii="Calibri" w:eastAsia="Calibri" w:hAnsi="Calibri" w:cs="Calibri"/>
        </w:rPr>
        <w:t>, financial resources, and college completion. Looking</w:t>
      </w:r>
      <w:r w:rsidR="00AD47F5" w:rsidDel="001D5337">
        <w:rPr>
          <w:rFonts w:ascii="Calibri" w:eastAsia="Calibri" w:hAnsi="Calibri" w:cs="Calibri"/>
        </w:rPr>
        <w:t xml:space="preserve"> </w:t>
      </w:r>
      <w:r w:rsidR="00AD47F5">
        <w:rPr>
          <w:rFonts w:ascii="Calibri" w:eastAsia="Calibri" w:hAnsi="Calibri" w:cs="Calibri"/>
        </w:rPr>
        <w:t xml:space="preserve">at income </w:t>
      </w:r>
      <w:r w:rsidR="001D5337">
        <w:rPr>
          <w:rFonts w:ascii="Calibri" w:eastAsia="Calibri" w:hAnsi="Calibri" w:cs="Calibri"/>
        </w:rPr>
        <w:t xml:space="preserve">alone </w:t>
      </w:r>
      <w:r w:rsidR="00AD47F5">
        <w:rPr>
          <w:rFonts w:ascii="Calibri" w:eastAsia="Calibri" w:hAnsi="Calibri" w:cs="Calibri"/>
        </w:rPr>
        <w:t>mask</w:t>
      </w:r>
      <w:r w:rsidR="00811186">
        <w:rPr>
          <w:rFonts w:ascii="Calibri" w:eastAsia="Calibri" w:hAnsi="Calibri" w:cs="Calibri"/>
        </w:rPr>
        <w:t>s</w:t>
      </w:r>
      <w:r w:rsidR="00AD47F5">
        <w:rPr>
          <w:rFonts w:ascii="Calibri" w:eastAsia="Calibri" w:hAnsi="Calibri" w:cs="Calibri"/>
        </w:rPr>
        <w:t xml:space="preserve"> </w:t>
      </w:r>
      <w:r w:rsidR="00700607">
        <w:rPr>
          <w:rFonts w:ascii="Calibri" w:eastAsia="Calibri" w:hAnsi="Calibri" w:cs="Calibri"/>
        </w:rPr>
        <w:t>some of these nuances.</w:t>
      </w:r>
      <w:r w:rsidR="00E56089" w:rsidRPr="55A50FE7">
        <w:rPr>
          <w:rFonts w:ascii="Calibri" w:eastAsia="Calibri" w:hAnsi="Calibri" w:cs="Calibri"/>
        </w:rPr>
        <w:t xml:space="preserve"> The </w:t>
      </w:r>
      <w:r w:rsidR="00C734A0" w:rsidRPr="55A50FE7">
        <w:rPr>
          <w:rFonts w:ascii="Calibri" w:eastAsia="Calibri" w:hAnsi="Calibri" w:cs="Calibri"/>
        </w:rPr>
        <w:t xml:space="preserve">substantial impact of wealth on college completion, especially for Black students, demonstrates how crucial it is to address the </w:t>
      </w:r>
      <w:r w:rsidR="009931AE" w:rsidRPr="55A50FE7">
        <w:rPr>
          <w:rFonts w:ascii="Calibri" w:eastAsia="Calibri" w:hAnsi="Calibri" w:cs="Calibri"/>
        </w:rPr>
        <w:t xml:space="preserve">wide and </w:t>
      </w:r>
      <w:r w:rsidR="00C734A0" w:rsidRPr="6A096065">
        <w:rPr>
          <w:rFonts w:ascii="Calibri" w:eastAsia="Calibri" w:hAnsi="Calibri" w:cs="Calibri"/>
        </w:rPr>
        <w:t>longstanding</w:t>
      </w:r>
      <w:r w:rsidR="006B4616" w:rsidRPr="55A50FE7">
        <w:rPr>
          <w:rFonts w:ascii="Calibri" w:eastAsia="Calibri" w:hAnsi="Calibri" w:cs="Calibri"/>
        </w:rPr>
        <w:t xml:space="preserve"> racial wealth gap</w:t>
      </w:r>
      <w:r w:rsidR="00B04192">
        <w:rPr>
          <w:rFonts w:ascii="Calibri" w:eastAsia="Calibri" w:hAnsi="Calibri" w:cs="Calibri"/>
        </w:rPr>
        <w:t xml:space="preserve"> </w:t>
      </w:r>
      <w:proofErr w:type="gramStart"/>
      <w:r w:rsidR="00B04192">
        <w:rPr>
          <w:rFonts w:ascii="Calibri" w:eastAsia="Calibri" w:hAnsi="Calibri" w:cs="Calibri"/>
        </w:rPr>
        <w:t>in order</w:t>
      </w:r>
      <w:r w:rsidR="0C63D51D" w:rsidRPr="55A50FE7">
        <w:rPr>
          <w:rFonts w:ascii="Calibri" w:eastAsia="Calibri" w:hAnsi="Calibri" w:cs="Calibri"/>
        </w:rPr>
        <w:t xml:space="preserve"> to</w:t>
      </w:r>
      <w:proofErr w:type="gramEnd"/>
      <w:r w:rsidR="0C63D51D" w:rsidRPr="55A50FE7">
        <w:rPr>
          <w:rFonts w:ascii="Calibri" w:eastAsia="Calibri" w:hAnsi="Calibri" w:cs="Calibri"/>
        </w:rPr>
        <w:t xml:space="preserve"> advance equity in student outcomes in higher education</w:t>
      </w:r>
      <w:r w:rsidR="009C5549" w:rsidRPr="55A50FE7">
        <w:rPr>
          <w:rFonts w:ascii="Calibri" w:eastAsia="Calibri" w:hAnsi="Calibri" w:cs="Calibri"/>
        </w:rPr>
        <w:t xml:space="preserve">. </w:t>
      </w:r>
    </w:p>
    <w:p w14:paraId="18CEBF2B" w14:textId="77777777" w:rsidR="002B353D" w:rsidRDefault="002B353D" w:rsidP="004B1105">
      <w:pPr>
        <w:rPr>
          <w:rFonts w:ascii="Calibri" w:eastAsia="Calibri" w:hAnsi="Calibri" w:cs="Calibri"/>
        </w:rPr>
      </w:pPr>
    </w:p>
    <w:p w14:paraId="16B3F109" w14:textId="0B8DB2FB" w:rsidR="00DA2CCA" w:rsidRDefault="008637E9" w:rsidP="004B1105">
      <w:pPr>
        <w:pStyle w:val="Heading4"/>
        <w:ind w:left="360"/>
      </w:pPr>
      <w:r>
        <w:t xml:space="preserve"> </w:t>
      </w:r>
      <w:r w:rsidR="00DA2CCA" w:rsidRPr="067FA4F0">
        <w:t>Completion gaps</w:t>
      </w:r>
      <w:r w:rsidR="001D33EB">
        <w:t xml:space="preserve"> by race</w:t>
      </w:r>
      <w:r w:rsidR="27D07668">
        <w:t xml:space="preserve"> and </w:t>
      </w:r>
      <w:r w:rsidR="001D33EB">
        <w:t>ethnicity</w:t>
      </w:r>
      <w:r w:rsidR="00DA2CCA" w:rsidRPr="067FA4F0">
        <w:t xml:space="preserve"> are widest among the highest-income and highest-wealth groups</w:t>
      </w:r>
      <w:r w:rsidR="00DA2CCA">
        <w:t>.</w:t>
      </w:r>
    </w:p>
    <w:p w14:paraId="3BB776DD" w14:textId="77777777" w:rsidR="00DA2CCA" w:rsidRPr="00DA2CCA" w:rsidRDefault="00DA2CCA" w:rsidP="004B1105">
      <w:pPr>
        <w:pStyle w:val="NoSpacing"/>
        <w:ind w:left="360"/>
      </w:pPr>
    </w:p>
    <w:p w14:paraId="2EC104F6" w14:textId="76577735" w:rsidR="00D2130E" w:rsidRDefault="008C6394" w:rsidP="004B1105">
      <w:pPr>
        <w:spacing w:line="257" w:lineRule="auto"/>
        <w:ind w:left="360" w:right="-20"/>
        <w:rPr>
          <w:rFonts w:ascii="Calibri" w:eastAsia="Calibri" w:hAnsi="Calibri" w:cs="Calibri"/>
          <w:color w:val="000000" w:themeColor="text1"/>
        </w:rPr>
      </w:pPr>
      <w:r>
        <w:rPr>
          <w:rFonts w:ascii="Calibri" w:eastAsia="Calibri" w:hAnsi="Calibri" w:cs="Calibri"/>
        </w:rPr>
        <w:t xml:space="preserve">Differences in completion rates by </w:t>
      </w:r>
      <w:r w:rsidRPr="067FA4F0">
        <w:rPr>
          <w:rFonts w:ascii="Calibri" w:eastAsia="Calibri" w:hAnsi="Calibri" w:cs="Calibri"/>
          <w:color w:val="000000" w:themeColor="text1"/>
        </w:rPr>
        <w:t>rac</w:t>
      </w:r>
      <w:r>
        <w:rPr>
          <w:rFonts w:ascii="Calibri" w:eastAsia="Calibri" w:hAnsi="Calibri" w:cs="Calibri"/>
          <w:color w:val="000000" w:themeColor="text1"/>
        </w:rPr>
        <w:t>e</w:t>
      </w:r>
      <w:r w:rsidRPr="067FA4F0">
        <w:rPr>
          <w:rFonts w:ascii="Calibri" w:eastAsia="Calibri" w:hAnsi="Calibri" w:cs="Calibri"/>
          <w:color w:val="000000" w:themeColor="text1"/>
        </w:rPr>
        <w:t xml:space="preserve"> and ethnic</w:t>
      </w:r>
      <w:r>
        <w:rPr>
          <w:rFonts w:ascii="Calibri" w:eastAsia="Calibri" w:hAnsi="Calibri" w:cs="Calibri"/>
          <w:color w:val="000000" w:themeColor="text1"/>
        </w:rPr>
        <w:t>ity</w:t>
      </w:r>
      <w:r w:rsidRPr="067FA4F0">
        <w:rPr>
          <w:rFonts w:ascii="Calibri" w:eastAsia="Calibri" w:hAnsi="Calibri" w:cs="Calibri"/>
          <w:color w:val="000000" w:themeColor="text1"/>
        </w:rPr>
        <w:t xml:space="preserve"> are generally largest among the highest-income </w:t>
      </w:r>
      <w:r>
        <w:rPr>
          <w:rFonts w:ascii="Calibri" w:eastAsia="Calibri" w:hAnsi="Calibri" w:cs="Calibri"/>
          <w:color w:val="000000" w:themeColor="text1"/>
        </w:rPr>
        <w:t>and</w:t>
      </w:r>
      <w:r w:rsidRPr="067FA4F0">
        <w:rPr>
          <w:rFonts w:ascii="Calibri" w:eastAsia="Calibri" w:hAnsi="Calibri" w:cs="Calibri"/>
          <w:color w:val="000000" w:themeColor="text1"/>
        </w:rPr>
        <w:t xml:space="preserve"> the highest-wealth groups.</w:t>
      </w:r>
      <w:r>
        <w:rPr>
          <w:rFonts w:ascii="Calibri" w:eastAsia="Calibri" w:hAnsi="Calibri" w:cs="Calibri"/>
          <w:color w:val="000000" w:themeColor="text1"/>
        </w:rPr>
        <w:t xml:space="preserve"> </w:t>
      </w:r>
      <w:r w:rsidR="006923DA" w:rsidRPr="067FA4F0">
        <w:rPr>
          <w:rFonts w:ascii="Calibri" w:eastAsia="Calibri" w:hAnsi="Calibri" w:cs="Calibri"/>
        </w:rPr>
        <w:t xml:space="preserve">As a result, </w:t>
      </w:r>
      <w:r w:rsidR="006923DA">
        <w:rPr>
          <w:rFonts w:ascii="Calibri" w:eastAsia="Calibri" w:hAnsi="Calibri" w:cs="Calibri"/>
        </w:rPr>
        <w:t>c</w:t>
      </w:r>
      <w:r w:rsidR="00DA2CCA" w:rsidRPr="067FA4F0">
        <w:rPr>
          <w:rFonts w:ascii="Calibri" w:eastAsia="Calibri" w:hAnsi="Calibri" w:cs="Calibri"/>
        </w:rPr>
        <w:t xml:space="preserve">ompletion gaps </w:t>
      </w:r>
      <w:r w:rsidR="00DA2CCA">
        <w:rPr>
          <w:rFonts w:ascii="Calibri" w:eastAsia="Calibri" w:hAnsi="Calibri" w:cs="Calibri"/>
        </w:rPr>
        <w:t xml:space="preserve">by race and ethnicity </w:t>
      </w:r>
      <w:r w:rsidR="652F78A3" w:rsidRPr="067FA4F0">
        <w:rPr>
          <w:rFonts w:ascii="Calibri" w:eastAsia="Calibri" w:hAnsi="Calibri" w:cs="Calibri"/>
        </w:rPr>
        <w:t>widen</w:t>
      </w:r>
      <w:r w:rsidR="693A9E20" w:rsidRPr="067FA4F0">
        <w:rPr>
          <w:rFonts w:ascii="Calibri" w:eastAsia="Calibri" w:hAnsi="Calibri" w:cs="Calibri"/>
        </w:rPr>
        <w:t xml:space="preserve"> with higher income and wealth</w:t>
      </w:r>
      <w:r w:rsidR="00DA2CCA">
        <w:rPr>
          <w:rFonts w:ascii="Calibri" w:eastAsia="Calibri" w:hAnsi="Calibri" w:cs="Calibri"/>
        </w:rPr>
        <w:t xml:space="preserve"> (</w:t>
      </w:r>
      <w:r w:rsidR="00E460E2">
        <w:rPr>
          <w:rFonts w:ascii="Calibri" w:eastAsia="Calibri" w:hAnsi="Calibri" w:cs="Calibri"/>
        </w:rPr>
        <w:fldChar w:fldCharType="begin"/>
      </w:r>
      <w:r w:rsidR="00E460E2">
        <w:rPr>
          <w:rFonts w:ascii="Calibri" w:eastAsia="Calibri" w:hAnsi="Calibri" w:cs="Calibri"/>
        </w:rPr>
        <w:instrText xml:space="preserve"> REF _Ref153959419 \h </w:instrText>
      </w:r>
      <w:r w:rsidR="004B1105">
        <w:rPr>
          <w:rFonts w:ascii="Calibri" w:eastAsia="Calibri" w:hAnsi="Calibri" w:cs="Calibri"/>
        </w:rPr>
        <w:instrText xml:space="preserve"> \* MERGEFORMAT </w:instrText>
      </w:r>
      <w:r w:rsidR="00E460E2">
        <w:rPr>
          <w:rFonts w:ascii="Calibri" w:eastAsia="Calibri" w:hAnsi="Calibri" w:cs="Calibri"/>
        </w:rPr>
      </w:r>
      <w:r w:rsidR="00E460E2">
        <w:rPr>
          <w:rFonts w:ascii="Calibri" w:eastAsia="Calibri" w:hAnsi="Calibri" w:cs="Calibri"/>
        </w:rPr>
        <w:fldChar w:fldCharType="separate"/>
      </w:r>
      <w:r w:rsidR="00932B97" w:rsidRPr="0054370F">
        <w:rPr>
          <w:b/>
          <w:bCs/>
        </w:rPr>
        <w:t xml:space="preserve">Table </w:t>
      </w:r>
      <w:r w:rsidR="00932B97">
        <w:rPr>
          <w:b/>
          <w:bCs/>
        </w:rPr>
        <w:t>4</w:t>
      </w:r>
      <w:r w:rsidR="00E460E2">
        <w:rPr>
          <w:rFonts w:ascii="Calibri" w:eastAsia="Calibri" w:hAnsi="Calibri" w:cs="Calibri"/>
        </w:rPr>
        <w:fldChar w:fldCharType="end"/>
      </w:r>
      <w:r w:rsidR="00DA2CCA">
        <w:rPr>
          <w:rFonts w:ascii="Calibri" w:eastAsia="Calibri" w:hAnsi="Calibri" w:cs="Calibri"/>
        </w:rPr>
        <w:t>)</w:t>
      </w:r>
      <w:r w:rsidR="00DA2CCA" w:rsidRPr="067FA4F0">
        <w:rPr>
          <w:rFonts w:ascii="Calibri" w:eastAsia="Calibri" w:hAnsi="Calibri" w:cs="Calibri"/>
        </w:rPr>
        <w:t xml:space="preserve">. </w:t>
      </w:r>
      <w:r w:rsidR="0F1B1A27">
        <w:rPr>
          <w:rFonts w:ascii="Calibri" w:eastAsia="Calibri" w:hAnsi="Calibri" w:cs="Calibri"/>
          <w:color w:val="000000" w:themeColor="text1"/>
        </w:rPr>
        <w:t>A</w:t>
      </w:r>
      <w:r w:rsidR="00DA2CCA">
        <w:rPr>
          <w:rFonts w:ascii="Calibri" w:eastAsia="Calibri" w:hAnsi="Calibri" w:cs="Calibri"/>
          <w:color w:val="000000" w:themeColor="text1"/>
        </w:rPr>
        <w:t>mong respondents</w:t>
      </w:r>
      <w:r w:rsidR="5804AEF5">
        <w:rPr>
          <w:rFonts w:ascii="Calibri" w:eastAsia="Calibri" w:hAnsi="Calibri" w:cs="Calibri"/>
          <w:color w:val="000000" w:themeColor="text1"/>
        </w:rPr>
        <w:t xml:space="preserve"> with the lowest wealth</w:t>
      </w:r>
      <w:r w:rsidR="00DA2CCA">
        <w:rPr>
          <w:rFonts w:ascii="Calibri" w:eastAsia="Calibri" w:hAnsi="Calibri" w:cs="Calibri"/>
          <w:color w:val="000000" w:themeColor="text1"/>
        </w:rPr>
        <w:t xml:space="preserve">, there is a 16 percentage-point gap in completions </w:t>
      </w:r>
      <w:r w:rsidR="0861F35D">
        <w:rPr>
          <w:rFonts w:ascii="Calibri" w:eastAsia="Calibri" w:hAnsi="Calibri" w:cs="Calibri"/>
          <w:color w:val="000000" w:themeColor="text1"/>
        </w:rPr>
        <w:t xml:space="preserve">between </w:t>
      </w:r>
      <w:r w:rsidR="00DA2CCA">
        <w:rPr>
          <w:rFonts w:ascii="Calibri" w:eastAsia="Calibri" w:hAnsi="Calibri" w:cs="Calibri"/>
          <w:color w:val="000000" w:themeColor="text1"/>
        </w:rPr>
        <w:t>Black students (</w:t>
      </w:r>
      <w:r w:rsidR="007F3143">
        <w:rPr>
          <w:rFonts w:ascii="Calibri" w:eastAsia="Calibri" w:hAnsi="Calibri" w:cs="Calibri"/>
          <w:color w:val="000000" w:themeColor="text1"/>
        </w:rPr>
        <w:t>24</w:t>
      </w:r>
      <w:r w:rsidR="004645D3">
        <w:rPr>
          <w:rFonts w:ascii="Calibri" w:eastAsia="Calibri" w:hAnsi="Calibri" w:cs="Calibri"/>
          <w:color w:val="000000" w:themeColor="text1"/>
        </w:rPr>
        <w:t xml:space="preserve"> percent</w:t>
      </w:r>
      <w:r w:rsidR="00DA2CCA">
        <w:rPr>
          <w:rFonts w:ascii="Calibri" w:eastAsia="Calibri" w:hAnsi="Calibri" w:cs="Calibri"/>
          <w:color w:val="000000" w:themeColor="text1"/>
        </w:rPr>
        <w:t>) and White students (</w:t>
      </w:r>
      <w:r w:rsidR="007F3143">
        <w:rPr>
          <w:rFonts w:ascii="Calibri" w:eastAsia="Calibri" w:hAnsi="Calibri" w:cs="Calibri"/>
          <w:color w:val="000000" w:themeColor="text1"/>
        </w:rPr>
        <w:t>40</w:t>
      </w:r>
      <w:r w:rsidR="004645D3">
        <w:rPr>
          <w:rFonts w:ascii="Calibri" w:eastAsia="Calibri" w:hAnsi="Calibri" w:cs="Calibri"/>
          <w:color w:val="000000" w:themeColor="text1"/>
        </w:rPr>
        <w:t xml:space="preserve"> percent</w:t>
      </w:r>
      <w:r w:rsidR="00DA2CCA" w:rsidRPr="55A50FE7">
        <w:rPr>
          <w:rFonts w:ascii="Calibri" w:eastAsia="Calibri" w:hAnsi="Calibri" w:cs="Calibri"/>
          <w:color w:val="000000" w:themeColor="text1"/>
        </w:rPr>
        <w:t>)</w:t>
      </w:r>
      <w:r w:rsidR="00DA2CCA">
        <w:rPr>
          <w:rFonts w:ascii="Calibri" w:eastAsia="Calibri" w:hAnsi="Calibri" w:cs="Calibri"/>
          <w:color w:val="000000" w:themeColor="text1"/>
        </w:rPr>
        <w:t>.</w:t>
      </w:r>
      <w:r w:rsidR="00F8456F">
        <w:rPr>
          <w:rStyle w:val="EndnoteReference"/>
          <w:rFonts w:ascii="Calibri" w:eastAsia="Calibri" w:hAnsi="Calibri" w:cs="Calibri"/>
          <w:color w:val="000000" w:themeColor="text1"/>
        </w:rPr>
        <w:endnoteReference w:id="62"/>
      </w:r>
      <w:r w:rsidR="00DA2CCA">
        <w:rPr>
          <w:rFonts w:ascii="Calibri" w:eastAsia="Calibri" w:hAnsi="Calibri" w:cs="Calibri"/>
          <w:color w:val="000000" w:themeColor="text1"/>
        </w:rPr>
        <w:t xml:space="preserve"> Among </w:t>
      </w:r>
      <w:r w:rsidR="00C67796">
        <w:rPr>
          <w:rFonts w:ascii="Calibri" w:eastAsia="Calibri" w:hAnsi="Calibri" w:cs="Calibri"/>
          <w:color w:val="000000" w:themeColor="text1"/>
        </w:rPr>
        <w:t>respondents with</w:t>
      </w:r>
      <w:r w:rsidR="00DA2CCA">
        <w:rPr>
          <w:rFonts w:ascii="Calibri" w:eastAsia="Calibri" w:hAnsi="Calibri" w:cs="Calibri"/>
          <w:color w:val="000000" w:themeColor="text1"/>
        </w:rPr>
        <w:t xml:space="preserve"> the highest</w:t>
      </w:r>
      <w:r w:rsidR="356F5921">
        <w:rPr>
          <w:rFonts w:ascii="Calibri" w:eastAsia="Calibri" w:hAnsi="Calibri" w:cs="Calibri"/>
          <w:color w:val="000000" w:themeColor="text1"/>
        </w:rPr>
        <w:t xml:space="preserve"> </w:t>
      </w:r>
      <w:r w:rsidR="00DA2CCA">
        <w:rPr>
          <w:rFonts w:ascii="Calibri" w:eastAsia="Calibri" w:hAnsi="Calibri" w:cs="Calibri"/>
          <w:color w:val="000000" w:themeColor="text1"/>
        </w:rPr>
        <w:t xml:space="preserve">wealth, that gap </w:t>
      </w:r>
      <w:r w:rsidR="004D056D">
        <w:rPr>
          <w:rFonts w:ascii="Calibri" w:eastAsia="Calibri" w:hAnsi="Calibri" w:cs="Calibri"/>
          <w:color w:val="000000" w:themeColor="text1"/>
        </w:rPr>
        <w:t xml:space="preserve">increases </w:t>
      </w:r>
      <w:r w:rsidR="005E7E95">
        <w:rPr>
          <w:rFonts w:ascii="Calibri" w:eastAsia="Calibri" w:hAnsi="Calibri" w:cs="Calibri"/>
          <w:color w:val="000000" w:themeColor="text1"/>
        </w:rPr>
        <w:t xml:space="preserve">to </w:t>
      </w:r>
      <w:r w:rsidR="004D056D">
        <w:rPr>
          <w:rFonts w:ascii="Calibri" w:eastAsia="Calibri" w:hAnsi="Calibri" w:cs="Calibri"/>
          <w:color w:val="000000" w:themeColor="text1"/>
        </w:rPr>
        <w:t xml:space="preserve">25 </w:t>
      </w:r>
      <w:r w:rsidR="00DA2CCA">
        <w:rPr>
          <w:rFonts w:ascii="Calibri" w:eastAsia="Calibri" w:hAnsi="Calibri" w:cs="Calibri"/>
          <w:color w:val="000000" w:themeColor="text1"/>
        </w:rPr>
        <w:t>percentage points (</w:t>
      </w:r>
      <w:r w:rsidR="004D056D">
        <w:rPr>
          <w:rFonts w:ascii="Calibri" w:eastAsia="Calibri" w:hAnsi="Calibri" w:cs="Calibri"/>
          <w:color w:val="000000" w:themeColor="text1"/>
        </w:rPr>
        <w:t xml:space="preserve">35 </w:t>
      </w:r>
      <w:r w:rsidR="004645D3">
        <w:rPr>
          <w:rFonts w:ascii="Calibri" w:eastAsia="Calibri" w:hAnsi="Calibri" w:cs="Calibri"/>
          <w:color w:val="000000" w:themeColor="text1"/>
        </w:rPr>
        <w:t xml:space="preserve">percent </w:t>
      </w:r>
      <w:r w:rsidR="00DA2CCA">
        <w:rPr>
          <w:rFonts w:ascii="Calibri" w:eastAsia="Calibri" w:hAnsi="Calibri" w:cs="Calibri"/>
          <w:color w:val="000000" w:themeColor="text1"/>
        </w:rPr>
        <w:t>and 60</w:t>
      </w:r>
      <w:r w:rsidR="004645D3">
        <w:rPr>
          <w:rFonts w:ascii="Calibri" w:eastAsia="Calibri" w:hAnsi="Calibri" w:cs="Calibri"/>
          <w:color w:val="000000" w:themeColor="text1"/>
        </w:rPr>
        <w:t xml:space="preserve"> percent</w:t>
      </w:r>
      <w:r w:rsidR="00DA2CCA">
        <w:rPr>
          <w:rFonts w:ascii="Calibri" w:eastAsia="Calibri" w:hAnsi="Calibri" w:cs="Calibri"/>
          <w:color w:val="000000" w:themeColor="text1"/>
        </w:rPr>
        <w:t xml:space="preserve">, respectively). </w:t>
      </w:r>
    </w:p>
    <w:p w14:paraId="2615536E" w14:textId="77777777" w:rsidR="00CD0438" w:rsidRDefault="00CD0438" w:rsidP="004B1105">
      <w:pPr>
        <w:spacing w:line="257" w:lineRule="auto"/>
        <w:ind w:left="360" w:right="-20"/>
        <w:rPr>
          <w:rFonts w:ascii="Calibri" w:eastAsia="Calibri" w:hAnsi="Calibri" w:cs="Calibri"/>
          <w:color w:val="000000" w:themeColor="text1"/>
        </w:rPr>
      </w:pPr>
    </w:p>
    <w:p w14:paraId="4BEFBF44" w14:textId="2AF0AE44" w:rsidR="00B21187" w:rsidRPr="00A1735D" w:rsidRDefault="00D2130E" w:rsidP="004B1105">
      <w:pPr>
        <w:spacing w:line="257" w:lineRule="auto"/>
        <w:ind w:left="360" w:right="-20"/>
        <w:rPr>
          <w:rFonts w:ascii="Calibri" w:eastAsia="Calibri" w:hAnsi="Calibri" w:cs="Calibri"/>
        </w:rPr>
      </w:pPr>
      <w:r w:rsidRPr="55A50FE7">
        <w:rPr>
          <w:rFonts w:ascii="Calibri" w:eastAsia="Calibri" w:hAnsi="Calibri" w:cs="Calibri"/>
          <w:color w:val="000000" w:themeColor="text1"/>
        </w:rPr>
        <w:t xml:space="preserve">This </w:t>
      </w:r>
      <w:r w:rsidR="00CD0438" w:rsidRPr="55A50FE7">
        <w:rPr>
          <w:rFonts w:ascii="Calibri" w:eastAsia="Calibri" w:hAnsi="Calibri" w:cs="Calibri"/>
          <w:color w:val="000000" w:themeColor="text1"/>
        </w:rPr>
        <w:t xml:space="preserve">wide gap among </w:t>
      </w:r>
      <w:r w:rsidR="00390D7F" w:rsidRPr="55A50FE7">
        <w:rPr>
          <w:rFonts w:ascii="Calibri" w:eastAsia="Calibri" w:hAnsi="Calibri" w:cs="Calibri"/>
          <w:color w:val="000000" w:themeColor="text1"/>
        </w:rPr>
        <w:t>high</w:t>
      </w:r>
      <w:r w:rsidR="00390D7F">
        <w:rPr>
          <w:rFonts w:ascii="Calibri" w:eastAsia="Calibri" w:hAnsi="Calibri" w:cs="Calibri"/>
          <w:color w:val="000000" w:themeColor="text1"/>
        </w:rPr>
        <w:t>-</w:t>
      </w:r>
      <w:r w:rsidR="00CD0438" w:rsidRPr="55A50FE7">
        <w:rPr>
          <w:rFonts w:ascii="Calibri" w:eastAsia="Calibri" w:hAnsi="Calibri" w:cs="Calibri"/>
          <w:color w:val="000000" w:themeColor="text1"/>
        </w:rPr>
        <w:t xml:space="preserve">wealth respondents could be the result of </w:t>
      </w:r>
      <w:r w:rsidR="00D202C0">
        <w:rPr>
          <w:rFonts w:ascii="Calibri" w:eastAsia="Calibri" w:hAnsi="Calibri" w:cs="Calibri"/>
          <w:color w:val="000000" w:themeColor="text1"/>
        </w:rPr>
        <w:t>several</w:t>
      </w:r>
      <w:r w:rsidR="00CD0438" w:rsidRPr="55A50FE7">
        <w:rPr>
          <w:rFonts w:ascii="Calibri" w:eastAsia="Calibri" w:hAnsi="Calibri" w:cs="Calibri"/>
          <w:color w:val="000000" w:themeColor="text1"/>
        </w:rPr>
        <w:t xml:space="preserve"> factors. For example, </w:t>
      </w:r>
      <w:r w:rsidR="00331D53" w:rsidRPr="55A50FE7">
        <w:rPr>
          <w:rFonts w:ascii="Calibri" w:eastAsia="Calibri" w:hAnsi="Calibri" w:cs="Calibri"/>
          <w:color w:val="000000" w:themeColor="text1"/>
        </w:rPr>
        <w:t>White</w:t>
      </w:r>
      <w:r w:rsidRPr="55A50FE7" w:rsidDel="00331D53">
        <w:rPr>
          <w:rFonts w:ascii="Calibri" w:eastAsia="Calibri" w:hAnsi="Calibri" w:cs="Calibri"/>
          <w:color w:val="000000" w:themeColor="text1"/>
        </w:rPr>
        <w:t xml:space="preserve"> </w:t>
      </w:r>
      <w:r w:rsidR="00331D53" w:rsidRPr="55A50FE7">
        <w:rPr>
          <w:rFonts w:ascii="Calibri" w:eastAsia="Calibri" w:hAnsi="Calibri" w:cs="Calibri"/>
          <w:color w:val="000000" w:themeColor="text1"/>
        </w:rPr>
        <w:t xml:space="preserve">students </w:t>
      </w:r>
      <w:r w:rsidR="17561720" w:rsidRPr="55A50FE7">
        <w:rPr>
          <w:rFonts w:ascii="Calibri" w:eastAsia="Calibri" w:hAnsi="Calibri" w:cs="Calibri"/>
          <w:color w:val="000000" w:themeColor="text1"/>
        </w:rPr>
        <w:t xml:space="preserve">with high wealth </w:t>
      </w:r>
      <w:r w:rsidR="00331D53" w:rsidRPr="55A50FE7">
        <w:rPr>
          <w:rFonts w:ascii="Calibri" w:eastAsia="Calibri" w:hAnsi="Calibri" w:cs="Calibri"/>
          <w:color w:val="000000" w:themeColor="text1"/>
        </w:rPr>
        <w:t xml:space="preserve">may have greater access to </w:t>
      </w:r>
      <w:r w:rsidR="00476431" w:rsidRPr="55A50FE7">
        <w:rPr>
          <w:rFonts w:ascii="Calibri" w:eastAsia="Calibri" w:hAnsi="Calibri" w:cs="Calibri"/>
          <w:color w:val="000000" w:themeColor="text1"/>
        </w:rPr>
        <w:t>selective</w:t>
      </w:r>
      <w:r w:rsidR="00400654" w:rsidRPr="55A50FE7">
        <w:rPr>
          <w:rFonts w:ascii="Calibri" w:eastAsia="Calibri" w:hAnsi="Calibri" w:cs="Calibri"/>
          <w:color w:val="000000" w:themeColor="text1"/>
        </w:rPr>
        <w:t>, well-resourced</w:t>
      </w:r>
      <w:r w:rsidR="00476431" w:rsidRPr="55A50FE7">
        <w:rPr>
          <w:rFonts w:ascii="Calibri" w:eastAsia="Calibri" w:hAnsi="Calibri" w:cs="Calibri"/>
          <w:color w:val="000000" w:themeColor="text1"/>
        </w:rPr>
        <w:t xml:space="preserve"> </w:t>
      </w:r>
      <w:r w:rsidR="00E811BF" w:rsidRPr="55A50FE7">
        <w:rPr>
          <w:rFonts w:ascii="Calibri" w:eastAsia="Calibri" w:hAnsi="Calibri" w:cs="Calibri"/>
          <w:color w:val="000000" w:themeColor="text1"/>
        </w:rPr>
        <w:t xml:space="preserve">colleges </w:t>
      </w:r>
      <w:r w:rsidR="00476431" w:rsidRPr="55A50FE7">
        <w:rPr>
          <w:rFonts w:ascii="Calibri" w:eastAsia="Calibri" w:hAnsi="Calibri" w:cs="Calibri"/>
          <w:color w:val="000000" w:themeColor="text1"/>
        </w:rPr>
        <w:t xml:space="preserve">with </w:t>
      </w:r>
      <w:r w:rsidR="0013347F" w:rsidRPr="55A50FE7">
        <w:rPr>
          <w:rFonts w:ascii="Calibri" w:eastAsia="Calibri" w:hAnsi="Calibri" w:cs="Calibri"/>
          <w:color w:val="000000" w:themeColor="text1"/>
        </w:rPr>
        <w:t>high graduation rates</w:t>
      </w:r>
      <w:r w:rsidR="00944215">
        <w:rPr>
          <w:rFonts w:ascii="Calibri" w:eastAsia="Calibri" w:hAnsi="Calibri" w:cs="Calibri"/>
          <w:color w:val="000000" w:themeColor="text1"/>
        </w:rPr>
        <w:t xml:space="preserve"> than</w:t>
      </w:r>
      <w:r w:rsidR="000D3257">
        <w:rPr>
          <w:rFonts w:ascii="Calibri" w:eastAsia="Calibri" w:hAnsi="Calibri" w:cs="Calibri"/>
          <w:color w:val="000000" w:themeColor="text1"/>
        </w:rPr>
        <w:t xml:space="preserve"> </w:t>
      </w:r>
      <w:r w:rsidR="003F73C3" w:rsidRPr="55A50FE7">
        <w:rPr>
          <w:rFonts w:ascii="Calibri" w:eastAsia="Calibri" w:hAnsi="Calibri" w:cs="Calibri"/>
          <w:color w:val="000000" w:themeColor="text1"/>
        </w:rPr>
        <w:t>Black</w:t>
      </w:r>
      <w:r w:rsidRPr="55A50FE7" w:rsidDel="003F73C3">
        <w:rPr>
          <w:rFonts w:ascii="Calibri" w:eastAsia="Calibri" w:hAnsi="Calibri" w:cs="Calibri"/>
          <w:color w:val="000000" w:themeColor="text1"/>
        </w:rPr>
        <w:t xml:space="preserve"> </w:t>
      </w:r>
      <w:r w:rsidR="003F73C3" w:rsidRPr="55A50FE7">
        <w:rPr>
          <w:rFonts w:ascii="Calibri" w:eastAsia="Calibri" w:hAnsi="Calibri" w:cs="Calibri"/>
          <w:color w:val="000000" w:themeColor="text1"/>
        </w:rPr>
        <w:t xml:space="preserve">students </w:t>
      </w:r>
      <w:r w:rsidR="4BBF38AD" w:rsidRPr="55A50FE7">
        <w:rPr>
          <w:rFonts w:ascii="Calibri" w:eastAsia="Calibri" w:hAnsi="Calibri" w:cs="Calibri"/>
          <w:color w:val="000000" w:themeColor="text1"/>
        </w:rPr>
        <w:t>with high wealth</w:t>
      </w:r>
      <w:r w:rsidR="005036A8">
        <w:rPr>
          <w:rFonts w:ascii="Calibri" w:eastAsia="Calibri" w:hAnsi="Calibri" w:cs="Calibri"/>
          <w:color w:val="000000" w:themeColor="text1"/>
        </w:rPr>
        <w:t>. It is also possible that</w:t>
      </w:r>
      <w:r w:rsidR="003238BD">
        <w:rPr>
          <w:rFonts w:ascii="Calibri" w:eastAsia="Calibri" w:hAnsi="Calibri" w:cs="Calibri"/>
          <w:color w:val="000000" w:themeColor="text1"/>
        </w:rPr>
        <w:t xml:space="preserve"> </w:t>
      </w:r>
      <w:r w:rsidR="00D55650">
        <w:rPr>
          <w:rFonts w:ascii="Calibri" w:eastAsia="Calibri" w:hAnsi="Calibri" w:cs="Calibri"/>
          <w:color w:val="000000" w:themeColor="text1"/>
        </w:rPr>
        <w:t xml:space="preserve">even </w:t>
      </w:r>
      <w:r w:rsidR="00164911">
        <w:rPr>
          <w:rFonts w:ascii="Calibri" w:eastAsia="Calibri" w:hAnsi="Calibri" w:cs="Calibri"/>
          <w:color w:val="000000" w:themeColor="text1"/>
        </w:rPr>
        <w:t>among students in</w:t>
      </w:r>
      <w:r w:rsidR="000361BE" w:rsidRPr="55A50FE7">
        <w:rPr>
          <w:rFonts w:ascii="Calibri" w:eastAsia="Calibri" w:hAnsi="Calibri" w:cs="Calibri"/>
          <w:color w:val="000000" w:themeColor="text1"/>
        </w:rPr>
        <w:t xml:space="preserve"> the top third of the wealth distribution</w:t>
      </w:r>
      <w:r w:rsidR="003238BD">
        <w:rPr>
          <w:rFonts w:ascii="Calibri" w:eastAsia="Calibri" w:hAnsi="Calibri" w:cs="Calibri"/>
          <w:color w:val="000000" w:themeColor="text1"/>
        </w:rPr>
        <w:t xml:space="preserve">, </w:t>
      </w:r>
      <w:r w:rsidR="00C700F4" w:rsidRPr="55A50FE7">
        <w:rPr>
          <w:rFonts w:ascii="Calibri" w:eastAsia="Calibri" w:hAnsi="Calibri" w:cs="Calibri"/>
          <w:color w:val="000000" w:themeColor="text1"/>
        </w:rPr>
        <w:t xml:space="preserve">White students may have substantially more wealth than </w:t>
      </w:r>
      <w:r w:rsidR="000B5254" w:rsidRPr="55A50FE7">
        <w:rPr>
          <w:rFonts w:ascii="Calibri" w:eastAsia="Calibri" w:hAnsi="Calibri" w:cs="Calibri"/>
          <w:color w:val="000000" w:themeColor="text1"/>
        </w:rPr>
        <w:t xml:space="preserve">their </w:t>
      </w:r>
      <w:r w:rsidR="00C700F4" w:rsidRPr="55A50FE7">
        <w:rPr>
          <w:rFonts w:ascii="Calibri" w:eastAsia="Calibri" w:hAnsi="Calibri" w:cs="Calibri"/>
          <w:color w:val="000000" w:themeColor="text1"/>
        </w:rPr>
        <w:t>Black peers.</w:t>
      </w:r>
      <w:r w:rsidR="00DB362A" w:rsidRPr="55A50FE7">
        <w:rPr>
          <w:rFonts w:ascii="Calibri" w:eastAsia="Calibri" w:hAnsi="Calibri" w:cs="Calibri"/>
          <w:color w:val="000000" w:themeColor="text1"/>
        </w:rPr>
        <w:t xml:space="preserve"> </w:t>
      </w:r>
      <w:r w:rsidR="00C44708">
        <w:rPr>
          <w:rFonts w:ascii="Calibri" w:eastAsia="Calibri" w:hAnsi="Calibri" w:cs="Calibri"/>
        </w:rPr>
        <w:t>T</w:t>
      </w:r>
      <w:r w:rsidR="00DA2CCA">
        <w:rPr>
          <w:rFonts w:ascii="Calibri" w:eastAsia="Calibri" w:hAnsi="Calibri" w:cs="Calibri"/>
        </w:rPr>
        <w:t xml:space="preserve">he </w:t>
      </w:r>
      <w:r w:rsidR="00C6653A">
        <w:rPr>
          <w:rFonts w:ascii="Calibri" w:eastAsia="Calibri" w:hAnsi="Calibri" w:cs="Calibri"/>
        </w:rPr>
        <w:t xml:space="preserve">large </w:t>
      </w:r>
      <w:r w:rsidR="006E461B">
        <w:rPr>
          <w:rFonts w:ascii="Calibri" w:eastAsia="Calibri" w:hAnsi="Calibri" w:cs="Calibri"/>
        </w:rPr>
        <w:t xml:space="preserve">differences in completion rates </w:t>
      </w:r>
      <w:r w:rsidR="00C6653A">
        <w:rPr>
          <w:rFonts w:ascii="Calibri" w:eastAsia="Calibri" w:hAnsi="Calibri" w:cs="Calibri"/>
        </w:rPr>
        <w:t>by race and ethnicity</w:t>
      </w:r>
      <w:r w:rsidR="00DA2CCA" w:rsidDel="00FB4553">
        <w:rPr>
          <w:rFonts w:ascii="Calibri" w:eastAsia="Calibri" w:hAnsi="Calibri" w:cs="Calibri"/>
        </w:rPr>
        <w:t xml:space="preserve"> </w:t>
      </w:r>
      <w:r w:rsidR="00DA2CCA">
        <w:rPr>
          <w:rFonts w:ascii="Calibri" w:eastAsia="Calibri" w:hAnsi="Calibri" w:cs="Calibri"/>
        </w:rPr>
        <w:t xml:space="preserve">among respondents </w:t>
      </w:r>
      <w:r w:rsidR="669E0287">
        <w:rPr>
          <w:rFonts w:ascii="Calibri" w:eastAsia="Calibri" w:hAnsi="Calibri" w:cs="Calibri"/>
        </w:rPr>
        <w:t xml:space="preserve">with the highest wealth </w:t>
      </w:r>
      <w:r w:rsidR="00656AB4">
        <w:rPr>
          <w:rFonts w:ascii="Calibri" w:eastAsia="Calibri" w:hAnsi="Calibri" w:cs="Calibri"/>
        </w:rPr>
        <w:t>(</w:t>
      </w:r>
      <w:r w:rsidR="00656AB4">
        <w:rPr>
          <w:rFonts w:ascii="Calibri" w:eastAsia="Calibri" w:hAnsi="Calibri" w:cs="Calibri"/>
        </w:rPr>
        <w:fldChar w:fldCharType="begin"/>
      </w:r>
      <w:r w:rsidR="00656AB4">
        <w:rPr>
          <w:rFonts w:ascii="Calibri" w:eastAsia="Calibri" w:hAnsi="Calibri" w:cs="Calibri"/>
        </w:rPr>
        <w:instrText xml:space="preserve"> REF _Ref162269871 \h </w:instrText>
      </w:r>
      <w:r w:rsidR="00656AB4">
        <w:rPr>
          <w:rFonts w:ascii="Calibri" w:eastAsia="Calibri" w:hAnsi="Calibri" w:cs="Calibri"/>
        </w:rPr>
      </w:r>
      <w:r w:rsidR="00656AB4">
        <w:rPr>
          <w:rFonts w:ascii="Calibri" w:eastAsia="Calibri" w:hAnsi="Calibri" w:cs="Calibri"/>
        </w:rPr>
        <w:fldChar w:fldCharType="separate"/>
      </w:r>
      <w:r w:rsidR="00656AB4" w:rsidRPr="00F12147">
        <w:rPr>
          <w:b/>
          <w:bCs/>
        </w:rPr>
        <w:t xml:space="preserve">Table </w:t>
      </w:r>
      <w:r w:rsidR="00656AB4" w:rsidRPr="00F12147">
        <w:rPr>
          <w:b/>
          <w:bCs/>
          <w:noProof/>
        </w:rPr>
        <w:t>5</w:t>
      </w:r>
      <w:r w:rsidR="00656AB4">
        <w:rPr>
          <w:rFonts w:ascii="Calibri" w:eastAsia="Calibri" w:hAnsi="Calibri" w:cs="Calibri"/>
        </w:rPr>
        <w:fldChar w:fldCharType="end"/>
      </w:r>
      <w:r w:rsidR="00656AB4">
        <w:rPr>
          <w:rFonts w:ascii="Calibri" w:eastAsia="Calibri" w:hAnsi="Calibri" w:cs="Calibri"/>
        </w:rPr>
        <w:t>)</w:t>
      </w:r>
      <w:r w:rsidR="00656AB4">
        <w:rPr>
          <w:b/>
          <w:bCs/>
        </w:rPr>
        <w:t xml:space="preserve"> </w:t>
      </w:r>
      <w:r w:rsidR="00066A9E">
        <w:rPr>
          <w:rFonts w:ascii="Calibri" w:eastAsia="Calibri" w:hAnsi="Calibri" w:cs="Calibri"/>
        </w:rPr>
        <w:t>suggest</w:t>
      </w:r>
      <w:r w:rsidR="00C44708" w:rsidRPr="067FA4F0">
        <w:rPr>
          <w:rFonts w:ascii="Calibri" w:eastAsia="Calibri" w:hAnsi="Calibri" w:cs="Calibri"/>
        </w:rPr>
        <w:t xml:space="preserve"> that closing the racial wealth gap</w:t>
      </w:r>
      <w:r w:rsidR="00C44708">
        <w:rPr>
          <w:rFonts w:ascii="Calibri" w:eastAsia="Calibri" w:hAnsi="Calibri" w:cs="Calibri"/>
        </w:rPr>
        <w:t xml:space="preserve"> </w:t>
      </w:r>
      <w:r w:rsidR="002A20E4" w:rsidRPr="55A50FE7">
        <w:rPr>
          <w:rFonts w:ascii="Calibri" w:eastAsia="Calibri" w:hAnsi="Calibri" w:cs="Calibri"/>
        </w:rPr>
        <w:t xml:space="preserve">is only part of the solution </w:t>
      </w:r>
      <w:r w:rsidR="00FA1831">
        <w:rPr>
          <w:rFonts w:ascii="Calibri" w:eastAsia="Calibri" w:hAnsi="Calibri" w:cs="Calibri"/>
        </w:rPr>
        <w:t xml:space="preserve">to </w:t>
      </w:r>
      <w:r w:rsidR="00C44708" w:rsidRPr="067FA4F0">
        <w:rPr>
          <w:rFonts w:ascii="Calibri" w:eastAsia="Calibri" w:hAnsi="Calibri" w:cs="Calibri"/>
        </w:rPr>
        <w:t>clos</w:t>
      </w:r>
      <w:r w:rsidR="002A20E4" w:rsidRPr="55A50FE7">
        <w:rPr>
          <w:rFonts w:ascii="Calibri" w:eastAsia="Calibri" w:hAnsi="Calibri" w:cs="Calibri"/>
        </w:rPr>
        <w:t>ing</w:t>
      </w:r>
      <w:r w:rsidR="00C44708" w:rsidRPr="067FA4F0">
        <w:rPr>
          <w:rFonts w:ascii="Calibri" w:eastAsia="Calibri" w:hAnsi="Calibri" w:cs="Calibri"/>
        </w:rPr>
        <w:t xml:space="preserve"> the college </w:t>
      </w:r>
      <w:r w:rsidR="00C44708">
        <w:rPr>
          <w:rFonts w:ascii="Calibri" w:eastAsia="Calibri" w:hAnsi="Calibri" w:cs="Calibri"/>
        </w:rPr>
        <w:t>completion</w:t>
      </w:r>
      <w:r w:rsidR="00C44708" w:rsidRPr="067FA4F0">
        <w:rPr>
          <w:rFonts w:ascii="Calibri" w:eastAsia="Calibri" w:hAnsi="Calibri" w:cs="Calibri"/>
        </w:rPr>
        <w:t xml:space="preserve"> gap. </w:t>
      </w:r>
    </w:p>
    <w:p w14:paraId="2A6E0152" w14:textId="77777777" w:rsidR="00571F1D" w:rsidRDefault="00571F1D" w:rsidP="004B1105">
      <w:pPr>
        <w:ind w:left="360"/>
      </w:pPr>
    </w:p>
    <w:p w14:paraId="774190D0" w14:textId="28286BC0" w:rsidR="00F422F6" w:rsidRDefault="00DA3160" w:rsidP="004B1105">
      <w:pPr>
        <w:pStyle w:val="Heading3"/>
      </w:pPr>
      <w:bookmarkStart w:id="31" w:name="_Toc167901753"/>
      <w:r>
        <w:t xml:space="preserve">How Wealth </w:t>
      </w:r>
      <w:r w:rsidR="00D75CD6">
        <w:t xml:space="preserve">Is </w:t>
      </w:r>
      <w:r>
        <w:t xml:space="preserve">Associated with </w:t>
      </w:r>
      <w:r w:rsidR="000660C3">
        <w:t>Student Loan Borrowing</w:t>
      </w:r>
      <w:bookmarkEnd w:id="31"/>
    </w:p>
    <w:p w14:paraId="58ABCDE5" w14:textId="52476F39" w:rsidR="7377D666" w:rsidRDefault="7377D666" w:rsidP="004B1105"/>
    <w:p w14:paraId="07085ECE" w14:textId="12150A2C" w:rsidR="00FE4334" w:rsidRDefault="3C0AE5FB" w:rsidP="004B1105">
      <w:pPr>
        <w:pStyle w:val="Heading4"/>
        <w:ind w:left="360"/>
      </w:pPr>
      <w:r>
        <w:t xml:space="preserve">For some students, wealth is associated with </w:t>
      </w:r>
      <w:r w:rsidR="00D75CD6">
        <w:t xml:space="preserve">the </w:t>
      </w:r>
      <w:r>
        <w:t>likelihood of borrowing</w:t>
      </w:r>
      <w:r w:rsidR="00413796">
        <w:t xml:space="preserve"> for college</w:t>
      </w:r>
      <w:r w:rsidR="00D75CD6">
        <w:t>.</w:t>
      </w:r>
    </w:p>
    <w:p w14:paraId="4D801F84" w14:textId="4E6F4D1A" w:rsidR="00FE4334" w:rsidRDefault="00FE4334" w:rsidP="004B1105">
      <w:pPr>
        <w:ind w:left="360"/>
        <w:rPr>
          <w:highlight w:val="yellow"/>
        </w:rPr>
      </w:pPr>
    </w:p>
    <w:p w14:paraId="2A737094" w14:textId="29CEE5DC" w:rsidR="00FE4334" w:rsidRDefault="00C4171A" w:rsidP="004B1105">
      <w:pPr>
        <w:ind w:left="360"/>
        <w:rPr>
          <w:rFonts w:ascii="Calibri" w:eastAsia="Calibri" w:hAnsi="Calibri" w:cs="Calibri"/>
        </w:rPr>
      </w:pPr>
      <w:r w:rsidRPr="577C651A">
        <w:rPr>
          <w:rFonts w:ascii="Calibri" w:eastAsia="Calibri" w:hAnsi="Calibri" w:cs="Calibri"/>
        </w:rPr>
        <w:t>Within the same rac</w:t>
      </w:r>
      <w:r w:rsidR="0021258F" w:rsidRPr="577C651A">
        <w:rPr>
          <w:rFonts w:ascii="Calibri" w:eastAsia="Calibri" w:hAnsi="Calibri" w:cs="Calibri"/>
        </w:rPr>
        <w:t xml:space="preserve">e or ethnicity group, </w:t>
      </w:r>
      <w:r w:rsidR="00FE4334" w:rsidRPr="577C651A">
        <w:rPr>
          <w:rFonts w:ascii="Calibri" w:eastAsia="Calibri" w:hAnsi="Calibri" w:cs="Calibri"/>
        </w:rPr>
        <w:t>the share of students who borrow is</w:t>
      </w:r>
      <w:r w:rsidR="0021258F" w:rsidRPr="577C651A">
        <w:rPr>
          <w:rFonts w:ascii="Calibri" w:eastAsia="Calibri" w:hAnsi="Calibri" w:cs="Calibri"/>
        </w:rPr>
        <w:t xml:space="preserve"> generally</w:t>
      </w:r>
      <w:r w:rsidR="00FE4334" w:rsidRPr="577C651A">
        <w:rPr>
          <w:rFonts w:ascii="Calibri" w:eastAsia="Calibri" w:hAnsi="Calibri" w:cs="Calibri"/>
        </w:rPr>
        <w:t xml:space="preserve"> similar across income levels</w:t>
      </w:r>
      <w:r w:rsidR="00C25B39" w:rsidRPr="577C651A">
        <w:rPr>
          <w:rFonts w:ascii="Calibri" w:eastAsia="Calibri" w:hAnsi="Calibri" w:cs="Calibri"/>
        </w:rPr>
        <w:t xml:space="preserve">. </w:t>
      </w:r>
      <w:r w:rsidR="53DB7C0D" w:rsidRPr="577C651A">
        <w:rPr>
          <w:rFonts w:ascii="Calibri" w:eastAsia="Calibri" w:hAnsi="Calibri" w:cs="Calibri"/>
        </w:rPr>
        <w:t>T</w:t>
      </w:r>
      <w:r w:rsidR="20A767C9" w:rsidRPr="577C651A">
        <w:rPr>
          <w:rFonts w:ascii="Calibri" w:eastAsia="Calibri" w:hAnsi="Calibri" w:cs="Calibri"/>
        </w:rPr>
        <w:t xml:space="preserve">his </w:t>
      </w:r>
      <w:r w:rsidR="008F458F" w:rsidRPr="577C651A">
        <w:rPr>
          <w:rFonts w:ascii="Calibri" w:eastAsia="Calibri" w:hAnsi="Calibri" w:cs="Calibri"/>
        </w:rPr>
        <w:t xml:space="preserve">analysis finds </w:t>
      </w:r>
      <w:r w:rsidR="0A9559C6" w:rsidRPr="577C651A">
        <w:rPr>
          <w:rFonts w:ascii="Calibri" w:eastAsia="Calibri" w:hAnsi="Calibri" w:cs="Calibri"/>
        </w:rPr>
        <w:t>tha</w:t>
      </w:r>
      <w:r w:rsidR="4C77EF77" w:rsidRPr="577C651A">
        <w:rPr>
          <w:rFonts w:ascii="Calibri" w:eastAsia="Calibri" w:hAnsi="Calibri" w:cs="Calibri"/>
        </w:rPr>
        <w:t>t</w:t>
      </w:r>
      <w:r w:rsidR="0A9559C6" w:rsidRPr="577C651A">
        <w:rPr>
          <w:rFonts w:ascii="Calibri" w:eastAsia="Calibri" w:hAnsi="Calibri" w:cs="Calibri"/>
        </w:rPr>
        <w:t xml:space="preserve"> </w:t>
      </w:r>
      <w:r w:rsidR="688A0AFF" w:rsidRPr="577C651A">
        <w:rPr>
          <w:rFonts w:ascii="Calibri" w:eastAsia="Calibri" w:hAnsi="Calibri" w:cs="Calibri"/>
        </w:rPr>
        <w:t>having a higher</w:t>
      </w:r>
      <w:r w:rsidR="00100C71" w:rsidRPr="577C651A">
        <w:rPr>
          <w:rFonts w:ascii="Calibri" w:eastAsia="Calibri" w:hAnsi="Calibri" w:cs="Calibri"/>
        </w:rPr>
        <w:t xml:space="preserve"> household</w:t>
      </w:r>
      <w:r w:rsidR="00FE4334" w:rsidRPr="577C651A">
        <w:rPr>
          <w:rFonts w:ascii="Calibri" w:eastAsia="Calibri" w:hAnsi="Calibri" w:cs="Calibri"/>
        </w:rPr>
        <w:t xml:space="preserve"> income does not necessarily </w:t>
      </w:r>
      <w:r w:rsidR="00FE4334" w:rsidRPr="577C651A">
        <w:rPr>
          <w:rFonts w:ascii="Calibri" w:eastAsia="Calibri" w:hAnsi="Calibri" w:cs="Calibri"/>
        </w:rPr>
        <w:lastRenderedPageBreak/>
        <w:t>make students less likely to take out student loans</w:t>
      </w:r>
      <w:r w:rsidR="008D16B0" w:rsidRPr="577C651A">
        <w:rPr>
          <w:rFonts w:ascii="Calibri" w:eastAsia="Calibri" w:hAnsi="Calibri" w:cs="Calibri"/>
        </w:rPr>
        <w:t xml:space="preserve"> (</w:t>
      </w:r>
      <w:r w:rsidR="00422304">
        <w:rPr>
          <w:rFonts w:ascii="Calibri" w:eastAsia="Calibri" w:hAnsi="Calibri" w:cs="Calibri"/>
        </w:rPr>
        <w:fldChar w:fldCharType="begin"/>
      </w:r>
      <w:r w:rsidR="00422304">
        <w:rPr>
          <w:rFonts w:ascii="Calibri" w:eastAsia="Calibri" w:hAnsi="Calibri" w:cs="Calibri"/>
        </w:rPr>
        <w:instrText xml:space="preserve"> REF _Ref160092365 \h </w:instrText>
      </w:r>
      <w:r w:rsidR="004B1105">
        <w:rPr>
          <w:rFonts w:ascii="Calibri" w:eastAsia="Calibri" w:hAnsi="Calibri" w:cs="Calibri"/>
        </w:rPr>
        <w:instrText xml:space="preserve"> \* MERGEFORMAT </w:instrText>
      </w:r>
      <w:r w:rsidR="00422304">
        <w:rPr>
          <w:rFonts w:ascii="Calibri" w:eastAsia="Calibri" w:hAnsi="Calibri" w:cs="Calibri"/>
        </w:rPr>
      </w:r>
      <w:r w:rsidR="00422304">
        <w:rPr>
          <w:rFonts w:ascii="Calibri" w:eastAsia="Calibri" w:hAnsi="Calibri" w:cs="Calibri"/>
        </w:rPr>
        <w:fldChar w:fldCharType="separate"/>
      </w:r>
      <w:r w:rsidR="00932B97" w:rsidRPr="0054370F">
        <w:rPr>
          <w:b/>
          <w:bCs/>
        </w:rPr>
        <w:t xml:space="preserve">Table </w:t>
      </w:r>
      <w:r w:rsidR="00932B97">
        <w:rPr>
          <w:b/>
          <w:bCs/>
        </w:rPr>
        <w:t>4</w:t>
      </w:r>
      <w:r w:rsidR="00422304">
        <w:rPr>
          <w:rFonts w:ascii="Calibri" w:eastAsia="Calibri" w:hAnsi="Calibri" w:cs="Calibri"/>
        </w:rPr>
        <w:fldChar w:fldCharType="end"/>
      </w:r>
      <w:r w:rsidR="008D16B0" w:rsidRPr="577C651A">
        <w:rPr>
          <w:rFonts w:ascii="Calibri" w:eastAsia="Calibri" w:hAnsi="Calibri" w:cs="Calibri"/>
        </w:rPr>
        <w:t>)</w:t>
      </w:r>
      <w:r w:rsidR="00FE4334" w:rsidRPr="577C651A">
        <w:rPr>
          <w:rFonts w:ascii="Calibri" w:eastAsia="Calibri" w:hAnsi="Calibri" w:cs="Calibri"/>
        </w:rPr>
        <w:t>.</w:t>
      </w:r>
      <w:r w:rsidR="00FE4334" w:rsidRPr="067FA4F0">
        <w:rPr>
          <w:rFonts w:ascii="Calibri" w:eastAsia="Calibri" w:hAnsi="Calibri" w:cs="Calibri"/>
        </w:rPr>
        <w:t xml:space="preserve"> </w:t>
      </w:r>
      <w:r w:rsidR="1547C2A0" w:rsidRPr="067FA4F0">
        <w:rPr>
          <w:rFonts w:ascii="Calibri" w:eastAsia="Calibri" w:hAnsi="Calibri" w:cs="Calibri"/>
        </w:rPr>
        <w:t>This is</w:t>
      </w:r>
      <w:r w:rsidR="00FE4334" w:rsidRPr="067FA4F0" w:rsidDel="53470B63">
        <w:rPr>
          <w:rFonts w:ascii="Calibri" w:eastAsia="Calibri" w:hAnsi="Calibri" w:cs="Calibri"/>
        </w:rPr>
        <w:t xml:space="preserve"> c</w:t>
      </w:r>
      <w:r w:rsidR="00FE4334" w:rsidRPr="668A10C5" w:rsidDel="53470B63">
        <w:rPr>
          <w:rFonts w:ascii="Calibri" w:eastAsia="Calibri" w:hAnsi="Calibri" w:cs="Calibri"/>
          <w:color w:val="000000" w:themeColor="text1"/>
        </w:rPr>
        <w:t>onsistent with prior research</w:t>
      </w:r>
      <w:r w:rsidR="1547C2A0" w:rsidRPr="668A10C5">
        <w:rPr>
          <w:rFonts w:ascii="Calibri" w:eastAsia="Calibri" w:hAnsi="Calibri" w:cs="Calibri"/>
          <w:color w:val="000000" w:themeColor="text1"/>
        </w:rPr>
        <w:t xml:space="preserve"> that has found the relationship between household</w:t>
      </w:r>
      <w:r w:rsidR="00B646BC" w:rsidRPr="668A10C5">
        <w:rPr>
          <w:rFonts w:ascii="Calibri" w:eastAsia="Calibri" w:hAnsi="Calibri" w:cs="Calibri"/>
          <w:color w:val="000000" w:themeColor="text1"/>
        </w:rPr>
        <w:t xml:space="preserve"> income</w:t>
      </w:r>
      <w:r w:rsidR="008D16B0" w:rsidRPr="668A10C5">
        <w:rPr>
          <w:rFonts w:ascii="Calibri" w:eastAsia="Calibri" w:hAnsi="Calibri" w:cs="Calibri"/>
          <w:color w:val="000000" w:themeColor="text1"/>
        </w:rPr>
        <w:t xml:space="preserve"> </w:t>
      </w:r>
      <w:r w:rsidR="1547C2A0" w:rsidRPr="668A10C5">
        <w:rPr>
          <w:rFonts w:ascii="Calibri" w:eastAsia="Calibri" w:hAnsi="Calibri" w:cs="Calibri"/>
          <w:color w:val="000000" w:themeColor="text1"/>
        </w:rPr>
        <w:t>and student loan debt is nonlinear.</w:t>
      </w:r>
      <w:r w:rsidR="00C56609">
        <w:rPr>
          <w:rStyle w:val="EndnoteReference"/>
          <w:rFonts w:ascii="Calibri" w:eastAsia="Calibri" w:hAnsi="Calibri" w:cs="Calibri"/>
          <w:color w:val="000000" w:themeColor="text1"/>
        </w:rPr>
        <w:endnoteReference w:id="63"/>
      </w:r>
      <w:r w:rsidR="00FE4334">
        <w:rPr>
          <w:rFonts w:ascii="Calibri" w:eastAsia="Calibri" w:hAnsi="Calibri" w:cs="Calibri"/>
          <w:color w:val="000000" w:themeColor="text1"/>
        </w:rPr>
        <w:t xml:space="preserve"> </w:t>
      </w:r>
    </w:p>
    <w:p w14:paraId="128B76B0" w14:textId="77777777" w:rsidR="001500F2" w:rsidRDefault="001500F2" w:rsidP="004B1105">
      <w:pPr>
        <w:ind w:left="360"/>
        <w:rPr>
          <w:rFonts w:ascii="Calibri" w:eastAsia="Calibri" w:hAnsi="Calibri" w:cs="Calibri"/>
        </w:rPr>
      </w:pPr>
    </w:p>
    <w:p w14:paraId="4636E4D1" w14:textId="26E84839" w:rsidR="00EB3688" w:rsidRDefault="00FE4334" w:rsidP="004B1105">
      <w:pPr>
        <w:ind w:left="360"/>
        <w:rPr>
          <w:rFonts w:ascii="Calibri" w:eastAsia="Calibri" w:hAnsi="Calibri" w:cs="Calibri"/>
        </w:rPr>
      </w:pPr>
      <w:r w:rsidRPr="6ECD2265">
        <w:rPr>
          <w:rFonts w:ascii="Calibri" w:eastAsia="Calibri" w:hAnsi="Calibri" w:cs="Calibri"/>
        </w:rPr>
        <w:t xml:space="preserve">Wealth, on the other hand, is associated with significant differences in borrowing for White students as well as </w:t>
      </w:r>
      <w:r w:rsidR="5DDD09C0" w:rsidRPr="6ECD2265">
        <w:rPr>
          <w:rFonts w:ascii="Calibri" w:eastAsia="Calibri" w:hAnsi="Calibri" w:cs="Calibri"/>
        </w:rPr>
        <w:t xml:space="preserve">for </w:t>
      </w:r>
      <w:r w:rsidRPr="6ECD2265">
        <w:rPr>
          <w:rFonts w:ascii="Calibri" w:eastAsia="Calibri" w:hAnsi="Calibri" w:cs="Calibri"/>
        </w:rPr>
        <w:t>students of another race. As their household wealth increases,</w:t>
      </w:r>
      <w:r w:rsidR="0028087E" w:rsidRPr="6ECD2265">
        <w:rPr>
          <w:rFonts w:ascii="Calibri" w:eastAsia="Calibri" w:hAnsi="Calibri" w:cs="Calibri"/>
        </w:rPr>
        <w:t xml:space="preserve"> </w:t>
      </w:r>
      <w:r w:rsidR="0054552E" w:rsidRPr="6ECD2265">
        <w:rPr>
          <w:rFonts w:ascii="Calibri" w:eastAsia="Calibri" w:hAnsi="Calibri" w:cs="Calibri"/>
        </w:rPr>
        <w:t xml:space="preserve">White </w:t>
      </w:r>
      <w:r w:rsidRPr="6ECD2265">
        <w:rPr>
          <w:rFonts w:ascii="Calibri" w:eastAsia="Calibri" w:hAnsi="Calibri" w:cs="Calibri"/>
        </w:rPr>
        <w:t>students</w:t>
      </w:r>
      <w:r w:rsidR="0054552E" w:rsidRPr="6ECD2265">
        <w:rPr>
          <w:rFonts w:ascii="Calibri" w:eastAsia="Calibri" w:hAnsi="Calibri" w:cs="Calibri"/>
        </w:rPr>
        <w:t xml:space="preserve"> and students of another race</w:t>
      </w:r>
      <w:r w:rsidRPr="6ECD2265">
        <w:rPr>
          <w:rFonts w:ascii="Calibri" w:eastAsia="Calibri" w:hAnsi="Calibri" w:cs="Calibri"/>
        </w:rPr>
        <w:t xml:space="preserve"> </w:t>
      </w:r>
      <w:r w:rsidR="00E74C86" w:rsidRPr="6ECD2265">
        <w:rPr>
          <w:rFonts w:ascii="Calibri" w:eastAsia="Calibri" w:hAnsi="Calibri" w:cs="Calibri"/>
        </w:rPr>
        <w:t>are</w:t>
      </w:r>
      <w:r w:rsidRPr="6ECD2265">
        <w:rPr>
          <w:rFonts w:ascii="Calibri" w:eastAsia="Calibri" w:hAnsi="Calibri" w:cs="Calibri"/>
        </w:rPr>
        <w:t xml:space="preserve"> less likely to borrow. </w:t>
      </w:r>
      <w:r w:rsidR="00563B51" w:rsidRPr="6ECD2265">
        <w:rPr>
          <w:rFonts w:ascii="Calibri" w:eastAsia="Calibri" w:hAnsi="Calibri" w:cs="Calibri"/>
        </w:rPr>
        <w:t xml:space="preserve">For example, </w:t>
      </w:r>
      <w:r w:rsidR="00B310B3" w:rsidRPr="6ECD2265">
        <w:rPr>
          <w:rFonts w:ascii="Calibri" w:eastAsia="Calibri" w:hAnsi="Calibri" w:cs="Calibri"/>
        </w:rPr>
        <w:t xml:space="preserve">76 percent of White students </w:t>
      </w:r>
      <w:r w:rsidR="4D5418EA" w:rsidRPr="6ECD2265">
        <w:rPr>
          <w:rFonts w:ascii="Calibri" w:eastAsia="Calibri" w:hAnsi="Calibri" w:cs="Calibri"/>
        </w:rPr>
        <w:t xml:space="preserve">with the lowest wealth </w:t>
      </w:r>
      <w:r w:rsidR="003E395C">
        <w:rPr>
          <w:rFonts w:ascii="Calibri" w:eastAsia="Calibri" w:hAnsi="Calibri" w:cs="Calibri"/>
        </w:rPr>
        <w:t>took out</w:t>
      </w:r>
      <w:r w:rsidR="003E395C" w:rsidRPr="6ECD2265">
        <w:rPr>
          <w:rFonts w:ascii="Calibri" w:eastAsia="Calibri" w:hAnsi="Calibri" w:cs="Calibri"/>
        </w:rPr>
        <w:t xml:space="preserve"> </w:t>
      </w:r>
      <w:r w:rsidR="00B310B3" w:rsidRPr="6ECD2265">
        <w:rPr>
          <w:rFonts w:ascii="Calibri" w:eastAsia="Calibri" w:hAnsi="Calibri" w:cs="Calibri"/>
        </w:rPr>
        <w:t>student loans</w:t>
      </w:r>
      <w:r w:rsidR="003E395C">
        <w:rPr>
          <w:rFonts w:ascii="Calibri" w:eastAsia="Calibri" w:hAnsi="Calibri" w:cs="Calibri"/>
        </w:rPr>
        <w:t>,</w:t>
      </w:r>
      <w:r w:rsidR="00B310B3" w:rsidRPr="6ECD2265">
        <w:rPr>
          <w:rFonts w:ascii="Calibri" w:eastAsia="Calibri" w:hAnsi="Calibri" w:cs="Calibri"/>
        </w:rPr>
        <w:t xml:space="preserve"> compared </w:t>
      </w:r>
      <w:r w:rsidR="00595F5C" w:rsidRPr="6ECD2265">
        <w:rPr>
          <w:rFonts w:ascii="Calibri" w:eastAsia="Calibri" w:hAnsi="Calibri" w:cs="Calibri"/>
        </w:rPr>
        <w:t>with</w:t>
      </w:r>
      <w:r w:rsidR="00B310B3" w:rsidRPr="6ECD2265">
        <w:rPr>
          <w:rFonts w:ascii="Calibri" w:eastAsia="Calibri" w:hAnsi="Calibri" w:cs="Calibri"/>
        </w:rPr>
        <w:t xml:space="preserve"> </w:t>
      </w:r>
      <w:r w:rsidR="00555512" w:rsidRPr="6ECD2265">
        <w:rPr>
          <w:rFonts w:ascii="Calibri" w:eastAsia="Calibri" w:hAnsi="Calibri" w:cs="Calibri"/>
        </w:rPr>
        <w:t>55 percent of White students</w:t>
      </w:r>
      <w:r w:rsidR="66FC3159" w:rsidRPr="6ECD2265">
        <w:rPr>
          <w:rFonts w:ascii="Calibri" w:eastAsia="Calibri" w:hAnsi="Calibri" w:cs="Calibri"/>
        </w:rPr>
        <w:t xml:space="preserve"> with the highest wealth</w:t>
      </w:r>
      <w:r w:rsidR="00555512" w:rsidRPr="6ECD2265">
        <w:rPr>
          <w:rFonts w:ascii="Calibri" w:eastAsia="Calibri" w:hAnsi="Calibri" w:cs="Calibri"/>
        </w:rPr>
        <w:t>.</w:t>
      </w:r>
      <w:r w:rsidR="00555512">
        <w:rPr>
          <w:rFonts w:ascii="Calibri" w:eastAsia="Calibri" w:hAnsi="Calibri" w:cs="Calibri"/>
        </w:rPr>
        <w:t xml:space="preserve"> </w:t>
      </w:r>
      <w:r w:rsidRPr="067FA4F0">
        <w:rPr>
          <w:rFonts w:ascii="Calibri" w:eastAsia="Calibri" w:hAnsi="Calibri" w:cs="Calibri"/>
        </w:rPr>
        <w:t xml:space="preserve"> </w:t>
      </w:r>
    </w:p>
    <w:p w14:paraId="7B00AFF1" w14:textId="0654A8B4" w:rsidR="73B4B431" w:rsidRDefault="73B4B431" w:rsidP="004B1105">
      <w:pPr>
        <w:ind w:left="360"/>
        <w:rPr>
          <w:rFonts w:ascii="Calibri" w:eastAsia="Calibri" w:hAnsi="Calibri" w:cs="Calibri"/>
        </w:rPr>
      </w:pPr>
    </w:p>
    <w:p w14:paraId="068273B6" w14:textId="615C1351" w:rsidR="00571F1D" w:rsidRDefault="1DDC877B" w:rsidP="004B1105">
      <w:pPr>
        <w:ind w:left="360"/>
        <w:rPr>
          <w:rFonts w:ascii="Calibri" w:eastAsia="Calibri" w:hAnsi="Calibri" w:cs="Calibri"/>
        </w:rPr>
      </w:pPr>
      <w:r w:rsidRPr="73B4B431">
        <w:rPr>
          <w:rFonts w:ascii="Calibri" w:eastAsia="Calibri" w:hAnsi="Calibri" w:cs="Calibri"/>
        </w:rPr>
        <w:t xml:space="preserve">Given the complexity revealed by the data, further research is needed to fully understand </w:t>
      </w:r>
      <w:r w:rsidRPr="73B4B431" w:rsidDel="005D566F">
        <w:rPr>
          <w:rFonts w:ascii="Calibri" w:eastAsia="Calibri" w:hAnsi="Calibri" w:cs="Calibri"/>
        </w:rPr>
        <w:t xml:space="preserve">the </w:t>
      </w:r>
      <w:r w:rsidR="004B606E">
        <w:rPr>
          <w:rFonts w:ascii="Calibri" w:eastAsia="Calibri" w:hAnsi="Calibri" w:cs="Calibri"/>
        </w:rPr>
        <w:t>factors</w:t>
      </w:r>
      <w:r w:rsidRPr="73B4B431" w:rsidDel="005D566F">
        <w:rPr>
          <w:rFonts w:ascii="Calibri" w:eastAsia="Calibri" w:hAnsi="Calibri" w:cs="Calibri"/>
        </w:rPr>
        <w:t xml:space="preserve"> </w:t>
      </w:r>
      <w:r w:rsidRPr="73B4B431">
        <w:rPr>
          <w:rFonts w:ascii="Calibri" w:eastAsia="Calibri" w:hAnsi="Calibri" w:cs="Calibri"/>
        </w:rPr>
        <w:t xml:space="preserve">contributing </w:t>
      </w:r>
      <w:r w:rsidR="21CFAEA4" w:rsidRPr="1D0D4CE5">
        <w:rPr>
          <w:rFonts w:ascii="Calibri" w:eastAsia="Calibri" w:hAnsi="Calibri" w:cs="Calibri"/>
        </w:rPr>
        <w:t>to</w:t>
      </w:r>
      <w:r w:rsidRPr="73B4B431">
        <w:rPr>
          <w:rFonts w:ascii="Calibri" w:eastAsia="Calibri" w:hAnsi="Calibri" w:cs="Calibri"/>
        </w:rPr>
        <w:t xml:space="preserve"> these patterns.</w:t>
      </w:r>
    </w:p>
    <w:p w14:paraId="0EE57944" w14:textId="77777777" w:rsidR="00DA3160" w:rsidRDefault="00DA3160" w:rsidP="004B1105"/>
    <w:p w14:paraId="6E874078" w14:textId="77777777" w:rsidR="00857DCF" w:rsidRDefault="00857DCF" w:rsidP="004B1105">
      <w:pPr>
        <w:pStyle w:val="Heading4"/>
        <w:ind w:left="360"/>
      </w:pPr>
      <w:r>
        <w:t xml:space="preserve">Differences in borrowing rates by race and ethnicity are the greatest for students with the least wealth. </w:t>
      </w:r>
    </w:p>
    <w:p w14:paraId="55C13880" w14:textId="77777777" w:rsidR="00857DCF" w:rsidRDefault="00857DCF" w:rsidP="004B1105"/>
    <w:p w14:paraId="70A1588B" w14:textId="23A02C93" w:rsidR="00857DCF" w:rsidRDefault="00857DCF" w:rsidP="004B1105">
      <w:pPr>
        <w:ind w:left="360"/>
        <w:rPr>
          <w:rFonts w:ascii="Calibri" w:eastAsia="Calibri" w:hAnsi="Calibri" w:cs="Calibri"/>
        </w:rPr>
      </w:pPr>
      <w:r w:rsidRPr="7377D666">
        <w:rPr>
          <w:rFonts w:ascii="Calibri" w:eastAsia="Calibri" w:hAnsi="Calibri" w:cs="Calibri"/>
        </w:rPr>
        <w:t xml:space="preserve">Students from different races and ethnicities do not borrow at the same rates. About 76 percent of White students with the least wealth </w:t>
      </w:r>
      <w:r w:rsidR="00831A54">
        <w:rPr>
          <w:rFonts w:ascii="Calibri" w:eastAsia="Calibri" w:hAnsi="Calibri" w:cs="Calibri"/>
        </w:rPr>
        <w:t>take out</w:t>
      </w:r>
      <w:r w:rsidR="00831A54" w:rsidRPr="7377D666">
        <w:rPr>
          <w:rFonts w:ascii="Calibri" w:eastAsia="Calibri" w:hAnsi="Calibri" w:cs="Calibri"/>
        </w:rPr>
        <w:t xml:space="preserve"> </w:t>
      </w:r>
      <w:r w:rsidRPr="7377D666">
        <w:rPr>
          <w:rFonts w:ascii="Calibri" w:eastAsia="Calibri" w:hAnsi="Calibri" w:cs="Calibri"/>
        </w:rPr>
        <w:t>student loans</w:t>
      </w:r>
      <w:r>
        <w:rPr>
          <w:rFonts w:ascii="Calibri" w:eastAsia="Calibri" w:hAnsi="Calibri" w:cs="Calibri"/>
        </w:rPr>
        <w:t>, which</w:t>
      </w:r>
      <w:r w:rsidRPr="7377D666">
        <w:rPr>
          <w:rFonts w:ascii="Calibri" w:eastAsia="Calibri" w:hAnsi="Calibri" w:cs="Calibri"/>
        </w:rPr>
        <w:t xml:space="preserve"> is far more than their Black (64 percent) or Latinx (48 percent) peers. But these differences shrink as wealth increases, with Black students with high wealth and White students with high wealth borrowing at almost identical rates (55 percent; </w:t>
      </w:r>
      <w:r w:rsidRPr="7377D666">
        <w:rPr>
          <w:rFonts w:ascii="Calibri" w:eastAsia="Calibri" w:hAnsi="Calibri" w:cs="Calibri"/>
        </w:rPr>
        <w:fldChar w:fldCharType="begin"/>
      </w:r>
      <w:r w:rsidRPr="7377D666">
        <w:rPr>
          <w:rFonts w:ascii="Calibri" w:eastAsia="Calibri" w:hAnsi="Calibri" w:cs="Calibri"/>
        </w:rPr>
        <w:instrText xml:space="preserve"> REF _Ref153959419 \h </w:instrText>
      </w:r>
      <w:r w:rsidR="004B1105">
        <w:rPr>
          <w:rFonts w:ascii="Calibri" w:eastAsia="Calibri" w:hAnsi="Calibri" w:cs="Calibri"/>
        </w:rPr>
        <w:instrText xml:space="preserve"> \* MERGEFORMAT </w:instrText>
      </w:r>
      <w:r w:rsidRPr="7377D666">
        <w:rPr>
          <w:rFonts w:ascii="Calibri" w:eastAsia="Calibri" w:hAnsi="Calibri" w:cs="Calibri"/>
        </w:rPr>
      </w:r>
      <w:r w:rsidRPr="7377D666">
        <w:rPr>
          <w:rFonts w:ascii="Calibri" w:eastAsia="Calibri" w:hAnsi="Calibri" w:cs="Calibri"/>
        </w:rPr>
        <w:fldChar w:fldCharType="separate"/>
      </w:r>
      <w:r w:rsidR="00932B97" w:rsidRPr="0054370F">
        <w:rPr>
          <w:b/>
          <w:bCs/>
        </w:rPr>
        <w:t xml:space="preserve">Table </w:t>
      </w:r>
      <w:r w:rsidR="00932B97">
        <w:rPr>
          <w:b/>
          <w:bCs/>
        </w:rPr>
        <w:t>4</w:t>
      </w:r>
      <w:r w:rsidRPr="7377D666">
        <w:rPr>
          <w:rFonts w:ascii="Calibri" w:eastAsia="Calibri" w:hAnsi="Calibri" w:cs="Calibri"/>
        </w:rPr>
        <w:fldChar w:fldCharType="end"/>
      </w:r>
      <w:r w:rsidRPr="7377D666">
        <w:rPr>
          <w:rFonts w:ascii="Calibri" w:eastAsia="Calibri" w:hAnsi="Calibri" w:cs="Calibri"/>
        </w:rPr>
        <w:t xml:space="preserve">). There are several possible explanations for these differences among students with the least wealth. </w:t>
      </w:r>
      <w:r>
        <w:rPr>
          <w:rFonts w:ascii="Calibri" w:eastAsia="Calibri" w:hAnsi="Calibri" w:cs="Calibri"/>
        </w:rPr>
        <w:t xml:space="preserve">The non-borrowing </w:t>
      </w:r>
      <w:r w:rsidRPr="7377D666">
        <w:rPr>
          <w:rFonts w:ascii="Calibri" w:eastAsia="Calibri" w:hAnsi="Calibri" w:cs="Calibri"/>
        </w:rPr>
        <w:t xml:space="preserve">students may be more likely to attend institutions that charge less, like community colleges, and have less need for loans. </w:t>
      </w:r>
      <w:r>
        <w:rPr>
          <w:rFonts w:ascii="Calibri" w:eastAsia="Calibri" w:hAnsi="Calibri" w:cs="Calibri"/>
        </w:rPr>
        <w:t>Or it</w:t>
      </w:r>
      <w:r w:rsidRPr="7377D666">
        <w:rPr>
          <w:rFonts w:ascii="Calibri" w:eastAsia="Calibri" w:hAnsi="Calibri" w:cs="Calibri"/>
        </w:rPr>
        <w:t xml:space="preserve"> may indicate that Black and Latinx students with the least wealth are less aware of financial aid options or processes, are more risk-averse when it comes to </w:t>
      </w:r>
      <w:proofErr w:type="gramStart"/>
      <w:r w:rsidRPr="7377D666">
        <w:rPr>
          <w:rFonts w:ascii="Calibri" w:eastAsia="Calibri" w:hAnsi="Calibri" w:cs="Calibri"/>
        </w:rPr>
        <w:t>borrowing</w:t>
      </w:r>
      <w:r>
        <w:rPr>
          <w:rFonts w:ascii="Calibri" w:eastAsia="Calibri" w:hAnsi="Calibri" w:cs="Calibri"/>
        </w:rPr>
        <w:t>,</w:t>
      </w:r>
      <w:r w:rsidRPr="7377D666">
        <w:rPr>
          <w:rFonts w:ascii="Calibri" w:eastAsia="Calibri" w:hAnsi="Calibri" w:cs="Calibri"/>
        </w:rPr>
        <w:t xml:space="preserve"> or</w:t>
      </w:r>
      <w:proofErr w:type="gramEnd"/>
      <w:r w:rsidRPr="7377D666">
        <w:rPr>
          <w:rFonts w:ascii="Calibri" w:eastAsia="Calibri" w:hAnsi="Calibri" w:cs="Calibri"/>
        </w:rPr>
        <w:t xml:space="preserve"> face additional barriers to accessing student loans. </w:t>
      </w:r>
    </w:p>
    <w:p w14:paraId="6DBF9C08" w14:textId="50BE580A" w:rsidR="00857DCF" w:rsidRDefault="00644B2E" w:rsidP="004B1105">
      <w:r>
        <w:t xml:space="preserve">Notes for table 4 are </w:t>
      </w:r>
      <w:r w:rsidR="008958FB">
        <w:t>shown</w:t>
      </w:r>
      <w:r>
        <w:t xml:space="preserve"> on the next page.</w:t>
      </w:r>
    </w:p>
    <w:tbl>
      <w:tblPr>
        <w:tblpPr w:leftFromText="180" w:rightFromText="180" w:vertAnchor="text" w:horzAnchor="margin" w:tblpY="-26"/>
        <w:tblW w:w="98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75"/>
        <w:gridCol w:w="900"/>
        <w:gridCol w:w="865"/>
        <w:gridCol w:w="852"/>
        <w:gridCol w:w="44"/>
        <w:gridCol w:w="219"/>
        <w:gridCol w:w="44"/>
        <w:gridCol w:w="856"/>
        <w:gridCol w:w="44"/>
        <w:gridCol w:w="822"/>
        <w:gridCol w:w="828"/>
        <w:gridCol w:w="251"/>
        <w:gridCol w:w="852"/>
        <w:gridCol w:w="860"/>
        <w:gridCol w:w="44"/>
        <w:gridCol w:w="839"/>
        <w:gridCol w:w="44"/>
      </w:tblGrid>
      <w:tr w:rsidR="00A921C0" w:rsidRPr="0054370F" w14:paraId="76FCE115" w14:textId="77777777" w:rsidTr="6A9E2235">
        <w:trPr>
          <w:trHeight w:val="340"/>
        </w:trPr>
        <w:tc>
          <w:tcPr>
            <w:tcW w:w="9839" w:type="dxa"/>
            <w:gridSpan w:val="17"/>
            <w:tcBorders>
              <w:top w:val="nil"/>
              <w:left w:val="nil"/>
              <w:bottom w:val="single" w:sz="12" w:space="0" w:color="auto"/>
              <w:right w:val="nil"/>
            </w:tcBorders>
          </w:tcPr>
          <w:p w14:paraId="0AD05FEE" w14:textId="0154E7A4" w:rsidR="00A921C0" w:rsidRPr="0054370F" w:rsidRDefault="00A921C0" w:rsidP="004B1105">
            <w:pPr>
              <w:rPr>
                <w:rFonts w:cstheme="minorBidi"/>
                <w:b/>
                <w:color w:val="000000"/>
              </w:rPr>
            </w:pPr>
            <w:bookmarkStart w:id="32" w:name="_Ref160092365"/>
            <w:bookmarkStart w:id="33" w:name="_Ref153959419"/>
            <w:r w:rsidRPr="0054370F">
              <w:rPr>
                <w:b/>
                <w:bCs/>
              </w:rPr>
              <w:t xml:space="preserve">Table </w:t>
            </w:r>
            <w:bookmarkEnd w:id="32"/>
            <w:r w:rsidRPr="0054370F">
              <w:rPr>
                <w:b/>
                <w:bCs/>
              </w:rPr>
              <w:fldChar w:fldCharType="begin"/>
            </w:r>
            <w:r w:rsidRPr="0054370F">
              <w:rPr>
                <w:b/>
                <w:bCs/>
              </w:rPr>
              <w:instrText xml:space="preserve"> SEQ Table \* ARABIC </w:instrText>
            </w:r>
            <w:r w:rsidRPr="0054370F">
              <w:rPr>
                <w:b/>
                <w:bCs/>
              </w:rPr>
              <w:fldChar w:fldCharType="separate"/>
            </w:r>
            <w:r w:rsidR="00773B59">
              <w:rPr>
                <w:b/>
                <w:bCs/>
                <w:noProof/>
              </w:rPr>
              <w:t>4</w:t>
            </w:r>
            <w:r w:rsidRPr="0054370F">
              <w:rPr>
                <w:b/>
                <w:bCs/>
              </w:rPr>
              <w:fldChar w:fldCharType="end"/>
            </w:r>
            <w:bookmarkEnd w:id="33"/>
            <w:r w:rsidR="00274E94">
              <w:t xml:space="preserve">. </w:t>
            </w:r>
            <w:r w:rsidRPr="53B084CB">
              <w:rPr>
                <w:b/>
              </w:rPr>
              <w:t>Enrollment, Completion, and Borrowing</w:t>
            </w:r>
            <w:r w:rsidR="00547684">
              <w:rPr>
                <w:b/>
              </w:rPr>
              <w:t>,</w:t>
            </w:r>
            <w:r w:rsidRPr="53B084CB">
              <w:rPr>
                <w:b/>
              </w:rPr>
              <w:t xml:space="preserve"> by Race </w:t>
            </w:r>
            <w:r w:rsidR="0098113E">
              <w:rPr>
                <w:b/>
              </w:rPr>
              <w:t>and</w:t>
            </w:r>
            <w:r w:rsidR="0098113E" w:rsidRPr="53B084CB">
              <w:rPr>
                <w:b/>
              </w:rPr>
              <w:t xml:space="preserve"> </w:t>
            </w:r>
            <w:r w:rsidRPr="53B084CB">
              <w:rPr>
                <w:b/>
              </w:rPr>
              <w:t>Ethnicity</w:t>
            </w:r>
            <w:r w:rsidR="008F2183" w:rsidRPr="53B084CB">
              <w:rPr>
                <w:b/>
              </w:rPr>
              <w:t xml:space="preserve"> (</w:t>
            </w:r>
            <w:r w:rsidR="00A42583" w:rsidRPr="53B084CB">
              <w:rPr>
                <w:b/>
              </w:rPr>
              <w:t xml:space="preserve">Income and Wealth </w:t>
            </w:r>
            <w:r w:rsidR="0085195C" w:rsidRPr="53B084CB">
              <w:rPr>
                <w:b/>
              </w:rPr>
              <w:t>Separate</w:t>
            </w:r>
            <w:r w:rsidR="0085195C">
              <w:rPr>
                <w:b/>
              </w:rPr>
              <w:t>d</w:t>
            </w:r>
            <w:r w:rsidR="00A42583" w:rsidRPr="53B084CB">
              <w:rPr>
                <w:b/>
              </w:rPr>
              <w:t>)</w:t>
            </w:r>
          </w:p>
        </w:tc>
      </w:tr>
      <w:tr w:rsidR="00A921C0" w:rsidRPr="00DB5EFD" w14:paraId="24380AF1" w14:textId="77777777" w:rsidTr="6A9E2235">
        <w:trPr>
          <w:trHeight w:val="320"/>
        </w:trPr>
        <w:tc>
          <w:tcPr>
            <w:tcW w:w="1475" w:type="dxa"/>
            <w:tcBorders>
              <w:top w:val="single" w:sz="12" w:space="0" w:color="auto"/>
              <w:left w:val="nil"/>
              <w:bottom w:val="nil"/>
              <w:right w:val="nil"/>
            </w:tcBorders>
            <w:shd w:val="clear" w:color="auto" w:fill="auto"/>
            <w:noWrap/>
            <w:vAlign w:val="center"/>
            <w:hideMark/>
          </w:tcPr>
          <w:p w14:paraId="5E53E899" w14:textId="77777777" w:rsidR="00A921C0" w:rsidRPr="00DB5EFD" w:rsidRDefault="00A921C0" w:rsidP="00F12147">
            <w:pPr>
              <w:rPr>
                <w:rFonts w:cstheme="minorHAnsi"/>
                <w:color w:val="000000"/>
              </w:rPr>
            </w:pPr>
          </w:p>
        </w:tc>
        <w:tc>
          <w:tcPr>
            <w:tcW w:w="2617" w:type="dxa"/>
            <w:gridSpan w:val="3"/>
            <w:tcBorders>
              <w:top w:val="single" w:sz="12" w:space="0" w:color="auto"/>
              <w:left w:val="nil"/>
              <w:bottom w:val="single" w:sz="12" w:space="0" w:color="auto"/>
              <w:right w:val="nil"/>
            </w:tcBorders>
            <w:shd w:val="clear" w:color="auto" w:fill="auto"/>
            <w:noWrap/>
            <w:vAlign w:val="bottom"/>
            <w:hideMark/>
          </w:tcPr>
          <w:p w14:paraId="540F2D17" w14:textId="77777777" w:rsidR="00A921C0" w:rsidRPr="00DB5EFD" w:rsidRDefault="00A921C0" w:rsidP="00F12147">
            <w:pPr>
              <w:rPr>
                <w:rFonts w:cstheme="minorHAnsi"/>
                <w:color w:val="000000"/>
              </w:rPr>
            </w:pPr>
            <w:r w:rsidRPr="00DB5EFD">
              <w:rPr>
                <w:rFonts w:cstheme="minorHAnsi"/>
                <w:color w:val="000000"/>
              </w:rPr>
              <w:t>% Attended College</w:t>
            </w:r>
          </w:p>
        </w:tc>
        <w:tc>
          <w:tcPr>
            <w:tcW w:w="263" w:type="dxa"/>
            <w:gridSpan w:val="2"/>
            <w:tcBorders>
              <w:top w:val="single" w:sz="12" w:space="0" w:color="auto"/>
              <w:left w:val="nil"/>
              <w:bottom w:val="single" w:sz="12" w:space="0" w:color="auto"/>
              <w:right w:val="nil"/>
            </w:tcBorders>
            <w:vAlign w:val="bottom"/>
          </w:tcPr>
          <w:p w14:paraId="6541C0B1" w14:textId="77777777" w:rsidR="00A921C0" w:rsidRPr="00DB5EFD" w:rsidRDefault="00A921C0" w:rsidP="00F12147">
            <w:pPr>
              <w:rPr>
                <w:rFonts w:cstheme="minorHAnsi"/>
                <w:color w:val="000000"/>
              </w:rPr>
            </w:pPr>
          </w:p>
        </w:tc>
        <w:tc>
          <w:tcPr>
            <w:tcW w:w="2594" w:type="dxa"/>
            <w:gridSpan w:val="5"/>
            <w:tcBorders>
              <w:top w:val="single" w:sz="12" w:space="0" w:color="auto"/>
              <w:left w:val="nil"/>
              <w:bottom w:val="single" w:sz="12" w:space="0" w:color="auto"/>
              <w:right w:val="nil"/>
            </w:tcBorders>
            <w:shd w:val="clear" w:color="auto" w:fill="auto"/>
            <w:noWrap/>
            <w:vAlign w:val="bottom"/>
            <w:hideMark/>
          </w:tcPr>
          <w:p w14:paraId="268A3160" w14:textId="77777777" w:rsidR="00A921C0" w:rsidRPr="00DB5EFD" w:rsidRDefault="00A921C0" w:rsidP="00F12147">
            <w:pPr>
              <w:rPr>
                <w:rFonts w:cstheme="minorHAnsi"/>
                <w:color w:val="000000"/>
              </w:rPr>
            </w:pPr>
            <w:r w:rsidRPr="00DB5EFD">
              <w:rPr>
                <w:rFonts w:cstheme="minorHAnsi"/>
                <w:color w:val="000000"/>
              </w:rPr>
              <w:t>% Completed Degree</w:t>
            </w:r>
          </w:p>
        </w:tc>
        <w:tc>
          <w:tcPr>
            <w:tcW w:w="251" w:type="dxa"/>
            <w:tcBorders>
              <w:top w:val="single" w:sz="12" w:space="0" w:color="auto"/>
              <w:left w:val="nil"/>
              <w:bottom w:val="single" w:sz="12" w:space="0" w:color="auto"/>
              <w:right w:val="nil"/>
            </w:tcBorders>
            <w:vAlign w:val="bottom"/>
          </w:tcPr>
          <w:p w14:paraId="1E94F902" w14:textId="77777777" w:rsidR="00A921C0" w:rsidRPr="00DB5EFD" w:rsidRDefault="00A921C0" w:rsidP="00F12147">
            <w:pPr>
              <w:rPr>
                <w:rFonts w:cstheme="minorHAnsi"/>
                <w:color w:val="000000"/>
              </w:rPr>
            </w:pPr>
          </w:p>
        </w:tc>
        <w:tc>
          <w:tcPr>
            <w:tcW w:w="2639" w:type="dxa"/>
            <w:gridSpan w:val="5"/>
            <w:tcBorders>
              <w:top w:val="single" w:sz="12" w:space="0" w:color="auto"/>
              <w:left w:val="nil"/>
              <w:bottom w:val="single" w:sz="12" w:space="0" w:color="auto"/>
              <w:right w:val="nil"/>
            </w:tcBorders>
            <w:shd w:val="clear" w:color="auto" w:fill="auto"/>
            <w:noWrap/>
            <w:vAlign w:val="bottom"/>
            <w:hideMark/>
          </w:tcPr>
          <w:p w14:paraId="54217FFE" w14:textId="77777777" w:rsidR="00A921C0" w:rsidRPr="00DB5EFD" w:rsidRDefault="00A921C0" w:rsidP="00F12147">
            <w:pPr>
              <w:rPr>
                <w:rFonts w:cstheme="minorHAnsi"/>
                <w:color w:val="000000"/>
              </w:rPr>
            </w:pPr>
            <w:r w:rsidRPr="00DB5EFD">
              <w:rPr>
                <w:rFonts w:cstheme="minorHAnsi"/>
                <w:color w:val="000000"/>
              </w:rPr>
              <w:t>% Ever Borrowed</w:t>
            </w:r>
          </w:p>
        </w:tc>
      </w:tr>
      <w:tr w:rsidR="00A921C0" w:rsidRPr="00DB5EFD" w14:paraId="335D1A52" w14:textId="77777777" w:rsidTr="00A54182">
        <w:trPr>
          <w:gridAfter w:val="1"/>
          <w:wAfter w:w="44" w:type="dxa"/>
          <w:trHeight w:val="357"/>
        </w:trPr>
        <w:tc>
          <w:tcPr>
            <w:tcW w:w="1475" w:type="dxa"/>
            <w:tcBorders>
              <w:top w:val="nil"/>
              <w:left w:val="nil"/>
              <w:bottom w:val="nil"/>
              <w:right w:val="nil"/>
            </w:tcBorders>
            <w:vAlign w:val="bottom"/>
            <w:hideMark/>
          </w:tcPr>
          <w:p w14:paraId="150886F6" w14:textId="693A6E45" w:rsidR="00A921C0" w:rsidRPr="00DB5EFD" w:rsidRDefault="00A921C0" w:rsidP="004B1105">
            <w:pPr>
              <w:rPr>
                <w:rFonts w:cstheme="minorHAnsi"/>
                <w:b/>
                <w:color w:val="000000"/>
              </w:rPr>
            </w:pPr>
            <w:r>
              <w:rPr>
                <w:rFonts w:cstheme="minorHAnsi"/>
                <w:b/>
                <w:color w:val="000000"/>
              </w:rPr>
              <w:t xml:space="preserve">Income </w:t>
            </w:r>
          </w:p>
        </w:tc>
        <w:tc>
          <w:tcPr>
            <w:tcW w:w="900" w:type="dxa"/>
            <w:tcBorders>
              <w:top w:val="nil"/>
              <w:left w:val="nil"/>
              <w:bottom w:val="single" w:sz="12" w:space="0" w:color="auto"/>
              <w:right w:val="nil"/>
            </w:tcBorders>
            <w:shd w:val="clear" w:color="auto" w:fill="auto"/>
            <w:noWrap/>
            <w:vAlign w:val="bottom"/>
            <w:hideMark/>
          </w:tcPr>
          <w:p w14:paraId="032E42D1" w14:textId="3FB3285F" w:rsidR="00A921C0" w:rsidRPr="00516135" w:rsidRDefault="0003433E" w:rsidP="00F12147">
            <w:pPr>
              <w:rPr>
                <w:rFonts w:eastAsiaTheme="minorEastAsia"/>
                <w:color w:val="000000"/>
                <w:sz w:val="20"/>
                <w:szCs w:val="20"/>
              </w:rPr>
            </w:pPr>
            <w:r>
              <w:rPr>
                <w:rFonts w:eastAsiaTheme="minorEastAsia"/>
                <w:color w:val="000000"/>
                <w:sz w:val="20"/>
                <w:szCs w:val="20"/>
              </w:rPr>
              <w:t>Low</w:t>
            </w:r>
          </w:p>
        </w:tc>
        <w:tc>
          <w:tcPr>
            <w:tcW w:w="865" w:type="dxa"/>
            <w:tcBorders>
              <w:top w:val="nil"/>
              <w:left w:val="nil"/>
              <w:bottom w:val="single" w:sz="12" w:space="0" w:color="auto"/>
              <w:right w:val="nil"/>
            </w:tcBorders>
            <w:shd w:val="clear" w:color="auto" w:fill="auto"/>
            <w:noWrap/>
            <w:vAlign w:val="bottom"/>
            <w:hideMark/>
          </w:tcPr>
          <w:p w14:paraId="20C60F4A" w14:textId="77777777" w:rsidR="00A921C0" w:rsidRPr="003007DB" w:rsidRDefault="00A921C0" w:rsidP="00F12147">
            <w:pPr>
              <w:rPr>
                <w:rFonts w:cstheme="minorHAnsi"/>
                <w:color w:val="000000"/>
              </w:rPr>
            </w:pPr>
            <w:r w:rsidRPr="003007DB">
              <w:rPr>
                <w:rFonts w:eastAsiaTheme="minorEastAsia"/>
                <w:color w:val="000000"/>
                <w:sz w:val="20"/>
                <w:szCs w:val="20"/>
              </w:rPr>
              <w:t>Middle</w:t>
            </w:r>
            <w:r>
              <w:rPr>
                <w:rFonts w:eastAsiaTheme="minorEastAsia"/>
                <w:color w:val="000000"/>
                <w:sz w:val="20"/>
                <w:szCs w:val="20"/>
              </w:rPr>
              <w:t xml:space="preserve"> </w:t>
            </w:r>
          </w:p>
        </w:tc>
        <w:tc>
          <w:tcPr>
            <w:tcW w:w="852" w:type="dxa"/>
            <w:tcBorders>
              <w:top w:val="nil"/>
              <w:left w:val="nil"/>
              <w:bottom w:val="single" w:sz="12" w:space="0" w:color="auto"/>
              <w:right w:val="nil"/>
            </w:tcBorders>
            <w:shd w:val="clear" w:color="auto" w:fill="auto"/>
            <w:noWrap/>
            <w:vAlign w:val="bottom"/>
            <w:hideMark/>
          </w:tcPr>
          <w:p w14:paraId="694548AC" w14:textId="6B575D0B" w:rsidR="00A921C0" w:rsidRPr="003007DB" w:rsidRDefault="00A54182" w:rsidP="00F12147">
            <w:pPr>
              <w:rPr>
                <w:rFonts w:cstheme="minorHAnsi"/>
                <w:color w:val="000000"/>
              </w:rPr>
            </w:pPr>
            <w:r>
              <w:rPr>
                <w:rFonts w:eastAsiaTheme="minorEastAsia"/>
                <w:color w:val="000000" w:themeColor="text1"/>
                <w:sz w:val="20"/>
                <w:szCs w:val="20"/>
              </w:rPr>
              <w:t xml:space="preserve">High </w:t>
            </w:r>
          </w:p>
        </w:tc>
        <w:tc>
          <w:tcPr>
            <w:tcW w:w="263" w:type="dxa"/>
            <w:gridSpan w:val="2"/>
            <w:tcBorders>
              <w:top w:val="nil"/>
              <w:left w:val="nil"/>
              <w:bottom w:val="single" w:sz="12" w:space="0" w:color="auto"/>
              <w:right w:val="nil"/>
            </w:tcBorders>
            <w:vAlign w:val="bottom"/>
          </w:tcPr>
          <w:p w14:paraId="2201E792" w14:textId="77777777" w:rsidR="00A921C0" w:rsidRPr="00A81AB1" w:rsidRDefault="00A921C0" w:rsidP="00F12147">
            <w:pPr>
              <w:rPr>
                <w:rFonts w:eastAsiaTheme="minorEastAsia"/>
                <w:color w:val="000000"/>
                <w:sz w:val="20"/>
                <w:szCs w:val="20"/>
              </w:rPr>
            </w:pPr>
          </w:p>
        </w:tc>
        <w:tc>
          <w:tcPr>
            <w:tcW w:w="900" w:type="dxa"/>
            <w:gridSpan w:val="2"/>
            <w:tcBorders>
              <w:top w:val="nil"/>
              <w:left w:val="nil"/>
              <w:bottom w:val="single" w:sz="12" w:space="0" w:color="auto"/>
              <w:right w:val="nil"/>
            </w:tcBorders>
            <w:shd w:val="clear" w:color="auto" w:fill="auto"/>
            <w:noWrap/>
            <w:vAlign w:val="bottom"/>
            <w:hideMark/>
          </w:tcPr>
          <w:p w14:paraId="3E1D93E5" w14:textId="033C3745" w:rsidR="00A921C0" w:rsidRPr="00DB5EFD" w:rsidRDefault="0003433E" w:rsidP="00F12147">
            <w:pPr>
              <w:rPr>
                <w:rFonts w:cstheme="minorHAnsi"/>
                <w:color w:val="000000"/>
              </w:rPr>
            </w:pPr>
            <w:r>
              <w:rPr>
                <w:rFonts w:eastAsiaTheme="minorEastAsia"/>
                <w:color w:val="000000"/>
                <w:sz w:val="20"/>
                <w:szCs w:val="20"/>
              </w:rPr>
              <w:t>Low</w:t>
            </w:r>
          </w:p>
        </w:tc>
        <w:tc>
          <w:tcPr>
            <w:tcW w:w="866" w:type="dxa"/>
            <w:gridSpan w:val="2"/>
            <w:tcBorders>
              <w:top w:val="nil"/>
              <w:left w:val="nil"/>
              <w:bottom w:val="single" w:sz="12" w:space="0" w:color="auto"/>
              <w:right w:val="nil"/>
            </w:tcBorders>
            <w:shd w:val="clear" w:color="auto" w:fill="auto"/>
            <w:noWrap/>
            <w:vAlign w:val="bottom"/>
            <w:hideMark/>
          </w:tcPr>
          <w:p w14:paraId="0FBF9974" w14:textId="77777777" w:rsidR="00A921C0" w:rsidRPr="00DB5EFD" w:rsidRDefault="00A921C0" w:rsidP="00F12147">
            <w:pPr>
              <w:rPr>
                <w:rFonts w:cstheme="minorHAnsi"/>
                <w:color w:val="000000"/>
              </w:rPr>
            </w:pPr>
            <w:r w:rsidRPr="003007DB">
              <w:rPr>
                <w:rFonts w:eastAsiaTheme="minorEastAsia"/>
                <w:color w:val="000000"/>
                <w:sz w:val="20"/>
                <w:szCs w:val="20"/>
              </w:rPr>
              <w:t>Middle</w:t>
            </w:r>
            <w:r>
              <w:rPr>
                <w:rFonts w:eastAsiaTheme="minorEastAsia"/>
                <w:color w:val="000000"/>
                <w:sz w:val="20"/>
                <w:szCs w:val="20"/>
              </w:rPr>
              <w:t xml:space="preserve"> </w:t>
            </w:r>
          </w:p>
        </w:tc>
        <w:tc>
          <w:tcPr>
            <w:tcW w:w="828" w:type="dxa"/>
            <w:tcBorders>
              <w:top w:val="nil"/>
              <w:left w:val="nil"/>
              <w:bottom w:val="single" w:sz="12" w:space="0" w:color="auto"/>
              <w:right w:val="nil"/>
            </w:tcBorders>
            <w:shd w:val="clear" w:color="auto" w:fill="auto"/>
            <w:noWrap/>
            <w:vAlign w:val="bottom"/>
            <w:hideMark/>
          </w:tcPr>
          <w:p w14:paraId="446EA1C6" w14:textId="3F3BEC03" w:rsidR="00A921C0" w:rsidRPr="00DB5EFD" w:rsidRDefault="00A54182" w:rsidP="00F12147">
            <w:pPr>
              <w:rPr>
                <w:rFonts w:cstheme="minorHAnsi"/>
                <w:color w:val="000000"/>
              </w:rPr>
            </w:pPr>
            <w:r>
              <w:rPr>
                <w:rFonts w:eastAsiaTheme="minorEastAsia"/>
                <w:color w:val="000000" w:themeColor="text1"/>
                <w:sz w:val="20"/>
                <w:szCs w:val="20"/>
              </w:rPr>
              <w:t>High</w:t>
            </w:r>
          </w:p>
        </w:tc>
        <w:tc>
          <w:tcPr>
            <w:tcW w:w="251" w:type="dxa"/>
            <w:tcBorders>
              <w:top w:val="nil"/>
              <w:left w:val="nil"/>
              <w:bottom w:val="single" w:sz="12" w:space="0" w:color="auto"/>
              <w:right w:val="nil"/>
            </w:tcBorders>
            <w:vAlign w:val="bottom"/>
          </w:tcPr>
          <w:p w14:paraId="63411054" w14:textId="77777777" w:rsidR="00A921C0" w:rsidRPr="00A81AB1" w:rsidRDefault="00A921C0" w:rsidP="00F12147">
            <w:pPr>
              <w:rPr>
                <w:rFonts w:eastAsiaTheme="minorEastAsia"/>
                <w:color w:val="000000"/>
                <w:sz w:val="20"/>
                <w:szCs w:val="20"/>
              </w:rPr>
            </w:pPr>
          </w:p>
        </w:tc>
        <w:tc>
          <w:tcPr>
            <w:tcW w:w="852" w:type="dxa"/>
            <w:tcBorders>
              <w:top w:val="nil"/>
              <w:left w:val="nil"/>
              <w:bottom w:val="single" w:sz="12" w:space="0" w:color="auto"/>
              <w:right w:val="nil"/>
            </w:tcBorders>
            <w:shd w:val="clear" w:color="auto" w:fill="auto"/>
            <w:noWrap/>
            <w:vAlign w:val="bottom"/>
            <w:hideMark/>
          </w:tcPr>
          <w:p w14:paraId="521C59D4" w14:textId="531C4EC9" w:rsidR="00A921C0" w:rsidRPr="00DB5EFD" w:rsidRDefault="0003433E" w:rsidP="00F12147">
            <w:pPr>
              <w:rPr>
                <w:rFonts w:cstheme="minorHAnsi"/>
                <w:color w:val="000000"/>
              </w:rPr>
            </w:pPr>
            <w:r>
              <w:rPr>
                <w:rFonts w:eastAsiaTheme="minorEastAsia"/>
                <w:color w:val="000000"/>
                <w:sz w:val="20"/>
                <w:szCs w:val="20"/>
              </w:rPr>
              <w:t>Low</w:t>
            </w:r>
          </w:p>
        </w:tc>
        <w:tc>
          <w:tcPr>
            <w:tcW w:w="860" w:type="dxa"/>
            <w:tcBorders>
              <w:top w:val="nil"/>
              <w:left w:val="nil"/>
              <w:bottom w:val="single" w:sz="12" w:space="0" w:color="auto"/>
              <w:right w:val="nil"/>
            </w:tcBorders>
            <w:shd w:val="clear" w:color="auto" w:fill="auto"/>
            <w:noWrap/>
            <w:vAlign w:val="bottom"/>
            <w:hideMark/>
          </w:tcPr>
          <w:p w14:paraId="24AF08C3" w14:textId="77777777" w:rsidR="00A921C0" w:rsidRPr="00DB5EFD" w:rsidRDefault="00A921C0" w:rsidP="00F12147">
            <w:pPr>
              <w:rPr>
                <w:rFonts w:cstheme="minorHAnsi"/>
                <w:color w:val="000000"/>
              </w:rPr>
            </w:pPr>
            <w:r w:rsidRPr="003007DB">
              <w:rPr>
                <w:rFonts w:eastAsiaTheme="minorEastAsia"/>
                <w:color w:val="000000"/>
                <w:sz w:val="20"/>
                <w:szCs w:val="20"/>
              </w:rPr>
              <w:t>Middle</w:t>
            </w:r>
            <w:r>
              <w:rPr>
                <w:rFonts w:eastAsiaTheme="minorEastAsia"/>
                <w:color w:val="000000"/>
                <w:sz w:val="20"/>
                <w:szCs w:val="20"/>
              </w:rPr>
              <w:t xml:space="preserve"> </w:t>
            </w:r>
          </w:p>
        </w:tc>
        <w:tc>
          <w:tcPr>
            <w:tcW w:w="883" w:type="dxa"/>
            <w:gridSpan w:val="2"/>
            <w:tcBorders>
              <w:top w:val="nil"/>
              <w:left w:val="nil"/>
              <w:bottom w:val="single" w:sz="12" w:space="0" w:color="auto"/>
              <w:right w:val="nil"/>
            </w:tcBorders>
            <w:shd w:val="clear" w:color="auto" w:fill="auto"/>
            <w:noWrap/>
            <w:vAlign w:val="bottom"/>
            <w:hideMark/>
          </w:tcPr>
          <w:p w14:paraId="69EFE625" w14:textId="5E99D799" w:rsidR="00A921C0" w:rsidRPr="00DB5EFD" w:rsidRDefault="00A54182" w:rsidP="00F12147">
            <w:pPr>
              <w:rPr>
                <w:rFonts w:cstheme="minorHAnsi"/>
                <w:color w:val="000000"/>
              </w:rPr>
            </w:pPr>
            <w:r>
              <w:rPr>
                <w:rFonts w:eastAsiaTheme="minorEastAsia"/>
                <w:color w:val="000000" w:themeColor="text1"/>
                <w:sz w:val="20"/>
                <w:szCs w:val="20"/>
              </w:rPr>
              <w:t>High</w:t>
            </w:r>
          </w:p>
        </w:tc>
      </w:tr>
      <w:tr w:rsidR="00A921C0" w:rsidRPr="00DB5EFD" w14:paraId="40495D95" w14:textId="77777777" w:rsidTr="6A9E2235">
        <w:trPr>
          <w:gridAfter w:val="1"/>
          <w:wAfter w:w="44" w:type="dxa"/>
          <w:trHeight w:val="320"/>
        </w:trPr>
        <w:tc>
          <w:tcPr>
            <w:tcW w:w="1475" w:type="dxa"/>
            <w:tcBorders>
              <w:top w:val="nil"/>
              <w:left w:val="nil"/>
              <w:bottom w:val="nil"/>
              <w:right w:val="nil"/>
            </w:tcBorders>
            <w:shd w:val="clear" w:color="auto" w:fill="auto"/>
            <w:noWrap/>
            <w:vAlign w:val="bottom"/>
            <w:hideMark/>
          </w:tcPr>
          <w:p w14:paraId="15C77F74" w14:textId="77777777" w:rsidR="00A921C0" w:rsidRPr="00DB5EFD" w:rsidRDefault="00A921C0" w:rsidP="004B1105">
            <w:pPr>
              <w:rPr>
                <w:rFonts w:cstheme="minorHAnsi"/>
                <w:color w:val="000000"/>
              </w:rPr>
            </w:pPr>
            <w:r w:rsidRPr="00DB5EFD">
              <w:rPr>
                <w:rFonts w:cstheme="minorHAnsi"/>
                <w:color w:val="000000"/>
              </w:rPr>
              <w:t>Black</w:t>
            </w:r>
          </w:p>
        </w:tc>
        <w:tc>
          <w:tcPr>
            <w:tcW w:w="900" w:type="dxa"/>
            <w:tcBorders>
              <w:top w:val="single" w:sz="12" w:space="0" w:color="auto"/>
              <w:left w:val="nil"/>
              <w:bottom w:val="nil"/>
              <w:right w:val="nil"/>
            </w:tcBorders>
            <w:shd w:val="clear" w:color="auto" w:fill="E7E6E6" w:themeFill="background2"/>
            <w:noWrap/>
            <w:vAlign w:val="bottom"/>
            <w:hideMark/>
          </w:tcPr>
          <w:p w14:paraId="21713971" w14:textId="77777777" w:rsidR="00A921C0" w:rsidRPr="00DB5EFD" w:rsidRDefault="00A921C0" w:rsidP="00F12147">
            <w:pPr>
              <w:rPr>
                <w:rFonts w:cstheme="minorHAnsi"/>
                <w:color w:val="000000"/>
              </w:rPr>
            </w:pPr>
            <w:r w:rsidRPr="00DB5EFD">
              <w:rPr>
                <w:rFonts w:cstheme="minorHAnsi"/>
                <w:b/>
                <w:bCs/>
              </w:rPr>
              <w:t>60.4</w:t>
            </w:r>
            <w:r>
              <w:rPr>
                <w:rFonts w:cstheme="minorHAnsi"/>
                <w:b/>
                <w:bCs/>
              </w:rPr>
              <w:t>%</w:t>
            </w:r>
          </w:p>
        </w:tc>
        <w:tc>
          <w:tcPr>
            <w:tcW w:w="865" w:type="dxa"/>
            <w:tcBorders>
              <w:top w:val="single" w:sz="12" w:space="0" w:color="auto"/>
              <w:left w:val="nil"/>
              <w:bottom w:val="nil"/>
              <w:right w:val="nil"/>
            </w:tcBorders>
            <w:shd w:val="clear" w:color="auto" w:fill="E7E6E6" w:themeFill="background2"/>
            <w:noWrap/>
            <w:vAlign w:val="bottom"/>
            <w:hideMark/>
          </w:tcPr>
          <w:p w14:paraId="0FB575A7" w14:textId="77777777" w:rsidR="00A921C0" w:rsidRPr="00DB5EFD" w:rsidRDefault="00A921C0" w:rsidP="00F12147">
            <w:pPr>
              <w:rPr>
                <w:rFonts w:cstheme="minorHAnsi"/>
                <w:color w:val="000000"/>
              </w:rPr>
            </w:pPr>
            <w:r w:rsidRPr="00DB5EFD">
              <w:rPr>
                <w:rFonts w:cstheme="minorHAnsi"/>
              </w:rPr>
              <w:t>68.7</w:t>
            </w:r>
            <w:r>
              <w:rPr>
                <w:rFonts w:cstheme="minorHAnsi"/>
              </w:rPr>
              <w:t>%</w:t>
            </w:r>
          </w:p>
        </w:tc>
        <w:tc>
          <w:tcPr>
            <w:tcW w:w="852" w:type="dxa"/>
            <w:tcBorders>
              <w:top w:val="single" w:sz="12" w:space="0" w:color="auto"/>
              <w:left w:val="nil"/>
              <w:bottom w:val="nil"/>
              <w:right w:val="nil"/>
            </w:tcBorders>
            <w:shd w:val="clear" w:color="auto" w:fill="E7E6E6" w:themeFill="background2"/>
            <w:noWrap/>
            <w:vAlign w:val="bottom"/>
            <w:hideMark/>
          </w:tcPr>
          <w:p w14:paraId="3F6F33BA" w14:textId="77777777" w:rsidR="00A921C0" w:rsidRPr="00DB5EFD" w:rsidRDefault="00A921C0" w:rsidP="00F12147">
            <w:pPr>
              <w:rPr>
                <w:rFonts w:cstheme="minorHAnsi"/>
              </w:rPr>
            </w:pPr>
            <w:r w:rsidRPr="00DB5EFD">
              <w:rPr>
                <w:rFonts w:cstheme="minorHAnsi"/>
                <w:b/>
                <w:bCs/>
              </w:rPr>
              <w:t>79.9</w:t>
            </w:r>
            <w:r>
              <w:rPr>
                <w:rFonts w:cstheme="minorHAnsi"/>
                <w:b/>
                <w:bCs/>
              </w:rPr>
              <w:t>%</w:t>
            </w:r>
          </w:p>
        </w:tc>
        <w:tc>
          <w:tcPr>
            <w:tcW w:w="263" w:type="dxa"/>
            <w:gridSpan w:val="2"/>
            <w:tcBorders>
              <w:top w:val="single" w:sz="12" w:space="0" w:color="auto"/>
              <w:left w:val="nil"/>
              <w:bottom w:val="nil"/>
              <w:right w:val="nil"/>
            </w:tcBorders>
          </w:tcPr>
          <w:p w14:paraId="282038EB" w14:textId="77777777" w:rsidR="00A921C0" w:rsidRPr="00DB5EFD" w:rsidRDefault="00A921C0" w:rsidP="00F12147">
            <w:pPr>
              <w:rPr>
                <w:rFonts w:cstheme="minorHAnsi"/>
              </w:rPr>
            </w:pPr>
          </w:p>
        </w:tc>
        <w:tc>
          <w:tcPr>
            <w:tcW w:w="900" w:type="dxa"/>
            <w:gridSpan w:val="2"/>
            <w:tcBorders>
              <w:top w:val="single" w:sz="12" w:space="0" w:color="auto"/>
              <w:left w:val="nil"/>
              <w:bottom w:val="nil"/>
              <w:right w:val="nil"/>
            </w:tcBorders>
            <w:shd w:val="clear" w:color="auto" w:fill="auto"/>
            <w:noWrap/>
            <w:vAlign w:val="bottom"/>
            <w:hideMark/>
          </w:tcPr>
          <w:p w14:paraId="77345ABF" w14:textId="77777777" w:rsidR="00A921C0" w:rsidRPr="00DB5EFD" w:rsidRDefault="00A921C0" w:rsidP="00F12147">
            <w:pPr>
              <w:rPr>
                <w:rFonts w:cstheme="minorHAnsi"/>
              </w:rPr>
            </w:pPr>
            <w:r w:rsidRPr="00DB5EFD">
              <w:rPr>
                <w:rFonts w:cstheme="minorHAnsi"/>
              </w:rPr>
              <w:t>24.0</w:t>
            </w:r>
            <w:r>
              <w:rPr>
                <w:rFonts w:cstheme="minorHAnsi"/>
              </w:rPr>
              <w:t>%</w:t>
            </w:r>
          </w:p>
        </w:tc>
        <w:tc>
          <w:tcPr>
            <w:tcW w:w="866" w:type="dxa"/>
            <w:gridSpan w:val="2"/>
            <w:tcBorders>
              <w:top w:val="single" w:sz="12" w:space="0" w:color="auto"/>
              <w:left w:val="nil"/>
              <w:bottom w:val="nil"/>
              <w:right w:val="nil"/>
            </w:tcBorders>
            <w:shd w:val="clear" w:color="auto" w:fill="auto"/>
            <w:noWrap/>
            <w:vAlign w:val="bottom"/>
            <w:hideMark/>
          </w:tcPr>
          <w:p w14:paraId="2E8A4740" w14:textId="77777777" w:rsidR="00A921C0" w:rsidRPr="00DB5EFD" w:rsidRDefault="00A921C0" w:rsidP="00F12147">
            <w:pPr>
              <w:rPr>
                <w:rFonts w:cstheme="minorHAnsi"/>
              </w:rPr>
            </w:pPr>
            <w:r w:rsidRPr="00DB5EFD">
              <w:rPr>
                <w:rFonts w:cstheme="minorHAnsi"/>
                <w:b/>
                <w:bCs/>
              </w:rPr>
              <w:t>24.0</w:t>
            </w:r>
            <w:r>
              <w:rPr>
                <w:rFonts w:cstheme="minorHAnsi"/>
                <w:b/>
                <w:bCs/>
              </w:rPr>
              <w:t>%</w:t>
            </w:r>
          </w:p>
        </w:tc>
        <w:tc>
          <w:tcPr>
            <w:tcW w:w="828" w:type="dxa"/>
            <w:tcBorders>
              <w:top w:val="single" w:sz="12" w:space="0" w:color="auto"/>
              <w:left w:val="nil"/>
              <w:bottom w:val="nil"/>
              <w:right w:val="nil"/>
            </w:tcBorders>
            <w:shd w:val="clear" w:color="auto" w:fill="auto"/>
            <w:noWrap/>
            <w:vAlign w:val="bottom"/>
            <w:hideMark/>
          </w:tcPr>
          <w:p w14:paraId="09DC3174" w14:textId="77777777" w:rsidR="00A921C0" w:rsidRPr="00DB5EFD" w:rsidRDefault="00A921C0" w:rsidP="00F12147">
            <w:pPr>
              <w:rPr>
                <w:rFonts w:cstheme="minorHAnsi"/>
              </w:rPr>
            </w:pPr>
            <w:r w:rsidRPr="00DB5EFD">
              <w:rPr>
                <w:rFonts w:cstheme="minorHAnsi"/>
                <w:b/>
                <w:bCs/>
              </w:rPr>
              <w:t>28.1</w:t>
            </w:r>
            <w:r>
              <w:rPr>
                <w:rFonts w:cstheme="minorHAnsi"/>
                <w:b/>
                <w:bCs/>
              </w:rPr>
              <w:t>%</w:t>
            </w:r>
          </w:p>
        </w:tc>
        <w:tc>
          <w:tcPr>
            <w:tcW w:w="251" w:type="dxa"/>
            <w:tcBorders>
              <w:top w:val="single" w:sz="12" w:space="0" w:color="auto"/>
              <w:left w:val="nil"/>
              <w:bottom w:val="nil"/>
              <w:right w:val="nil"/>
            </w:tcBorders>
          </w:tcPr>
          <w:p w14:paraId="5F61E264" w14:textId="77777777" w:rsidR="00A921C0" w:rsidRPr="00DB5EFD" w:rsidRDefault="00A921C0" w:rsidP="00F12147">
            <w:pPr>
              <w:rPr>
                <w:rFonts w:cstheme="minorHAnsi"/>
              </w:rPr>
            </w:pPr>
          </w:p>
        </w:tc>
        <w:tc>
          <w:tcPr>
            <w:tcW w:w="852" w:type="dxa"/>
            <w:tcBorders>
              <w:top w:val="single" w:sz="12" w:space="0" w:color="auto"/>
              <w:left w:val="nil"/>
              <w:bottom w:val="nil"/>
              <w:right w:val="nil"/>
            </w:tcBorders>
            <w:shd w:val="clear" w:color="auto" w:fill="auto"/>
            <w:noWrap/>
            <w:vAlign w:val="bottom"/>
            <w:hideMark/>
          </w:tcPr>
          <w:p w14:paraId="4936F975" w14:textId="77777777" w:rsidR="00A921C0" w:rsidRPr="00DB5EFD" w:rsidRDefault="00A921C0" w:rsidP="00F12147">
            <w:pPr>
              <w:rPr>
                <w:rFonts w:cstheme="minorHAnsi"/>
                <w:color w:val="000000"/>
              </w:rPr>
            </w:pPr>
            <w:r w:rsidRPr="00DB5EFD">
              <w:rPr>
                <w:rFonts w:cstheme="minorHAnsi"/>
              </w:rPr>
              <w:t>56.1</w:t>
            </w:r>
            <w:r>
              <w:rPr>
                <w:rFonts w:cstheme="minorHAnsi"/>
              </w:rPr>
              <w:t>%</w:t>
            </w:r>
          </w:p>
        </w:tc>
        <w:tc>
          <w:tcPr>
            <w:tcW w:w="860" w:type="dxa"/>
            <w:tcBorders>
              <w:top w:val="single" w:sz="12" w:space="0" w:color="auto"/>
              <w:left w:val="nil"/>
              <w:bottom w:val="nil"/>
              <w:right w:val="nil"/>
            </w:tcBorders>
            <w:shd w:val="clear" w:color="auto" w:fill="auto"/>
            <w:noWrap/>
            <w:vAlign w:val="bottom"/>
            <w:hideMark/>
          </w:tcPr>
          <w:p w14:paraId="5D0CE341" w14:textId="77777777" w:rsidR="00A921C0" w:rsidRPr="00DB5EFD" w:rsidRDefault="00A921C0" w:rsidP="00F12147">
            <w:pPr>
              <w:rPr>
                <w:rFonts w:cstheme="minorHAnsi"/>
                <w:color w:val="000000"/>
              </w:rPr>
            </w:pPr>
            <w:r w:rsidRPr="00DB5EFD">
              <w:rPr>
                <w:rFonts w:cstheme="minorHAnsi"/>
                <w:b/>
                <w:bCs/>
              </w:rPr>
              <w:t>65.1</w:t>
            </w:r>
            <w:r>
              <w:rPr>
                <w:rFonts w:cstheme="minorHAnsi"/>
                <w:b/>
                <w:bCs/>
              </w:rPr>
              <w:t>%</w:t>
            </w:r>
          </w:p>
        </w:tc>
        <w:tc>
          <w:tcPr>
            <w:tcW w:w="883" w:type="dxa"/>
            <w:gridSpan w:val="2"/>
            <w:tcBorders>
              <w:top w:val="single" w:sz="12" w:space="0" w:color="auto"/>
              <w:left w:val="nil"/>
              <w:bottom w:val="nil"/>
              <w:right w:val="nil"/>
            </w:tcBorders>
            <w:shd w:val="clear" w:color="auto" w:fill="auto"/>
            <w:noWrap/>
            <w:vAlign w:val="bottom"/>
            <w:hideMark/>
          </w:tcPr>
          <w:p w14:paraId="52772814" w14:textId="77777777" w:rsidR="00A921C0" w:rsidRPr="00DB5EFD" w:rsidRDefault="00A921C0" w:rsidP="00F12147">
            <w:pPr>
              <w:rPr>
                <w:rFonts w:cstheme="minorHAnsi"/>
                <w:color w:val="000000"/>
              </w:rPr>
            </w:pPr>
            <w:r w:rsidRPr="00DB5EFD">
              <w:rPr>
                <w:rFonts w:cstheme="minorHAnsi"/>
              </w:rPr>
              <w:t>55.6</w:t>
            </w:r>
            <w:r>
              <w:rPr>
                <w:rFonts w:cstheme="minorHAnsi"/>
              </w:rPr>
              <w:t>%</w:t>
            </w:r>
          </w:p>
        </w:tc>
      </w:tr>
      <w:tr w:rsidR="00A921C0" w:rsidRPr="00DB5EFD" w14:paraId="21AA9D7C" w14:textId="77777777" w:rsidTr="6A9E2235">
        <w:trPr>
          <w:gridAfter w:val="1"/>
          <w:wAfter w:w="44" w:type="dxa"/>
          <w:trHeight w:val="320"/>
        </w:trPr>
        <w:tc>
          <w:tcPr>
            <w:tcW w:w="1475" w:type="dxa"/>
            <w:tcBorders>
              <w:top w:val="nil"/>
              <w:left w:val="nil"/>
              <w:bottom w:val="nil"/>
              <w:right w:val="nil"/>
            </w:tcBorders>
            <w:shd w:val="clear" w:color="auto" w:fill="auto"/>
            <w:noWrap/>
            <w:vAlign w:val="bottom"/>
            <w:hideMark/>
          </w:tcPr>
          <w:p w14:paraId="5998008F" w14:textId="77777777" w:rsidR="00A921C0" w:rsidRPr="00DB5EFD" w:rsidRDefault="00A921C0" w:rsidP="004B1105">
            <w:pPr>
              <w:rPr>
                <w:rFonts w:cstheme="minorHAnsi"/>
                <w:color w:val="000000"/>
              </w:rPr>
            </w:pPr>
            <w:r w:rsidRPr="00DB5EFD">
              <w:rPr>
                <w:rFonts w:cstheme="minorHAnsi"/>
                <w:color w:val="000000"/>
              </w:rPr>
              <w:t>Latinx</w:t>
            </w:r>
          </w:p>
        </w:tc>
        <w:tc>
          <w:tcPr>
            <w:tcW w:w="900" w:type="dxa"/>
            <w:tcBorders>
              <w:top w:val="nil"/>
              <w:left w:val="nil"/>
              <w:bottom w:val="nil"/>
              <w:right w:val="nil"/>
            </w:tcBorders>
            <w:shd w:val="clear" w:color="auto" w:fill="auto"/>
            <w:noWrap/>
            <w:vAlign w:val="bottom"/>
            <w:hideMark/>
          </w:tcPr>
          <w:p w14:paraId="375A4936" w14:textId="77777777" w:rsidR="00A921C0" w:rsidRPr="00DB5EFD" w:rsidRDefault="00A921C0" w:rsidP="00F12147">
            <w:pPr>
              <w:rPr>
                <w:rFonts w:cstheme="minorHAnsi"/>
                <w:color w:val="000000"/>
              </w:rPr>
            </w:pPr>
            <w:r w:rsidRPr="00DB5EFD">
              <w:rPr>
                <w:rFonts w:cstheme="minorHAnsi"/>
                <w:b/>
                <w:bCs/>
              </w:rPr>
              <w:t>71.5</w:t>
            </w:r>
            <w:r>
              <w:rPr>
                <w:rFonts w:cstheme="minorHAnsi"/>
                <w:b/>
                <w:bCs/>
              </w:rPr>
              <w:t>%</w:t>
            </w:r>
          </w:p>
        </w:tc>
        <w:tc>
          <w:tcPr>
            <w:tcW w:w="865" w:type="dxa"/>
            <w:tcBorders>
              <w:top w:val="nil"/>
              <w:left w:val="nil"/>
              <w:bottom w:val="nil"/>
              <w:right w:val="nil"/>
            </w:tcBorders>
            <w:shd w:val="clear" w:color="auto" w:fill="auto"/>
            <w:noWrap/>
            <w:vAlign w:val="bottom"/>
            <w:hideMark/>
          </w:tcPr>
          <w:p w14:paraId="1DB77F9A" w14:textId="77777777" w:rsidR="00A921C0" w:rsidRPr="00DB5EFD" w:rsidRDefault="00A921C0" w:rsidP="00F12147">
            <w:pPr>
              <w:rPr>
                <w:rFonts w:cstheme="minorHAnsi"/>
                <w:color w:val="000000"/>
              </w:rPr>
            </w:pPr>
            <w:r w:rsidRPr="00DB5EFD">
              <w:rPr>
                <w:rFonts w:cstheme="minorHAnsi"/>
              </w:rPr>
              <w:t>68.5</w:t>
            </w:r>
            <w:r>
              <w:rPr>
                <w:rFonts w:cstheme="minorHAnsi"/>
              </w:rPr>
              <w:t>%</w:t>
            </w:r>
          </w:p>
        </w:tc>
        <w:tc>
          <w:tcPr>
            <w:tcW w:w="852" w:type="dxa"/>
            <w:tcBorders>
              <w:top w:val="nil"/>
              <w:left w:val="nil"/>
              <w:bottom w:val="nil"/>
              <w:right w:val="nil"/>
            </w:tcBorders>
            <w:shd w:val="clear" w:color="auto" w:fill="auto"/>
            <w:noWrap/>
            <w:vAlign w:val="bottom"/>
            <w:hideMark/>
          </w:tcPr>
          <w:p w14:paraId="23A6E866" w14:textId="77777777" w:rsidR="00A921C0" w:rsidRPr="00DB5EFD" w:rsidRDefault="00A921C0" w:rsidP="00F12147">
            <w:pPr>
              <w:rPr>
                <w:rFonts w:cstheme="minorHAnsi"/>
                <w:color w:val="000000"/>
              </w:rPr>
            </w:pPr>
            <w:r w:rsidRPr="00DB5EFD">
              <w:rPr>
                <w:rFonts w:cstheme="minorHAnsi"/>
                <w:b/>
                <w:bCs/>
              </w:rPr>
              <w:t>79.2</w:t>
            </w:r>
            <w:r>
              <w:rPr>
                <w:rFonts w:cstheme="minorHAnsi"/>
                <w:b/>
                <w:bCs/>
              </w:rPr>
              <w:t>%</w:t>
            </w:r>
          </w:p>
        </w:tc>
        <w:tc>
          <w:tcPr>
            <w:tcW w:w="263" w:type="dxa"/>
            <w:gridSpan w:val="2"/>
            <w:tcBorders>
              <w:top w:val="nil"/>
              <w:left w:val="nil"/>
              <w:bottom w:val="nil"/>
              <w:right w:val="nil"/>
            </w:tcBorders>
          </w:tcPr>
          <w:p w14:paraId="552E6666" w14:textId="77777777" w:rsidR="00A921C0" w:rsidRPr="00DB5EFD" w:rsidRDefault="00A921C0" w:rsidP="00F12147">
            <w:pPr>
              <w:rPr>
                <w:rFonts w:cstheme="minorHAnsi"/>
              </w:rPr>
            </w:pPr>
          </w:p>
        </w:tc>
        <w:tc>
          <w:tcPr>
            <w:tcW w:w="900" w:type="dxa"/>
            <w:gridSpan w:val="2"/>
            <w:tcBorders>
              <w:top w:val="nil"/>
              <w:left w:val="nil"/>
              <w:bottom w:val="nil"/>
              <w:right w:val="nil"/>
            </w:tcBorders>
            <w:shd w:val="clear" w:color="auto" w:fill="auto"/>
            <w:noWrap/>
            <w:vAlign w:val="bottom"/>
            <w:hideMark/>
          </w:tcPr>
          <w:p w14:paraId="701B2C9F" w14:textId="77777777" w:rsidR="00A921C0" w:rsidRPr="00DB5EFD" w:rsidRDefault="00A921C0" w:rsidP="00F12147">
            <w:pPr>
              <w:rPr>
                <w:rFonts w:cstheme="minorHAnsi"/>
                <w:color w:val="000000"/>
              </w:rPr>
            </w:pPr>
            <w:r w:rsidRPr="00DB5EFD">
              <w:rPr>
                <w:rFonts w:cstheme="minorHAnsi"/>
              </w:rPr>
              <w:t>33.9</w:t>
            </w:r>
            <w:r>
              <w:rPr>
                <w:rFonts w:cstheme="minorHAnsi"/>
              </w:rPr>
              <w:t>%</w:t>
            </w:r>
          </w:p>
        </w:tc>
        <w:tc>
          <w:tcPr>
            <w:tcW w:w="866" w:type="dxa"/>
            <w:gridSpan w:val="2"/>
            <w:tcBorders>
              <w:top w:val="nil"/>
              <w:left w:val="nil"/>
              <w:bottom w:val="nil"/>
              <w:right w:val="nil"/>
            </w:tcBorders>
            <w:shd w:val="clear" w:color="auto" w:fill="auto"/>
            <w:noWrap/>
            <w:vAlign w:val="bottom"/>
            <w:hideMark/>
          </w:tcPr>
          <w:p w14:paraId="5D8BBA3C" w14:textId="77777777" w:rsidR="00A921C0" w:rsidRPr="00DB5EFD" w:rsidRDefault="00A921C0" w:rsidP="00F12147">
            <w:pPr>
              <w:rPr>
                <w:rFonts w:cstheme="minorHAnsi"/>
                <w:color w:val="000000"/>
              </w:rPr>
            </w:pPr>
            <w:r w:rsidRPr="00DB5EFD">
              <w:rPr>
                <w:rFonts w:cstheme="minorHAnsi"/>
                <w:b/>
                <w:bCs/>
              </w:rPr>
              <w:t>42.3</w:t>
            </w:r>
            <w:r>
              <w:rPr>
                <w:rFonts w:cstheme="minorHAnsi"/>
                <w:b/>
                <w:bCs/>
              </w:rPr>
              <w:t>%</w:t>
            </w:r>
          </w:p>
        </w:tc>
        <w:tc>
          <w:tcPr>
            <w:tcW w:w="828" w:type="dxa"/>
            <w:tcBorders>
              <w:top w:val="nil"/>
              <w:left w:val="nil"/>
              <w:bottom w:val="nil"/>
              <w:right w:val="nil"/>
            </w:tcBorders>
            <w:shd w:val="clear" w:color="auto" w:fill="auto"/>
            <w:noWrap/>
            <w:vAlign w:val="bottom"/>
            <w:hideMark/>
          </w:tcPr>
          <w:p w14:paraId="54746DFB" w14:textId="77777777" w:rsidR="00A921C0" w:rsidRPr="00DB5EFD" w:rsidRDefault="00A921C0" w:rsidP="00F12147">
            <w:pPr>
              <w:rPr>
                <w:rFonts w:cstheme="minorHAnsi"/>
              </w:rPr>
            </w:pPr>
            <w:r w:rsidRPr="00DB5EFD">
              <w:rPr>
                <w:rFonts w:cstheme="minorHAnsi"/>
                <w:b/>
                <w:bCs/>
              </w:rPr>
              <w:t>47.5</w:t>
            </w:r>
            <w:r>
              <w:rPr>
                <w:rFonts w:cstheme="minorHAnsi"/>
                <w:b/>
                <w:bCs/>
              </w:rPr>
              <w:t>%</w:t>
            </w:r>
          </w:p>
        </w:tc>
        <w:tc>
          <w:tcPr>
            <w:tcW w:w="251" w:type="dxa"/>
            <w:tcBorders>
              <w:top w:val="nil"/>
              <w:left w:val="nil"/>
              <w:bottom w:val="nil"/>
              <w:right w:val="nil"/>
            </w:tcBorders>
          </w:tcPr>
          <w:p w14:paraId="11AC1C64" w14:textId="77777777" w:rsidR="00A921C0" w:rsidRPr="00DB5EFD" w:rsidRDefault="00A921C0" w:rsidP="00F12147">
            <w:pPr>
              <w:rPr>
                <w:rFonts w:cstheme="minorHAnsi"/>
              </w:rPr>
            </w:pPr>
          </w:p>
        </w:tc>
        <w:tc>
          <w:tcPr>
            <w:tcW w:w="852" w:type="dxa"/>
            <w:tcBorders>
              <w:top w:val="nil"/>
              <w:left w:val="nil"/>
              <w:bottom w:val="nil"/>
              <w:right w:val="nil"/>
            </w:tcBorders>
            <w:shd w:val="clear" w:color="auto" w:fill="auto"/>
            <w:noWrap/>
            <w:vAlign w:val="bottom"/>
            <w:hideMark/>
          </w:tcPr>
          <w:p w14:paraId="12C9D284" w14:textId="77777777" w:rsidR="00A921C0" w:rsidRPr="00DB5EFD" w:rsidRDefault="00A921C0" w:rsidP="00F12147">
            <w:pPr>
              <w:rPr>
                <w:rFonts w:cstheme="minorHAnsi"/>
              </w:rPr>
            </w:pPr>
            <w:r w:rsidRPr="00DB5EFD">
              <w:rPr>
                <w:rFonts w:cstheme="minorHAnsi"/>
              </w:rPr>
              <w:t>45.0</w:t>
            </w:r>
            <w:r>
              <w:rPr>
                <w:rFonts w:cstheme="minorHAnsi"/>
              </w:rPr>
              <w:t>%</w:t>
            </w:r>
          </w:p>
        </w:tc>
        <w:tc>
          <w:tcPr>
            <w:tcW w:w="860" w:type="dxa"/>
            <w:tcBorders>
              <w:top w:val="nil"/>
              <w:left w:val="nil"/>
              <w:bottom w:val="nil"/>
              <w:right w:val="nil"/>
            </w:tcBorders>
            <w:shd w:val="clear" w:color="auto" w:fill="auto"/>
            <w:noWrap/>
            <w:vAlign w:val="bottom"/>
            <w:hideMark/>
          </w:tcPr>
          <w:p w14:paraId="639DCF8B" w14:textId="77777777" w:rsidR="00A921C0" w:rsidRPr="00DB5EFD" w:rsidRDefault="00A921C0" w:rsidP="00F12147">
            <w:pPr>
              <w:rPr>
                <w:rFonts w:cstheme="minorHAnsi"/>
              </w:rPr>
            </w:pPr>
            <w:r w:rsidRPr="00DB5EFD">
              <w:rPr>
                <w:rFonts w:cstheme="minorHAnsi"/>
                <w:b/>
                <w:bCs/>
              </w:rPr>
              <w:t>45.1</w:t>
            </w:r>
            <w:r>
              <w:rPr>
                <w:rFonts w:cstheme="minorHAnsi"/>
                <w:b/>
                <w:bCs/>
              </w:rPr>
              <w:t>%</w:t>
            </w:r>
          </w:p>
        </w:tc>
        <w:tc>
          <w:tcPr>
            <w:tcW w:w="883" w:type="dxa"/>
            <w:gridSpan w:val="2"/>
            <w:tcBorders>
              <w:top w:val="nil"/>
              <w:left w:val="nil"/>
              <w:bottom w:val="nil"/>
              <w:right w:val="nil"/>
            </w:tcBorders>
            <w:shd w:val="clear" w:color="auto" w:fill="auto"/>
            <w:noWrap/>
            <w:vAlign w:val="bottom"/>
            <w:hideMark/>
          </w:tcPr>
          <w:p w14:paraId="382FED2D" w14:textId="77777777" w:rsidR="00A921C0" w:rsidRPr="00DB5EFD" w:rsidRDefault="00A921C0" w:rsidP="00F12147">
            <w:pPr>
              <w:rPr>
                <w:rFonts w:cstheme="minorHAnsi"/>
              </w:rPr>
            </w:pPr>
            <w:r w:rsidRPr="00DB5EFD">
              <w:rPr>
                <w:rFonts w:cstheme="minorHAnsi"/>
              </w:rPr>
              <w:t>50.1</w:t>
            </w:r>
            <w:r>
              <w:rPr>
                <w:rFonts w:cstheme="minorHAnsi"/>
              </w:rPr>
              <w:t>%</w:t>
            </w:r>
          </w:p>
        </w:tc>
      </w:tr>
      <w:tr w:rsidR="00A921C0" w:rsidRPr="00DB5EFD" w14:paraId="622B0F64" w14:textId="77777777" w:rsidTr="6A9E2235">
        <w:trPr>
          <w:gridAfter w:val="1"/>
          <w:wAfter w:w="44" w:type="dxa"/>
          <w:trHeight w:val="340"/>
        </w:trPr>
        <w:tc>
          <w:tcPr>
            <w:tcW w:w="1475" w:type="dxa"/>
            <w:tcBorders>
              <w:top w:val="nil"/>
              <w:left w:val="nil"/>
              <w:bottom w:val="nil"/>
              <w:right w:val="nil"/>
            </w:tcBorders>
            <w:shd w:val="clear" w:color="auto" w:fill="auto"/>
            <w:noWrap/>
            <w:vAlign w:val="bottom"/>
          </w:tcPr>
          <w:p w14:paraId="29685220" w14:textId="77777777" w:rsidR="00A921C0" w:rsidRPr="00DB5EFD" w:rsidRDefault="00A921C0" w:rsidP="004B1105">
            <w:pPr>
              <w:rPr>
                <w:rFonts w:cstheme="minorHAnsi"/>
                <w:color w:val="000000"/>
              </w:rPr>
            </w:pPr>
            <w:r w:rsidRPr="00DB5EFD">
              <w:rPr>
                <w:rFonts w:cstheme="minorHAnsi"/>
                <w:color w:val="000000"/>
              </w:rPr>
              <w:t>White</w:t>
            </w:r>
          </w:p>
        </w:tc>
        <w:tc>
          <w:tcPr>
            <w:tcW w:w="900" w:type="dxa"/>
            <w:tcBorders>
              <w:top w:val="nil"/>
              <w:left w:val="nil"/>
              <w:bottom w:val="nil"/>
              <w:right w:val="nil"/>
            </w:tcBorders>
            <w:shd w:val="clear" w:color="auto" w:fill="E7E6E6" w:themeFill="background2"/>
            <w:noWrap/>
            <w:vAlign w:val="bottom"/>
          </w:tcPr>
          <w:p w14:paraId="22235252" w14:textId="77777777" w:rsidR="00A921C0" w:rsidRPr="00DB5EFD" w:rsidRDefault="00A921C0" w:rsidP="00F12147">
            <w:pPr>
              <w:rPr>
                <w:rFonts w:cstheme="minorHAnsi"/>
                <w:color w:val="000000"/>
              </w:rPr>
            </w:pPr>
            <w:r w:rsidRPr="00DB5EFD">
              <w:rPr>
                <w:rFonts w:cstheme="minorHAnsi"/>
                <w:b/>
                <w:bCs/>
              </w:rPr>
              <w:t>50.1</w:t>
            </w:r>
            <w:r>
              <w:rPr>
                <w:rFonts w:cstheme="minorHAnsi"/>
                <w:b/>
                <w:bCs/>
              </w:rPr>
              <w:t>%</w:t>
            </w:r>
          </w:p>
        </w:tc>
        <w:tc>
          <w:tcPr>
            <w:tcW w:w="865" w:type="dxa"/>
            <w:tcBorders>
              <w:top w:val="nil"/>
              <w:left w:val="nil"/>
              <w:bottom w:val="nil"/>
              <w:right w:val="nil"/>
            </w:tcBorders>
            <w:shd w:val="clear" w:color="auto" w:fill="E7E6E6" w:themeFill="background2"/>
            <w:noWrap/>
            <w:vAlign w:val="bottom"/>
          </w:tcPr>
          <w:p w14:paraId="4019CC36" w14:textId="77777777" w:rsidR="00A921C0" w:rsidRPr="00DB5EFD" w:rsidRDefault="00A921C0" w:rsidP="00F12147">
            <w:pPr>
              <w:rPr>
                <w:rFonts w:cstheme="minorHAnsi"/>
                <w:color w:val="000000"/>
              </w:rPr>
            </w:pPr>
            <w:r w:rsidRPr="00DB5EFD">
              <w:rPr>
                <w:rFonts w:cstheme="minorHAnsi"/>
              </w:rPr>
              <w:t>70.0</w:t>
            </w:r>
            <w:r>
              <w:rPr>
                <w:rFonts w:cstheme="minorHAnsi"/>
              </w:rPr>
              <w:t>%</w:t>
            </w:r>
          </w:p>
        </w:tc>
        <w:tc>
          <w:tcPr>
            <w:tcW w:w="852" w:type="dxa"/>
            <w:tcBorders>
              <w:top w:val="nil"/>
              <w:left w:val="nil"/>
              <w:bottom w:val="nil"/>
              <w:right w:val="nil"/>
            </w:tcBorders>
            <w:shd w:val="clear" w:color="auto" w:fill="E7E6E6" w:themeFill="background2"/>
            <w:noWrap/>
            <w:vAlign w:val="bottom"/>
          </w:tcPr>
          <w:p w14:paraId="38BC04D7" w14:textId="77777777" w:rsidR="00A921C0" w:rsidRPr="00DB5EFD" w:rsidRDefault="00A921C0" w:rsidP="00F12147">
            <w:pPr>
              <w:rPr>
                <w:rFonts w:cstheme="minorHAnsi"/>
              </w:rPr>
            </w:pPr>
            <w:r w:rsidRPr="00DB5EFD">
              <w:rPr>
                <w:rFonts w:cstheme="minorHAnsi"/>
                <w:b/>
                <w:bCs/>
              </w:rPr>
              <w:t>89.6</w:t>
            </w:r>
            <w:r>
              <w:rPr>
                <w:rFonts w:cstheme="minorHAnsi"/>
                <w:b/>
                <w:bCs/>
              </w:rPr>
              <w:t>%</w:t>
            </w:r>
          </w:p>
        </w:tc>
        <w:tc>
          <w:tcPr>
            <w:tcW w:w="263" w:type="dxa"/>
            <w:gridSpan w:val="2"/>
            <w:tcBorders>
              <w:top w:val="nil"/>
              <w:left w:val="nil"/>
              <w:bottom w:val="nil"/>
              <w:right w:val="nil"/>
            </w:tcBorders>
            <w:shd w:val="clear" w:color="auto" w:fill="auto"/>
          </w:tcPr>
          <w:p w14:paraId="2012820D" w14:textId="77777777" w:rsidR="00A921C0" w:rsidRPr="00DB5EFD" w:rsidRDefault="00A921C0" w:rsidP="00F12147">
            <w:pPr>
              <w:rPr>
                <w:rFonts w:cstheme="minorHAnsi"/>
              </w:rPr>
            </w:pPr>
          </w:p>
        </w:tc>
        <w:tc>
          <w:tcPr>
            <w:tcW w:w="900" w:type="dxa"/>
            <w:gridSpan w:val="2"/>
            <w:tcBorders>
              <w:top w:val="nil"/>
              <w:left w:val="nil"/>
              <w:bottom w:val="nil"/>
              <w:right w:val="nil"/>
            </w:tcBorders>
            <w:shd w:val="clear" w:color="auto" w:fill="E7E6E6" w:themeFill="background2"/>
            <w:noWrap/>
            <w:vAlign w:val="bottom"/>
          </w:tcPr>
          <w:p w14:paraId="0113ED51" w14:textId="77777777" w:rsidR="00A921C0" w:rsidRPr="00DB5EFD" w:rsidRDefault="00A921C0" w:rsidP="00F12147">
            <w:pPr>
              <w:rPr>
                <w:rFonts w:cstheme="minorHAnsi"/>
                <w:color w:val="000000"/>
              </w:rPr>
            </w:pPr>
            <w:r w:rsidRPr="00DB5EFD">
              <w:rPr>
                <w:rFonts w:cstheme="minorHAnsi"/>
              </w:rPr>
              <w:t>31.4</w:t>
            </w:r>
            <w:r>
              <w:rPr>
                <w:rFonts w:cstheme="minorHAnsi"/>
              </w:rPr>
              <w:t>%</w:t>
            </w:r>
          </w:p>
        </w:tc>
        <w:tc>
          <w:tcPr>
            <w:tcW w:w="866" w:type="dxa"/>
            <w:gridSpan w:val="2"/>
            <w:tcBorders>
              <w:top w:val="nil"/>
              <w:left w:val="nil"/>
              <w:bottom w:val="nil"/>
              <w:right w:val="nil"/>
            </w:tcBorders>
            <w:shd w:val="clear" w:color="auto" w:fill="E7E6E6" w:themeFill="background2"/>
            <w:noWrap/>
            <w:vAlign w:val="bottom"/>
          </w:tcPr>
          <w:p w14:paraId="7483DF90" w14:textId="77777777" w:rsidR="00A921C0" w:rsidRPr="00DB5EFD" w:rsidRDefault="00A921C0" w:rsidP="00F12147">
            <w:pPr>
              <w:rPr>
                <w:rFonts w:cstheme="minorHAnsi"/>
              </w:rPr>
            </w:pPr>
            <w:r w:rsidRPr="00DB5EFD">
              <w:rPr>
                <w:rFonts w:cstheme="minorHAnsi"/>
                <w:b/>
                <w:bCs/>
              </w:rPr>
              <w:t>47.9</w:t>
            </w:r>
            <w:r>
              <w:rPr>
                <w:rFonts w:cstheme="minorHAnsi"/>
                <w:b/>
                <w:bCs/>
              </w:rPr>
              <w:t>%</w:t>
            </w:r>
          </w:p>
        </w:tc>
        <w:tc>
          <w:tcPr>
            <w:tcW w:w="828" w:type="dxa"/>
            <w:tcBorders>
              <w:top w:val="nil"/>
              <w:left w:val="nil"/>
              <w:bottom w:val="nil"/>
              <w:right w:val="nil"/>
            </w:tcBorders>
            <w:shd w:val="clear" w:color="auto" w:fill="E7E6E6" w:themeFill="background2"/>
            <w:noWrap/>
            <w:vAlign w:val="bottom"/>
          </w:tcPr>
          <w:p w14:paraId="02249ECA" w14:textId="77777777" w:rsidR="00A921C0" w:rsidRPr="00DB5EFD" w:rsidRDefault="00A921C0" w:rsidP="00F12147">
            <w:pPr>
              <w:rPr>
                <w:rFonts w:cstheme="minorHAnsi"/>
              </w:rPr>
            </w:pPr>
            <w:r w:rsidRPr="00DB5EFD">
              <w:rPr>
                <w:rFonts w:cstheme="minorHAnsi"/>
                <w:b/>
                <w:bCs/>
              </w:rPr>
              <w:t>60.2</w:t>
            </w:r>
            <w:r>
              <w:rPr>
                <w:rFonts w:cstheme="minorHAnsi"/>
                <w:b/>
                <w:bCs/>
              </w:rPr>
              <w:t>%</w:t>
            </w:r>
          </w:p>
        </w:tc>
        <w:tc>
          <w:tcPr>
            <w:tcW w:w="251" w:type="dxa"/>
            <w:tcBorders>
              <w:top w:val="nil"/>
              <w:left w:val="nil"/>
              <w:bottom w:val="nil"/>
              <w:right w:val="nil"/>
            </w:tcBorders>
          </w:tcPr>
          <w:p w14:paraId="51EC539E" w14:textId="77777777" w:rsidR="00A921C0" w:rsidRPr="00DB5EFD" w:rsidRDefault="00A921C0" w:rsidP="00F12147">
            <w:pPr>
              <w:rPr>
                <w:rFonts w:cstheme="minorHAnsi"/>
              </w:rPr>
            </w:pPr>
          </w:p>
        </w:tc>
        <w:tc>
          <w:tcPr>
            <w:tcW w:w="852" w:type="dxa"/>
            <w:tcBorders>
              <w:top w:val="nil"/>
              <w:left w:val="nil"/>
              <w:bottom w:val="nil"/>
              <w:right w:val="nil"/>
            </w:tcBorders>
            <w:shd w:val="clear" w:color="auto" w:fill="auto"/>
            <w:noWrap/>
            <w:vAlign w:val="bottom"/>
          </w:tcPr>
          <w:p w14:paraId="7250C2FE" w14:textId="77777777" w:rsidR="00A921C0" w:rsidRPr="00DB5EFD" w:rsidRDefault="00A921C0" w:rsidP="00F12147">
            <w:pPr>
              <w:rPr>
                <w:rFonts w:cstheme="minorHAnsi"/>
              </w:rPr>
            </w:pPr>
            <w:r w:rsidRPr="00DB5EFD">
              <w:rPr>
                <w:rFonts w:cstheme="minorHAnsi"/>
              </w:rPr>
              <w:t>61.2</w:t>
            </w:r>
            <w:r>
              <w:rPr>
                <w:rFonts w:cstheme="minorHAnsi"/>
              </w:rPr>
              <w:t>%</w:t>
            </w:r>
          </w:p>
        </w:tc>
        <w:tc>
          <w:tcPr>
            <w:tcW w:w="860" w:type="dxa"/>
            <w:tcBorders>
              <w:top w:val="nil"/>
              <w:left w:val="nil"/>
              <w:bottom w:val="nil"/>
              <w:right w:val="nil"/>
            </w:tcBorders>
            <w:shd w:val="clear" w:color="auto" w:fill="auto"/>
            <w:noWrap/>
            <w:vAlign w:val="bottom"/>
          </w:tcPr>
          <w:p w14:paraId="1F557F04" w14:textId="77777777" w:rsidR="00A921C0" w:rsidRPr="00DB5EFD" w:rsidRDefault="00A921C0" w:rsidP="00F12147">
            <w:pPr>
              <w:rPr>
                <w:rFonts w:cstheme="minorHAnsi"/>
              </w:rPr>
            </w:pPr>
            <w:r w:rsidRPr="00DB5EFD">
              <w:rPr>
                <w:rFonts w:cstheme="minorHAnsi"/>
                <w:b/>
                <w:bCs/>
              </w:rPr>
              <w:t>61.3</w:t>
            </w:r>
            <w:r>
              <w:rPr>
                <w:rFonts w:cstheme="minorHAnsi"/>
                <w:b/>
                <w:bCs/>
              </w:rPr>
              <w:t>%</w:t>
            </w:r>
          </w:p>
        </w:tc>
        <w:tc>
          <w:tcPr>
            <w:tcW w:w="883" w:type="dxa"/>
            <w:gridSpan w:val="2"/>
            <w:tcBorders>
              <w:top w:val="nil"/>
              <w:left w:val="nil"/>
              <w:bottom w:val="nil"/>
              <w:right w:val="nil"/>
            </w:tcBorders>
            <w:shd w:val="clear" w:color="auto" w:fill="auto"/>
            <w:noWrap/>
            <w:vAlign w:val="bottom"/>
          </w:tcPr>
          <w:p w14:paraId="2DF66FC8" w14:textId="77777777" w:rsidR="00A921C0" w:rsidRPr="00DB5EFD" w:rsidRDefault="00A921C0" w:rsidP="00F12147">
            <w:pPr>
              <w:rPr>
                <w:rFonts w:cstheme="minorHAnsi"/>
                <w:color w:val="000000"/>
              </w:rPr>
            </w:pPr>
            <w:r w:rsidRPr="00DB5EFD">
              <w:rPr>
                <w:rFonts w:cstheme="minorHAnsi"/>
              </w:rPr>
              <w:t>57.6</w:t>
            </w:r>
            <w:r>
              <w:rPr>
                <w:rFonts w:cstheme="minorHAnsi"/>
              </w:rPr>
              <w:t>%</w:t>
            </w:r>
          </w:p>
        </w:tc>
      </w:tr>
      <w:tr w:rsidR="00A921C0" w:rsidRPr="00DB5EFD" w14:paraId="45FB7388" w14:textId="77777777" w:rsidTr="6A9E2235">
        <w:trPr>
          <w:gridAfter w:val="1"/>
          <w:wAfter w:w="44" w:type="dxa"/>
          <w:trHeight w:val="340"/>
        </w:trPr>
        <w:tc>
          <w:tcPr>
            <w:tcW w:w="1475" w:type="dxa"/>
            <w:tcBorders>
              <w:top w:val="nil"/>
              <w:left w:val="nil"/>
              <w:bottom w:val="nil"/>
              <w:right w:val="nil"/>
            </w:tcBorders>
            <w:shd w:val="clear" w:color="auto" w:fill="auto"/>
            <w:noWrap/>
            <w:vAlign w:val="bottom"/>
          </w:tcPr>
          <w:p w14:paraId="28FA50F6" w14:textId="77777777" w:rsidR="00A921C0" w:rsidRPr="00DB5EFD" w:rsidRDefault="00A921C0" w:rsidP="004B1105">
            <w:pPr>
              <w:rPr>
                <w:rFonts w:cstheme="minorHAnsi"/>
                <w:color w:val="000000"/>
              </w:rPr>
            </w:pPr>
            <w:r>
              <w:rPr>
                <w:rFonts w:cstheme="minorHAnsi"/>
                <w:color w:val="000000"/>
              </w:rPr>
              <w:t>Another race</w:t>
            </w:r>
          </w:p>
        </w:tc>
        <w:tc>
          <w:tcPr>
            <w:tcW w:w="900" w:type="dxa"/>
            <w:tcBorders>
              <w:top w:val="nil"/>
              <w:left w:val="nil"/>
              <w:bottom w:val="nil"/>
              <w:right w:val="nil"/>
            </w:tcBorders>
            <w:shd w:val="clear" w:color="auto" w:fill="E7E6E6" w:themeFill="background2"/>
            <w:noWrap/>
            <w:vAlign w:val="center"/>
          </w:tcPr>
          <w:p w14:paraId="2600BAD8" w14:textId="77777777" w:rsidR="00A921C0" w:rsidRPr="00DB5EFD" w:rsidRDefault="00A921C0" w:rsidP="00F12147">
            <w:pPr>
              <w:rPr>
                <w:rFonts w:cstheme="minorHAnsi"/>
                <w:b/>
                <w:bCs/>
              </w:rPr>
            </w:pPr>
            <w:r w:rsidRPr="00DB5EFD">
              <w:rPr>
                <w:rFonts w:cstheme="minorHAnsi"/>
                <w:b/>
                <w:bCs/>
              </w:rPr>
              <w:t>58.1</w:t>
            </w:r>
            <w:r>
              <w:rPr>
                <w:rFonts w:cstheme="minorHAnsi"/>
                <w:b/>
                <w:bCs/>
              </w:rPr>
              <w:t>%</w:t>
            </w:r>
          </w:p>
        </w:tc>
        <w:tc>
          <w:tcPr>
            <w:tcW w:w="865" w:type="dxa"/>
            <w:tcBorders>
              <w:top w:val="nil"/>
              <w:left w:val="nil"/>
              <w:bottom w:val="nil"/>
              <w:right w:val="nil"/>
            </w:tcBorders>
            <w:shd w:val="clear" w:color="auto" w:fill="E7E6E6" w:themeFill="background2"/>
            <w:noWrap/>
            <w:vAlign w:val="center"/>
          </w:tcPr>
          <w:p w14:paraId="050CC345" w14:textId="77777777" w:rsidR="00A921C0" w:rsidRPr="00DB5EFD" w:rsidRDefault="00A921C0" w:rsidP="00F12147">
            <w:pPr>
              <w:rPr>
                <w:rFonts w:cstheme="minorHAnsi"/>
              </w:rPr>
            </w:pPr>
            <w:r w:rsidRPr="00DB5EFD">
              <w:rPr>
                <w:rFonts w:cstheme="minorHAnsi"/>
              </w:rPr>
              <w:t>67.4</w:t>
            </w:r>
            <w:r>
              <w:rPr>
                <w:rFonts w:cstheme="minorHAnsi"/>
              </w:rPr>
              <w:t>%</w:t>
            </w:r>
          </w:p>
        </w:tc>
        <w:tc>
          <w:tcPr>
            <w:tcW w:w="852" w:type="dxa"/>
            <w:tcBorders>
              <w:top w:val="nil"/>
              <w:left w:val="nil"/>
              <w:bottom w:val="nil"/>
              <w:right w:val="nil"/>
            </w:tcBorders>
            <w:shd w:val="clear" w:color="auto" w:fill="E7E6E6" w:themeFill="background2"/>
            <w:noWrap/>
            <w:vAlign w:val="center"/>
          </w:tcPr>
          <w:p w14:paraId="55ABD687" w14:textId="77777777" w:rsidR="00A921C0" w:rsidRPr="00DB5EFD" w:rsidRDefault="00A921C0" w:rsidP="00F12147">
            <w:pPr>
              <w:rPr>
                <w:rFonts w:cstheme="minorHAnsi"/>
                <w:b/>
                <w:bCs/>
              </w:rPr>
            </w:pPr>
            <w:r w:rsidRPr="00DB5EFD">
              <w:rPr>
                <w:rFonts w:cstheme="minorHAnsi"/>
                <w:b/>
                <w:bCs/>
              </w:rPr>
              <w:t>87.3</w:t>
            </w:r>
            <w:r>
              <w:rPr>
                <w:rFonts w:cstheme="minorHAnsi"/>
                <w:b/>
                <w:bCs/>
              </w:rPr>
              <w:t>%</w:t>
            </w:r>
          </w:p>
        </w:tc>
        <w:tc>
          <w:tcPr>
            <w:tcW w:w="263" w:type="dxa"/>
            <w:gridSpan w:val="2"/>
            <w:tcBorders>
              <w:top w:val="nil"/>
              <w:left w:val="nil"/>
              <w:bottom w:val="nil"/>
              <w:right w:val="nil"/>
            </w:tcBorders>
            <w:shd w:val="clear" w:color="auto" w:fill="auto"/>
          </w:tcPr>
          <w:p w14:paraId="3C51D62E" w14:textId="77777777" w:rsidR="00A921C0" w:rsidRPr="00DB5EFD" w:rsidRDefault="00A921C0" w:rsidP="00F12147">
            <w:pPr>
              <w:rPr>
                <w:rFonts w:cstheme="minorHAnsi"/>
              </w:rPr>
            </w:pPr>
          </w:p>
        </w:tc>
        <w:tc>
          <w:tcPr>
            <w:tcW w:w="900" w:type="dxa"/>
            <w:gridSpan w:val="2"/>
            <w:tcBorders>
              <w:top w:val="nil"/>
              <w:left w:val="nil"/>
              <w:bottom w:val="nil"/>
              <w:right w:val="nil"/>
            </w:tcBorders>
            <w:shd w:val="clear" w:color="auto" w:fill="E7E6E6" w:themeFill="background2"/>
            <w:noWrap/>
            <w:vAlign w:val="center"/>
          </w:tcPr>
          <w:p w14:paraId="2A927416" w14:textId="77777777" w:rsidR="00A921C0" w:rsidRPr="00DB5EFD" w:rsidRDefault="00A921C0" w:rsidP="00F12147">
            <w:pPr>
              <w:rPr>
                <w:rFonts w:cstheme="minorHAnsi"/>
              </w:rPr>
            </w:pPr>
            <w:r w:rsidRPr="00DB5EFD">
              <w:rPr>
                <w:rFonts w:cstheme="minorHAnsi"/>
              </w:rPr>
              <w:t>30.0</w:t>
            </w:r>
            <w:r>
              <w:rPr>
                <w:rFonts w:cstheme="minorHAnsi"/>
              </w:rPr>
              <w:t>%</w:t>
            </w:r>
          </w:p>
        </w:tc>
        <w:tc>
          <w:tcPr>
            <w:tcW w:w="866" w:type="dxa"/>
            <w:gridSpan w:val="2"/>
            <w:tcBorders>
              <w:top w:val="nil"/>
              <w:left w:val="nil"/>
              <w:bottom w:val="nil"/>
              <w:right w:val="nil"/>
            </w:tcBorders>
            <w:shd w:val="clear" w:color="auto" w:fill="E7E6E6" w:themeFill="background2"/>
            <w:noWrap/>
            <w:vAlign w:val="center"/>
          </w:tcPr>
          <w:p w14:paraId="4F7C2D82" w14:textId="77777777" w:rsidR="00A921C0" w:rsidRPr="00DB5EFD" w:rsidRDefault="00A921C0" w:rsidP="00F12147">
            <w:pPr>
              <w:rPr>
                <w:rFonts w:cstheme="minorHAnsi"/>
                <w:b/>
                <w:bCs/>
              </w:rPr>
            </w:pPr>
            <w:r w:rsidRPr="00DB5EFD">
              <w:rPr>
                <w:rFonts w:cstheme="minorHAnsi"/>
                <w:b/>
                <w:bCs/>
              </w:rPr>
              <w:t>49.4</w:t>
            </w:r>
            <w:r>
              <w:rPr>
                <w:rFonts w:cstheme="minorHAnsi"/>
                <w:b/>
                <w:bCs/>
              </w:rPr>
              <w:t>%</w:t>
            </w:r>
          </w:p>
        </w:tc>
        <w:tc>
          <w:tcPr>
            <w:tcW w:w="828" w:type="dxa"/>
            <w:tcBorders>
              <w:top w:val="nil"/>
              <w:left w:val="nil"/>
              <w:bottom w:val="nil"/>
              <w:right w:val="nil"/>
            </w:tcBorders>
            <w:shd w:val="clear" w:color="auto" w:fill="E7E6E6" w:themeFill="background2"/>
            <w:noWrap/>
            <w:vAlign w:val="center"/>
          </w:tcPr>
          <w:p w14:paraId="69EAB2EF" w14:textId="77777777" w:rsidR="00A921C0" w:rsidRPr="00DB5EFD" w:rsidRDefault="00A921C0" w:rsidP="00F12147">
            <w:pPr>
              <w:rPr>
                <w:rFonts w:cstheme="minorHAnsi"/>
                <w:b/>
                <w:bCs/>
              </w:rPr>
            </w:pPr>
            <w:r w:rsidRPr="00DB5EFD">
              <w:rPr>
                <w:rFonts w:cstheme="minorHAnsi"/>
                <w:b/>
                <w:bCs/>
              </w:rPr>
              <w:t>60.0</w:t>
            </w:r>
            <w:r>
              <w:rPr>
                <w:rFonts w:cstheme="minorHAnsi"/>
                <w:b/>
                <w:bCs/>
              </w:rPr>
              <w:t>%</w:t>
            </w:r>
          </w:p>
        </w:tc>
        <w:tc>
          <w:tcPr>
            <w:tcW w:w="251" w:type="dxa"/>
            <w:tcBorders>
              <w:top w:val="nil"/>
              <w:left w:val="nil"/>
              <w:bottom w:val="nil"/>
              <w:right w:val="nil"/>
            </w:tcBorders>
          </w:tcPr>
          <w:p w14:paraId="6BDF6B70" w14:textId="77777777" w:rsidR="00A921C0" w:rsidRPr="00DB5EFD" w:rsidRDefault="00A921C0" w:rsidP="00F12147">
            <w:pPr>
              <w:rPr>
                <w:rFonts w:cstheme="minorHAnsi"/>
              </w:rPr>
            </w:pPr>
          </w:p>
        </w:tc>
        <w:tc>
          <w:tcPr>
            <w:tcW w:w="852" w:type="dxa"/>
            <w:tcBorders>
              <w:top w:val="nil"/>
              <w:left w:val="nil"/>
              <w:bottom w:val="nil"/>
              <w:right w:val="nil"/>
            </w:tcBorders>
            <w:shd w:val="clear" w:color="auto" w:fill="auto"/>
            <w:noWrap/>
            <w:vAlign w:val="center"/>
          </w:tcPr>
          <w:p w14:paraId="7529A81D" w14:textId="77777777" w:rsidR="00A921C0" w:rsidRPr="00DB5EFD" w:rsidRDefault="00A921C0" w:rsidP="00F12147">
            <w:pPr>
              <w:rPr>
                <w:rFonts w:cstheme="minorHAnsi"/>
              </w:rPr>
            </w:pPr>
            <w:r w:rsidRPr="00DB5EFD">
              <w:rPr>
                <w:rFonts w:cstheme="minorHAnsi"/>
              </w:rPr>
              <w:t>63.4</w:t>
            </w:r>
            <w:r>
              <w:rPr>
                <w:rFonts w:cstheme="minorHAnsi"/>
              </w:rPr>
              <w:t>%</w:t>
            </w:r>
          </w:p>
        </w:tc>
        <w:tc>
          <w:tcPr>
            <w:tcW w:w="860" w:type="dxa"/>
            <w:tcBorders>
              <w:top w:val="nil"/>
              <w:left w:val="nil"/>
              <w:bottom w:val="nil"/>
              <w:right w:val="nil"/>
            </w:tcBorders>
            <w:shd w:val="clear" w:color="auto" w:fill="auto"/>
            <w:noWrap/>
            <w:vAlign w:val="center"/>
          </w:tcPr>
          <w:p w14:paraId="5A23471C" w14:textId="77777777" w:rsidR="00A921C0" w:rsidRPr="00DB5EFD" w:rsidRDefault="00A921C0" w:rsidP="00F12147">
            <w:pPr>
              <w:rPr>
                <w:rFonts w:cstheme="minorHAnsi"/>
                <w:b/>
                <w:bCs/>
              </w:rPr>
            </w:pPr>
            <w:r w:rsidRPr="00DB5EFD">
              <w:rPr>
                <w:rFonts w:cstheme="minorHAnsi"/>
                <w:b/>
                <w:bCs/>
              </w:rPr>
              <w:t>47.0</w:t>
            </w:r>
            <w:r>
              <w:rPr>
                <w:rFonts w:cstheme="minorHAnsi"/>
                <w:b/>
                <w:bCs/>
              </w:rPr>
              <w:t>%</w:t>
            </w:r>
          </w:p>
        </w:tc>
        <w:tc>
          <w:tcPr>
            <w:tcW w:w="883" w:type="dxa"/>
            <w:gridSpan w:val="2"/>
            <w:tcBorders>
              <w:top w:val="nil"/>
              <w:left w:val="nil"/>
              <w:bottom w:val="nil"/>
              <w:right w:val="nil"/>
            </w:tcBorders>
            <w:shd w:val="clear" w:color="auto" w:fill="auto"/>
            <w:noWrap/>
            <w:vAlign w:val="bottom"/>
          </w:tcPr>
          <w:p w14:paraId="166BF0A4" w14:textId="77777777" w:rsidR="00A921C0" w:rsidRPr="00DB5EFD" w:rsidRDefault="00A921C0" w:rsidP="00F12147">
            <w:pPr>
              <w:rPr>
                <w:rFonts w:cstheme="minorHAnsi"/>
              </w:rPr>
            </w:pPr>
            <w:r w:rsidRPr="00DB5EFD">
              <w:rPr>
                <w:rFonts w:cstheme="minorHAnsi"/>
              </w:rPr>
              <w:t>57.1</w:t>
            </w:r>
            <w:r>
              <w:rPr>
                <w:rFonts w:cstheme="minorHAnsi"/>
              </w:rPr>
              <w:t>%</w:t>
            </w:r>
          </w:p>
        </w:tc>
      </w:tr>
      <w:tr w:rsidR="00A921C0" w:rsidRPr="009340F9" w14:paraId="56A0C558" w14:textId="77777777" w:rsidTr="6A9E2235">
        <w:trPr>
          <w:trHeight w:val="340"/>
        </w:trPr>
        <w:tc>
          <w:tcPr>
            <w:tcW w:w="1475" w:type="dxa"/>
            <w:tcBorders>
              <w:top w:val="nil"/>
              <w:left w:val="nil"/>
              <w:bottom w:val="nil"/>
              <w:right w:val="nil"/>
            </w:tcBorders>
            <w:shd w:val="clear" w:color="auto" w:fill="auto"/>
            <w:noWrap/>
            <w:vAlign w:val="center"/>
          </w:tcPr>
          <w:p w14:paraId="5A8C0BD6" w14:textId="77777777" w:rsidR="00A921C0" w:rsidRPr="00DB5EFD" w:rsidRDefault="00A921C0" w:rsidP="004B1105">
            <w:pPr>
              <w:rPr>
                <w:rFonts w:cstheme="minorHAnsi"/>
                <w:color w:val="000000"/>
              </w:rPr>
            </w:pPr>
          </w:p>
        </w:tc>
        <w:tc>
          <w:tcPr>
            <w:tcW w:w="8364" w:type="dxa"/>
            <w:gridSpan w:val="16"/>
            <w:tcBorders>
              <w:top w:val="nil"/>
              <w:left w:val="nil"/>
              <w:bottom w:val="single" w:sz="12" w:space="0" w:color="auto"/>
              <w:right w:val="nil"/>
            </w:tcBorders>
          </w:tcPr>
          <w:p w14:paraId="49AEEC01" w14:textId="77777777" w:rsidR="00A921C0" w:rsidRPr="009340F9" w:rsidRDefault="00A921C0" w:rsidP="004B1105">
            <w:pPr>
              <w:rPr>
                <w:rFonts w:cstheme="minorHAnsi"/>
                <w:color w:val="000000"/>
              </w:rPr>
            </w:pPr>
          </w:p>
        </w:tc>
      </w:tr>
      <w:tr w:rsidR="00A921C0" w:rsidRPr="00C815BA" w14:paraId="4420182F" w14:textId="77777777" w:rsidTr="6A9E2235">
        <w:trPr>
          <w:trHeight w:val="340"/>
        </w:trPr>
        <w:tc>
          <w:tcPr>
            <w:tcW w:w="1475" w:type="dxa"/>
            <w:tcBorders>
              <w:top w:val="nil"/>
              <w:left w:val="nil"/>
              <w:bottom w:val="nil"/>
              <w:right w:val="nil"/>
            </w:tcBorders>
            <w:shd w:val="clear" w:color="auto" w:fill="auto"/>
            <w:noWrap/>
            <w:vAlign w:val="center"/>
          </w:tcPr>
          <w:p w14:paraId="70BF98C8" w14:textId="70C20BF2" w:rsidR="00A921C0" w:rsidRPr="00DB5EFD" w:rsidRDefault="00A921C0" w:rsidP="004B1105">
            <w:pPr>
              <w:rPr>
                <w:rFonts w:cstheme="minorHAnsi"/>
                <w:color w:val="000000"/>
              </w:rPr>
            </w:pPr>
            <w:r>
              <w:rPr>
                <w:rFonts w:cstheme="minorHAnsi"/>
                <w:b/>
                <w:color w:val="000000"/>
              </w:rPr>
              <w:t xml:space="preserve">Wealth </w:t>
            </w:r>
          </w:p>
        </w:tc>
        <w:tc>
          <w:tcPr>
            <w:tcW w:w="900" w:type="dxa"/>
            <w:tcBorders>
              <w:top w:val="single" w:sz="12" w:space="0" w:color="auto"/>
              <w:left w:val="nil"/>
              <w:bottom w:val="single" w:sz="12" w:space="0" w:color="auto"/>
              <w:right w:val="nil"/>
            </w:tcBorders>
            <w:shd w:val="clear" w:color="auto" w:fill="auto"/>
            <w:noWrap/>
            <w:vAlign w:val="bottom"/>
          </w:tcPr>
          <w:p w14:paraId="01552C5E" w14:textId="73D944D3" w:rsidR="00A921C0" w:rsidRPr="00C815BA" w:rsidRDefault="0003433E" w:rsidP="00F12147">
            <w:pPr>
              <w:rPr>
                <w:rFonts w:cstheme="minorHAnsi"/>
                <w:sz w:val="20"/>
                <w:szCs w:val="20"/>
              </w:rPr>
            </w:pPr>
            <w:r>
              <w:rPr>
                <w:rFonts w:eastAsiaTheme="minorEastAsia"/>
                <w:color w:val="000000"/>
                <w:sz w:val="20"/>
                <w:szCs w:val="20"/>
              </w:rPr>
              <w:t>Low</w:t>
            </w:r>
          </w:p>
        </w:tc>
        <w:tc>
          <w:tcPr>
            <w:tcW w:w="865" w:type="dxa"/>
            <w:tcBorders>
              <w:top w:val="single" w:sz="12" w:space="0" w:color="auto"/>
              <w:left w:val="nil"/>
              <w:bottom w:val="single" w:sz="12" w:space="0" w:color="auto"/>
              <w:right w:val="nil"/>
            </w:tcBorders>
            <w:shd w:val="clear" w:color="auto" w:fill="auto"/>
            <w:noWrap/>
            <w:vAlign w:val="bottom"/>
          </w:tcPr>
          <w:p w14:paraId="3B93C16E" w14:textId="77777777" w:rsidR="00A921C0" w:rsidRPr="00C815BA" w:rsidRDefault="00A921C0" w:rsidP="00F12147">
            <w:pPr>
              <w:rPr>
                <w:rFonts w:cstheme="minorHAnsi"/>
                <w:sz w:val="20"/>
                <w:szCs w:val="20"/>
              </w:rPr>
            </w:pPr>
            <w:r w:rsidRPr="003007DB">
              <w:rPr>
                <w:rFonts w:eastAsiaTheme="minorEastAsia"/>
                <w:color w:val="000000"/>
                <w:sz w:val="20"/>
                <w:szCs w:val="20"/>
              </w:rPr>
              <w:t>Middle</w:t>
            </w:r>
            <w:r>
              <w:rPr>
                <w:rFonts w:eastAsiaTheme="minorEastAsia"/>
                <w:color w:val="000000"/>
                <w:sz w:val="20"/>
                <w:szCs w:val="20"/>
              </w:rPr>
              <w:t xml:space="preserve"> </w:t>
            </w:r>
          </w:p>
        </w:tc>
        <w:tc>
          <w:tcPr>
            <w:tcW w:w="896" w:type="dxa"/>
            <w:gridSpan w:val="2"/>
            <w:tcBorders>
              <w:top w:val="single" w:sz="12" w:space="0" w:color="auto"/>
              <w:left w:val="nil"/>
              <w:bottom w:val="single" w:sz="12" w:space="0" w:color="auto"/>
              <w:right w:val="nil"/>
            </w:tcBorders>
            <w:shd w:val="clear" w:color="auto" w:fill="auto"/>
            <w:noWrap/>
            <w:vAlign w:val="bottom"/>
          </w:tcPr>
          <w:p w14:paraId="2E70640B" w14:textId="64BD1CF0" w:rsidR="00A921C0" w:rsidRPr="00C815BA" w:rsidRDefault="00A54182" w:rsidP="00F12147">
            <w:pPr>
              <w:rPr>
                <w:rFonts w:cstheme="minorHAnsi"/>
                <w:b/>
                <w:bCs/>
                <w:sz w:val="20"/>
                <w:szCs w:val="20"/>
              </w:rPr>
            </w:pPr>
            <w:r>
              <w:rPr>
                <w:rFonts w:eastAsiaTheme="minorEastAsia"/>
                <w:color w:val="000000" w:themeColor="text1"/>
                <w:sz w:val="20"/>
                <w:szCs w:val="20"/>
              </w:rPr>
              <w:t>High</w:t>
            </w:r>
          </w:p>
        </w:tc>
        <w:tc>
          <w:tcPr>
            <w:tcW w:w="263" w:type="dxa"/>
            <w:gridSpan w:val="2"/>
            <w:tcBorders>
              <w:top w:val="single" w:sz="12" w:space="0" w:color="auto"/>
              <w:left w:val="nil"/>
              <w:bottom w:val="single" w:sz="12" w:space="0" w:color="auto"/>
              <w:right w:val="nil"/>
            </w:tcBorders>
            <w:vAlign w:val="bottom"/>
          </w:tcPr>
          <w:p w14:paraId="28BAB916" w14:textId="77777777" w:rsidR="00A921C0" w:rsidRPr="00C815BA" w:rsidRDefault="00A921C0" w:rsidP="00F12147">
            <w:pPr>
              <w:rPr>
                <w:rFonts w:cstheme="minorHAnsi"/>
                <w:color w:val="000000"/>
                <w:sz w:val="20"/>
                <w:szCs w:val="20"/>
              </w:rPr>
            </w:pPr>
          </w:p>
        </w:tc>
        <w:tc>
          <w:tcPr>
            <w:tcW w:w="900" w:type="dxa"/>
            <w:gridSpan w:val="2"/>
            <w:tcBorders>
              <w:top w:val="single" w:sz="12" w:space="0" w:color="auto"/>
              <w:left w:val="nil"/>
              <w:bottom w:val="single" w:sz="12" w:space="0" w:color="auto"/>
              <w:right w:val="nil"/>
            </w:tcBorders>
            <w:shd w:val="clear" w:color="auto" w:fill="auto"/>
            <w:noWrap/>
            <w:vAlign w:val="bottom"/>
          </w:tcPr>
          <w:p w14:paraId="1E5B5896" w14:textId="1CF10EB5" w:rsidR="00A921C0" w:rsidRPr="00C815BA" w:rsidRDefault="0003433E" w:rsidP="00F12147">
            <w:pPr>
              <w:rPr>
                <w:rFonts w:cstheme="minorHAnsi"/>
                <w:sz w:val="20"/>
                <w:szCs w:val="20"/>
              </w:rPr>
            </w:pPr>
            <w:r>
              <w:rPr>
                <w:rFonts w:eastAsiaTheme="minorEastAsia"/>
                <w:color w:val="000000"/>
                <w:sz w:val="20"/>
                <w:szCs w:val="20"/>
              </w:rPr>
              <w:t>Low</w:t>
            </w:r>
          </w:p>
        </w:tc>
        <w:tc>
          <w:tcPr>
            <w:tcW w:w="822" w:type="dxa"/>
            <w:tcBorders>
              <w:top w:val="single" w:sz="12" w:space="0" w:color="auto"/>
              <w:left w:val="nil"/>
              <w:bottom w:val="single" w:sz="12" w:space="0" w:color="auto"/>
              <w:right w:val="nil"/>
            </w:tcBorders>
            <w:shd w:val="clear" w:color="auto" w:fill="auto"/>
            <w:noWrap/>
            <w:vAlign w:val="bottom"/>
          </w:tcPr>
          <w:p w14:paraId="316232EF" w14:textId="77777777" w:rsidR="00A921C0" w:rsidRPr="00C815BA" w:rsidRDefault="00A921C0" w:rsidP="00F12147">
            <w:pPr>
              <w:rPr>
                <w:rFonts w:cstheme="minorHAnsi"/>
                <w:b/>
                <w:bCs/>
                <w:sz w:val="20"/>
                <w:szCs w:val="20"/>
              </w:rPr>
            </w:pPr>
            <w:r w:rsidRPr="003007DB">
              <w:rPr>
                <w:rFonts w:eastAsiaTheme="minorEastAsia"/>
                <w:color w:val="000000"/>
                <w:sz w:val="20"/>
                <w:szCs w:val="20"/>
              </w:rPr>
              <w:t>Middle</w:t>
            </w:r>
            <w:r>
              <w:rPr>
                <w:rFonts w:eastAsiaTheme="minorEastAsia"/>
                <w:color w:val="000000"/>
                <w:sz w:val="20"/>
                <w:szCs w:val="20"/>
              </w:rPr>
              <w:t xml:space="preserve"> </w:t>
            </w:r>
          </w:p>
        </w:tc>
        <w:tc>
          <w:tcPr>
            <w:tcW w:w="828" w:type="dxa"/>
            <w:tcBorders>
              <w:top w:val="single" w:sz="12" w:space="0" w:color="auto"/>
              <w:left w:val="nil"/>
              <w:bottom w:val="single" w:sz="12" w:space="0" w:color="auto"/>
              <w:right w:val="nil"/>
            </w:tcBorders>
            <w:shd w:val="clear" w:color="auto" w:fill="auto"/>
            <w:noWrap/>
            <w:vAlign w:val="bottom"/>
          </w:tcPr>
          <w:p w14:paraId="1F48B665" w14:textId="20CE0A6E" w:rsidR="00A921C0" w:rsidRPr="00C815BA" w:rsidRDefault="00A54182" w:rsidP="00F12147">
            <w:pPr>
              <w:rPr>
                <w:rFonts w:cstheme="minorHAnsi"/>
                <w:b/>
                <w:bCs/>
                <w:sz w:val="20"/>
                <w:szCs w:val="20"/>
              </w:rPr>
            </w:pPr>
            <w:r>
              <w:rPr>
                <w:rFonts w:eastAsiaTheme="minorEastAsia"/>
                <w:color w:val="000000" w:themeColor="text1"/>
                <w:sz w:val="20"/>
                <w:szCs w:val="20"/>
              </w:rPr>
              <w:t>High</w:t>
            </w:r>
          </w:p>
        </w:tc>
        <w:tc>
          <w:tcPr>
            <w:tcW w:w="251" w:type="dxa"/>
            <w:tcBorders>
              <w:top w:val="single" w:sz="12" w:space="0" w:color="auto"/>
              <w:left w:val="nil"/>
              <w:bottom w:val="single" w:sz="12" w:space="0" w:color="auto"/>
              <w:right w:val="nil"/>
            </w:tcBorders>
            <w:vAlign w:val="bottom"/>
          </w:tcPr>
          <w:p w14:paraId="438A03AD" w14:textId="77777777" w:rsidR="00A921C0" w:rsidRPr="00C815BA" w:rsidRDefault="00A921C0" w:rsidP="00F12147">
            <w:pPr>
              <w:rPr>
                <w:rFonts w:cstheme="minorHAnsi"/>
                <w:color w:val="000000"/>
                <w:sz w:val="20"/>
                <w:szCs w:val="20"/>
              </w:rPr>
            </w:pPr>
          </w:p>
        </w:tc>
        <w:tc>
          <w:tcPr>
            <w:tcW w:w="852" w:type="dxa"/>
            <w:tcBorders>
              <w:top w:val="single" w:sz="12" w:space="0" w:color="auto"/>
              <w:left w:val="nil"/>
              <w:bottom w:val="single" w:sz="12" w:space="0" w:color="auto"/>
              <w:right w:val="nil"/>
            </w:tcBorders>
            <w:shd w:val="clear" w:color="auto" w:fill="auto"/>
            <w:noWrap/>
            <w:vAlign w:val="bottom"/>
          </w:tcPr>
          <w:p w14:paraId="20BBEC86" w14:textId="22896CED" w:rsidR="00A921C0" w:rsidRPr="00C815BA" w:rsidRDefault="0003433E" w:rsidP="00F12147">
            <w:pPr>
              <w:rPr>
                <w:rFonts w:cstheme="minorHAnsi"/>
                <w:b/>
                <w:bCs/>
                <w:sz w:val="20"/>
                <w:szCs w:val="20"/>
              </w:rPr>
            </w:pPr>
            <w:r>
              <w:rPr>
                <w:rFonts w:eastAsiaTheme="minorEastAsia"/>
                <w:color w:val="000000"/>
                <w:sz w:val="20"/>
                <w:szCs w:val="20"/>
              </w:rPr>
              <w:t>Low</w:t>
            </w:r>
          </w:p>
        </w:tc>
        <w:tc>
          <w:tcPr>
            <w:tcW w:w="904" w:type="dxa"/>
            <w:gridSpan w:val="2"/>
            <w:tcBorders>
              <w:top w:val="single" w:sz="12" w:space="0" w:color="auto"/>
              <w:left w:val="nil"/>
              <w:bottom w:val="single" w:sz="12" w:space="0" w:color="auto"/>
              <w:right w:val="nil"/>
            </w:tcBorders>
            <w:shd w:val="clear" w:color="auto" w:fill="auto"/>
            <w:noWrap/>
            <w:vAlign w:val="bottom"/>
          </w:tcPr>
          <w:p w14:paraId="646DA100" w14:textId="77777777" w:rsidR="00A921C0" w:rsidRPr="00C815BA" w:rsidRDefault="00A921C0" w:rsidP="00F12147">
            <w:pPr>
              <w:rPr>
                <w:rFonts w:cstheme="minorHAnsi"/>
                <w:b/>
                <w:bCs/>
                <w:sz w:val="20"/>
                <w:szCs w:val="20"/>
              </w:rPr>
            </w:pPr>
            <w:r w:rsidRPr="003007DB">
              <w:rPr>
                <w:rFonts w:eastAsiaTheme="minorEastAsia"/>
                <w:color w:val="000000"/>
                <w:sz w:val="20"/>
                <w:szCs w:val="20"/>
              </w:rPr>
              <w:t>Middle</w:t>
            </w:r>
            <w:r>
              <w:rPr>
                <w:rFonts w:eastAsiaTheme="minorEastAsia"/>
                <w:color w:val="000000"/>
                <w:sz w:val="20"/>
                <w:szCs w:val="20"/>
              </w:rPr>
              <w:t xml:space="preserve"> </w:t>
            </w:r>
          </w:p>
        </w:tc>
        <w:tc>
          <w:tcPr>
            <w:tcW w:w="883" w:type="dxa"/>
            <w:gridSpan w:val="2"/>
            <w:tcBorders>
              <w:top w:val="single" w:sz="12" w:space="0" w:color="auto"/>
              <w:left w:val="nil"/>
              <w:bottom w:val="single" w:sz="12" w:space="0" w:color="auto"/>
              <w:right w:val="nil"/>
            </w:tcBorders>
            <w:shd w:val="clear" w:color="auto" w:fill="auto"/>
            <w:noWrap/>
            <w:vAlign w:val="bottom"/>
          </w:tcPr>
          <w:p w14:paraId="5CC67269" w14:textId="6D4188D8" w:rsidR="00A921C0" w:rsidRPr="00C815BA" w:rsidRDefault="00A54182" w:rsidP="00F12147">
            <w:pPr>
              <w:rPr>
                <w:rFonts w:cstheme="minorHAnsi"/>
                <w:sz w:val="20"/>
                <w:szCs w:val="20"/>
              </w:rPr>
            </w:pPr>
            <w:r>
              <w:rPr>
                <w:rFonts w:eastAsiaTheme="minorEastAsia"/>
                <w:color w:val="000000" w:themeColor="text1"/>
                <w:sz w:val="20"/>
                <w:szCs w:val="20"/>
              </w:rPr>
              <w:t>High</w:t>
            </w:r>
          </w:p>
        </w:tc>
      </w:tr>
      <w:tr w:rsidR="00A921C0" w:rsidRPr="00DB5EFD" w14:paraId="3894597F" w14:textId="77777777" w:rsidTr="6A9E2235">
        <w:trPr>
          <w:trHeight w:val="126"/>
        </w:trPr>
        <w:tc>
          <w:tcPr>
            <w:tcW w:w="1475" w:type="dxa"/>
            <w:tcBorders>
              <w:top w:val="nil"/>
              <w:left w:val="nil"/>
              <w:bottom w:val="nil"/>
              <w:right w:val="nil"/>
            </w:tcBorders>
            <w:shd w:val="clear" w:color="auto" w:fill="auto"/>
            <w:noWrap/>
            <w:vAlign w:val="bottom"/>
          </w:tcPr>
          <w:p w14:paraId="1E4CAE73" w14:textId="77777777" w:rsidR="00A921C0" w:rsidRPr="00DB5EFD" w:rsidRDefault="00A921C0" w:rsidP="004B1105">
            <w:pPr>
              <w:rPr>
                <w:rFonts w:cstheme="minorHAnsi"/>
                <w:color w:val="000000"/>
              </w:rPr>
            </w:pPr>
            <w:r w:rsidRPr="00DB5EFD">
              <w:rPr>
                <w:rFonts w:cstheme="minorHAnsi"/>
                <w:color w:val="000000"/>
              </w:rPr>
              <w:t>Black</w:t>
            </w:r>
          </w:p>
        </w:tc>
        <w:tc>
          <w:tcPr>
            <w:tcW w:w="900" w:type="dxa"/>
            <w:tcBorders>
              <w:top w:val="single" w:sz="12" w:space="0" w:color="auto"/>
              <w:left w:val="nil"/>
              <w:bottom w:val="nil"/>
              <w:right w:val="nil"/>
            </w:tcBorders>
            <w:shd w:val="clear" w:color="auto" w:fill="E7E6E6" w:themeFill="background2"/>
            <w:noWrap/>
            <w:vAlign w:val="bottom"/>
          </w:tcPr>
          <w:p w14:paraId="7ECD306A" w14:textId="77777777" w:rsidR="00A921C0" w:rsidRPr="00DB5EFD" w:rsidRDefault="00A921C0" w:rsidP="00F12147">
            <w:pPr>
              <w:rPr>
                <w:rFonts w:cstheme="minorHAnsi"/>
                <w:color w:val="000000"/>
              </w:rPr>
            </w:pPr>
            <w:r w:rsidRPr="00DB5EFD">
              <w:rPr>
                <w:rFonts w:cstheme="minorHAnsi"/>
              </w:rPr>
              <w:t>61.2</w:t>
            </w:r>
            <w:r>
              <w:rPr>
                <w:rFonts w:cstheme="minorHAnsi"/>
              </w:rPr>
              <w:t>%</w:t>
            </w:r>
          </w:p>
        </w:tc>
        <w:tc>
          <w:tcPr>
            <w:tcW w:w="865" w:type="dxa"/>
            <w:tcBorders>
              <w:top w:val="single" w:sz="12" w:space="0" w:color="auto"/>
              <w:left w:val="nil"/>
              <w:bottom w:val="nil"/>
              <w:right w:val="nil"/>
            </w:tcBorders>
            <w:shd w:val="clear" w:color="auto" w:fill="E7E6E6" w:themeFill="background2"/>
            <w:noWrap/>
            <w:vAlign w:val="bottom"/>
          </w:tcPr>
          <w:p w14:paraId="20C74D05" w14:textId="77777777" w:rsidR="00A921C0" w:rsidRPr="00DB5EFD" w:rsidRDefault="00A921C0" w:rsidP="00F12147">
            <w:pPr>
              <w:rPr>
                <w:rFonts w:cstheme="minorHAnsi"/>
                <w:color w:val="000000"/>
              </w:rPr>
            </w:pPr>
            <w:r w:rsidRPr="00DB5EFD">
              <w:rPr>
                <w:rFonts w:cstheme="minorHAnsi"/>
              </w:rPr>
              <w:t>67.2</w:t>
            </w:r>
            <w:r>
              <w:rPr>
                <w:rFonts w:cstheme="minorHAnsi"/>
              </w:rPr>
              <w:t>%</w:t>
            </w:r>
          </w:p>
        </w:tc>
        <w:tc>
          <w:tcPr>
            <w:tcW w:w="896" w:type="dxa"/>
            <w:gridSpan w:val="2"/>
            <w:tcBorders>
              <w:top w:val="single" w:sz="12" w:space="0" w:color="auto"/>
              <w:left w:val="nil"/>
              <w:bottom w:val="nil"/>
              <w:right w:val="nil"/>
            </w:tcBorders>
            <w:shd w:val="clear" w:color="auto" w:fill="E7E6E6" w:themeFill="background2"/>
            <w:noWrap/>
            <w:vAlign w:val="bottom"/>
          </w:tcPr>
          <w:p w14:paraId="18E26BB2" w14:textId="77777777" w:rsidR="00A921C0" w:rsidRPr="00DB5EFD" w:rsidRDefault="00A921C0" w:rsidP="00F12147">
            <w:pPr>
              <w:rPr>
                <w:rFonts w:cstheme="minorHAnsi"/>
              </w:rPr>
            </w:pPr>
            <w:r w:rsidRPr="00DB5EFD">
              <w:rPr>
                <w:rFonts w:cstheme="minorHAnsi"/>
                <w:b/>
                <w:bCs/>
              </w:rPr>
              <w:t>80.6</w:t>
            </w:r>
            <w:r>
              <w:rPr>
                <w:rFonts w:cstheme="minorHAnsi"/>
                <w:b/>
                <w:bCs/>
              </w:rPr>
              <w:t>%</w:t>
            </w:r>
          </w:p>
        </w:tc>
        <w:tc>
          <w:tcPr>
            <w:tcW w:w="263" w:type="dxa"/>
            <w:gridSpan w:val="2"/>
            <w:tcBorders>
              <w:top w:val="single" w:sz="12" w:space="0" w:color="auto"/>
              <w:left w:val="nil"/>
              <w:bottom w:val="nil"/>
              <w:right w:val="nil"/>
            </w:tcBorders>
            <w:shd w:val="clear" w:color="auto" w:fill="auto"/>
          </w:tcPr>
          <w:p w14:paraId="414A4BF4" w14:textId="77777777" w:rsidR="00A921C0" w:rsidRPr="00DB5EFD" w:rsidRDefault="00A921C0" w:rsidP="00F12147">
            <w:pPr>
              <w:rPr>
                <w:rFonts w:cstheme="minorHAnsi"/>
              </w:rPr>
            </w:pPr>
          </w:p>
        </w:tc>
        <w:tc>
          <w:tcPr>
            <w:tcW w:w="900" w:type="dxa"/>
            <w:gridSpan w:val="2"/>
            <w:tcBorders>
              <w:top w:val="single" w:sz="12" w:space="0" w:color="auto"/>
              <w:left w:val="nil"/>
              <w:bottom w:val="nil"/>
              <w:right w:val="nil"/>
            </w:tcBorders>
            <w:shd w:val="clear" w:color="auto" w:fill="E7E6E6" w:themeFill="background2"/>
            <w:noWrap/>
            <w:vAlign w:val="bottom"/>
          </w:tcPr>
          <w:p w14:paraId="5A50A3A2" w14:textId="77777777" w:rsidR="00A921C0" w:rsidRPr="00DB5EFD" w:rsidRDefault="00A921C0" w:rsidP="00F12147">
            <w:pPr>
              <w:rPr>
                <w:rFonts w:cstheme="minorHAnsi"/>
                <w:color w:val="000000"/>
              </w:rPr>
            </w:pPr>
            <w:r w:rsidRPr="00DB5EFD">
              <w:rPr>
                <w:rFonts w:cstheme="minorHAnsi"/>
              </w:rPr>
              <w:t>23.5</w:t>
            </w:r>
            <w:r>
              <w:rPr>
                <w:rFonts w:cstheme="minorHAnsi"/>
              </w:rPr>
              <w:t>%</w:t>
            </w:r>
          </w:p>
        </w:tc>
        <w:tc>
          <w:tcPr>
            <w:tcW w:w="822" w:type="dxa"/>
            <w:tcBorders>
              <w:top w:val="single" w:sz="12" w:space="0" w:color="auto"/>
              <w:left w:val="nil"/>
              <w:bottom w:val="nil"/>
              <w:right w:val="nil"/>
            </w:tcBorders>
            <w:shd w:val="clear" w:color="auto" w:fill="E7E6E6" w:themeFill="background2"/>
            <w:noWrap/>
            <w:vAlign w:val="bottom"/>
          </w:tcPr>
          <w:p w14:paraId="62A26F71" w14:textId="77777777" w:rsidR="00A921C0" w:rsidRPr="00DB5EFD" w:rsidRDefault="00A921C0" w:rsidP="00F12147">
            <w:pPr>
              <w:rPr>
                <w:rFonts w:cstheme="minorHAnsi"/>
              </w:rPr>
            </w:pPr>
            <w:r w:rsidRPr="00DB5EFD">
              <w:rPr>
                <w:rFonts w:cstheme="minorHAnsi"/>
                <w:b/>
                <w:bCs/>
              </w:rPr>
              <w:t>18.9</w:t>
            </w:r>
            <w:r>
              <w:rPr>
                <w:rFonts w:cstheme="minorHAnsi"/>
                <w:b/>
                <w:bCs/>
              </w:rPr>
              <w:t>%</w:t>
            </w:r>
          </w:p>
        </w:tc>
        <w:tc>
          <w:tcPr>
            <w:tcW w:w="828" w:type="dxa"/>
            <w:tcBorders>
              <w:top w:val="single" w:sz="12" w:space="0" w:color="auto"/>
              <w:left w:val="nil"/>
              <w:bottom w:val="nil"/>
              <w:right w:val="nil"/>
            </w:tcBorders>
            <w:shd w:val="clear" w:color="auto" w:fill="E7E6E6" w:themeFill="background2"/>
            <w:noWrap/>
            <w:vAlign w:val="bottom"/>
          </w:tcPr>
          <w:p w14:paraId="0C9A29FB" w14:textId="77777777" w:rsidR="00A921C0" w:rsidRPr="00DB5EFD" w:rsidRDefault="00A921C0" w:rsidP="00F12147">
            <w:pPr>
              <w:rPr>
                <w:rFonts w:cstheme="minorHAnsi"/>
              </w:rPr>
            </w:pPr>
            <w:r w:rsidRPr="00DB5EFD">
              <w:rPr>
                <w:rFonts w:cstheme="minorHAnsi"/>
                <w:b/>
                <w:bCs/>
              </w:rPr>
              <w:t>35.2</w:t>
            </w:r>
            <w:r>
              <w:rPr>
                <w:rFonts w:cstheme="minorHAnsi"/>
                <w:b/>
                <w:bCs/>
              </w:rPr>
              <w:t>%</w:t>
            </w:r>
          </w:p>
        </w:tc>
        <w:tc>
          <w:tcPr>
            <w:tcW w:w="251" w:type="dxa"/>
            <w:tcBorders>
              <w:top w:val="single" w:sz="12" w:space="0" w:color="auto"/>
              <w:left w:val="nil"/>
              <w:bottom w:val="nil"/>
              <w:right w:val="nil"/>
            </w:tcBorders>
          </w:tcPr>
          <w:p w14:paraId="11493331" w14:textId="77777777" w:rsidR="00A921C0" w:rsidRPr="00DB5EFD" w:rsidRDefault="00A921C0" w:rsidP="00F12147">
            <w:pPr>
              <w:rPr>
                <w:rFonts w:cstheme="minorHAnsi"/>
                <w:b/>
                <w:bCs/>
              </w:rPr>
            </w:pPr>
          </w:p>
        </w:tc>
        <w:tc>
          <w:tcPr>
            <w:tcW w:w="852" w:type="dxa"/>
            <w:tcBorders>
              <w:top w:val="single" w:sz="12" w:space="0" w:color="auto"/>
              <w:left w:val="nil"/>
              <w:bottom w:val="nil"/>
              <w:right w:val="nil"/>
            </w:tcBorders>
            <w:shd w:val="clear" w:color="auto" w:fill="auto"/>
            <w:noWrap/>
            <w:vAlign w:val="bottom"/>
          </w:tcPr>
          <w:p w14:paraId="403D8A56" w14:textId="77777777" w:rsidR="00A921C0" w:rsidRPr="00DB5EFD" w:rsidRDefault="00A921C0" w:rsidP="00F12147">
            <w:pPr>
              <w:rPr>
                <w:rFonts w:cstheme="minorHAnsi"/>
              </w:rPr>
            </w:pPr>
            <w:r w:rsidRPr="00DB5EFD">
              <w:rPr>
                <w:rFonts w:cstheme="minorHAnsi"/>
                <w:b/>
                <w:bCs/>
              </w:rPr>
              <w:t>64.4</w:t>
            </w:r>
            <w:r>
              <w:rPr>
                <w:rFonts w:cstheme="minorHAnsi"/>
                <w:b/>
                <w:bCs/>
              </w:rPr>
              <w:t>%</w:t>
            </w:r>
          </w:p>
        </w:tc>
        <w:tc>
          <w:tcPr>
            <w:tcW w:w="904" w:type="dxa"/>
            <w:gridSpan w:val="2"/>
            <w:tcBorders>
              <w:top w:val="single" w:sz="12" w:space="0" w:color="auto"/>
              <w:left w:val="nil"/>
              <w:bottom w:val="nil"/>
              <w:right w:val="nil"/>
            </w:tcBorders>
            <w:shd w:val="clear" w:color="auto" w:fill="auto"/>
            <w:noWrap/>
            <w:vAlign w:val="bottom"/>
          </w:tcPr>
          <w:p w14:paraId="13F0CD2D" w14:textId="77777777" w:rsidR="00A921C0" w:rsidRPr="00DB5EFD" w:rsidRDefault="00A921C0" w:rsidP="00F12147">
            <w:pPr>
              <w:rPr>
                <w:rFonts w:cstheme="minorHAnsi"/>
              </w:rPr>
            </w:pPr>
            <w:r w:rsidRPr="00DB5EFD">
              <w:rPr>
                <w:rFonts w:cstheme="minorHAnsi"/>
                <w:b/>
                <w:bCs/>
              </w:rPr>
              <w:t>57.2</w:t>
            </w:r>
            <w:r>
              <w:rPr>
                <w:rFonts w:cstheme="minorHAnsi"/>
                <w:b/>
                <w:bCs/>
              </w:rPr>
              <w:t>%</w:t>
            </w:r>
          </w:p>
        </w:tc>
        <w:tc>
          <w:tcPr>
            <w:tcW w:w="883" w:type="dxa"/>
            <w:gridSpan w:val="2"/>
            <w:tcBorders>
              <w:top w:val="single" w:sz="12" w:space="0" w:color="auto"/>
              <w:left w:val="nil"/>
              <w:bottom w:val="nil"/>
              <w:right w:val="nil"/>
            </w:tcBorders>
            <w:shd w:val="clear" w:color="auto" w:fill="auto"/>
            <w:noWrap/>
            <w:vAlign w:val="bottom"/>
          </w:tcPr>
          <w:p w14:paraId="17FBF936" w14:textId="77777777" w:rsidR="00A921C0" w:rsidRPr="00DB5EFD" w:rsidRDefault="00A921C0" w:rsidP="00F12147">
            <w:pPr>
              <w:rPr>
                <w:rFonts w:cstheme="minorHAnsi"/>
                <w:color w:val="000000"/>
              </w:rPr>
            </w:pPr>
            <w:r w:rsidRPr="00DB5EFD">
              <w:rPr>
                <w:rFonts w:cstheme="minorHAnsi"/>
              </w:rPr>
              <w:t>54.8</w:t>
            </w:r>
            <w:r>
              <w:rPr>
                <w:rFonts w:cstheme="minorHAnsi"/>
              </w:rPr>
              <w:t>%</w:t>
            </w:r>
          </w:p>
        </w:tc>
      </w:tr>
      <w:tr w:rsidR="00A921C0" w:rsidRPr="00DB5EFD" w14:paraId="7B8D3A2E" w14:textId="77777777" w:rsidTr="6A9E2235">
        <w:trPr>
          <w:trHeight w:val="340"/>
        </w:trPr>
        <w:tc>
          <w:tcPr>
            <w:tcW w:w="1475" w:type="dxa"/>
            <w:tcBorders>
              <w:top w:val="nil"/>
              <w:left w:val="nil"/>
              <w:bottom w:val="nil"/>
              <w:right w:val="nil"/>
            </w:tcBorders>
            <w:shd w:val="clear" w:color="auto" w:fill="auto"/>
            <w:noWrap/>
            <w:vAlign w:val="bottom"/>
          </w:tcPr>
          <w:p w14:paraId="2E3A1E8D" w14:textId="77777777" w:rsidR="00A921C0" w:rsidRPr="00DB5EFD" w:rsidRDefault="00A921C0" w:rsidP="004B1105">
            <w:pPr>
              <w:rPr>
                <w:rFonts w:cstheme="minorHAnsi"/>
                <w:color w:val="000000"/>
              </w:rPr>
            </w:pPr>
            <w:r w:rsidRPr="00DB5EFD">
              <w:rPr>
                <w:rFonts w:cstheme="minorHAnsi"/>
                <w:color w:val="000000"/>
              </w:rPr>
              <w:t>Latinx</w:t>
            </w:r>
          </w:p>
        </w:tc>
        <w:tc>
          <w:tcPr>
            <w:tcW w:w="900" w:type="dxa"/>
            <w:tcBorders>
              <w:top w:val="nil"/>
              <w:left w:val="nil"/>
              <w:bottom w:val="nil"/>
              <w:right w:val="nil"/>
            </w:tcBorders>
            <w:shd w:val="clear" w:color="auto" w:fill="E7E6E6" w:themeFill="background2"/>
            <w:noWrap/>
            <w:vAlign w:val="bottom"/>
          </w:tcPr>
          <w:p w14:paraId="06B2D0A8" w14:textId="77777777" w:rsidR="00A921C0" w:rsidRPr="00DB5EFD" w:rsidRDefault="00A921C0" w:rsidP="00F12147">
            <w:pPr>
              <w:rPr>
                <w:rFonts w:cstheme="minorHAnsi"/>
                <w:color w:val="000000"/>
              </w:rPr>
            </w:pPr>
            <w:r w:rsidRPr="00DB5EFD">
              <w:rPr>
                <w:rFonts w:cstheme="minorHAnsi"/>
              </w:rPr>
              <w:t>63.9</w:t>
            </w:r>
            <w:r>
              <w:rPr>
                <w:rFonts w:cstheme="minorHAnsi"/>
              </w:rPr>
              <w:t>%</w:t>
            </w:r>
          </w:p>
        </w:tc>
        <w:tc>
          <w:tcPr>
            <w:tcW w:w="865" w:type="dxa"/>
            <w:tcBorders>
              <w:top w:val="nil"/>
              <w:left w:val="nil"/>
              <w:bottom w:val="nil"/>
              <w:right w:val="nil"/>
            </w:tcBorders>
            <w:shd w:val="clear" w:color="auto" w:fill="E7E6E6" w:themeFill="background2"/>
            <w:noWrap/>
            <w:vAlign w:val="bottom"/>
          </w:tcPr>
          <w:p w14:paraId="14FB70CF" w14:textId="77777777" w:rsidR="00A921C0" w:rsidRPr="00DB5EFD" w:rsidRDefault="00A921C0" w:rsidP="00F12147">
            <w:pPr>
              <w:rPr>
                <w:rFonts w:cstheme="minorHAnsi"/>
                <w:color w:val="000000"/>
              </w:rPr>
            </w:pPr>
            <w:r w:rsidRPr="00DB5EFD">
              <w:rPr>
                <w:rFonts w:cstheme="minorHAnsi"/>
              </w:rPr>
              <w:t>66.5</w:t>
            </w:r>
            <w:r>
              <w:rPr>
                <w:rFonts w:cstheme="minorHAnsi"/>
              </w:rPr>
              <w:t>%</w:t>
            </w:r>
          </w:p>
        </w:tc>
        <w:tc>
          <w:tcPr>
            <w:tcW w:w="896" w:type="dxa"/>
            <w:gridSpan w:val="2"/>
            <w:tcBorders>
              <w:top w:val="nil"/>
              <w:left w:val="nil"/>
              <w:bottom w:val="nil"/>
              <w:right w:val="nil"/>
            </w:tcBorders>
            <w:shd w:val="clear" w:color="auto" w:fill="E7E6E6" w:themeFill="background2"/>
            <w:noWrap/>
            <w:vAlign w:val="bottom"/>
          </w:tcPr>
          <w:p w14:paraId="0D237C62" w14:textId="77777777" w:rsidR="00A921C0" w:rsidRPr="00DB5EFD" w:rsidRDefault="00A921C0" w:rsidP="00F12147">
            <w:pPr>
              <w:rPr>
                <w:rFonts w:cstheme="minorHAnsi"/>
              </w:rPr>
            </w:pPr>
            <w:r w:rsidRPr="00DB5EFD">
              <w:rPr>
                <w:rFonts w:cstheme="minorHAnsi"/>
                <w:b/>
                <w:bCs/>
              </w:rPr>
              <w:t>81.9</w:t>
            </w:r>
            <w:r>
              <w:rPr>
                <w:rFonts w:cstheme="minorHAnsi"/>
                <w:b/>
                <w:bCs/>
              </w:rPr>
              <w:t>%</w:t>
            </w:r>
          </w:p>
        </w:tc>
        <w:tc>
          <w:tcPr>
            <w:tcW w:w="263" w:type="dxa"/>
            <w:gridSpan w:val="2"/>
            <w:tcBorders>
              <w:top w:val="nil"/>
              <w:left w:val="nil"/>
              <w:bottom w:val="nil"/>
              <w:right w:val="nil"/>
            </w:tcBorders>
            <w:shd w:val="clear" w:color="auto" w:fill="auto"/>
          </w:tcPr>
          <w:p w14:paraId="25678482" w14:textId="77777777" w:rsidR="00A921C0" w:rsidRPr="00DB5EFD" w:rsidRDefault="00A921C0" w:rsidP="00F12147">
            <w:pPr>
              <w:rPr>
                <w:rFonts w:cstheme="minorHAnsi"/>
              </w:rPr>
            </w:pPr>
          </w:p>
        </w:tc>
        <w:tc>
          <w:tcPr>
            <w:tcW w:w="900" w:type="dxa"/>
            <w:gridSpan w:val="2"/>
            <w:tcBorders>
              <w:top w:val="nil"/>
              <w:left w:val="nil"/>
              <w:bottom w:val="nil"/>
              <w:right w:val="nil"/>
            </w:tcBorders>
            <w:shd w:val="clear" w:color="auto" w:fill="auto"/>
            <w:noWrap/>
            <w:vAlign w:val="bottom"/>
          </w:tcPr>
          <w:p w14:paraId="0F533EF4" w14:textId="77777777" w:rsidR="00A921C0" w:rsidRPr="00DB5EFD" w:rsidRDefault="00A921C0" w:rsidP="00F12147">
            <w:pPr>
              <w:rPr>
                <w:rFonts w:cstheme="minorHAnsi"/>
                <w:color w:val="000000"/>
              </w:rPr>
            </w:pPr>
            <w:r w:rsidRPr="00DB5EFD">
              <w:rPr>
                <w:rFonts w:cstheme="minorHAnsi"/>
              </w:rPr>
              <w:t>44.6</w:t>
            </w:r>
            <w:r>
              <w:rPr>
                <w:rFonts w:cstheme="minorHAnsi"/>
              </w:rPr>
              <w:t>%</w:t>
            </w:r>
          </w:p>
        </w:tc>
        <w:tc>
          <w:tcPr>
            <w:tcW w:w="822" w:type="dxa"/>
            <w:tcBorders>
              <w:top w:val="nil"/>
              <w:left w:val="nil"/>
              <w:bottom w:val="nil"/>
              <w:right w:val="nil"/>
            </w:tcBorders>
            <w:shd w:val="clear" w:color="auto" w:fill="auto"/>
            <w:noWrap/>
            <w:vAlign w:val="bottom"/>
          </w:tcPr>
          <w:p w14:paraId="07A2D44F" w14:textId="77777777" w:rsidR="00A921C0" w:rsidRPr="00DB5EFD" w:rsidRDefault="00A921C0" w:rsidP="00F12147">
            <w:pPr>
              <w:rPr>
                <w:rFonts w:cstheme="minorHAnsi"/>
              </w:rPr>
            </w:pPr>
            <w:r w:rsidRPr="00DB5EFD">
              <w:rPr>
                <w:rFonts w:cstheme="minorHAnsi"/>
                <w:b/>
                <w:bCs/>
              </w:rPr>
              <w:t>35.9</w:t>
            </w:r>
            <w:r>
              <w:rPr>
                <w:rFonts w:cstheme="minorHAnsi"/>
                <w:b/>
                <w:bCs/>
              </w:rPr>
              <w:t>%</w:t>
            </w:r>
          </w:p>
        </w:tc>
        <w:tc>
          <w:tcPr>
            <w:tcW w:w="828" w:type="dxa"/>
            <w:tcBorders>
              <w:top w:val="nil"/>
              <w:left w:val="nil"/>
              <w:bottom w:val="nil"/>
              <w:right w:val="nil"/>
            </w:tcBorders>
            <w:shd w:val="clear" w:color="auto" w:fill="auto"/>
            <w:noWrap/>
            <w:vAlign w:val="bottom"/>
          </w:tcPr>
          <w:p w14:paraId="0CB7A0FC" w14:textId="77777777" w:rsidR="00A921C0" w:rsidRPr="00DB5EFD" w:rsidRDefault="00A921C0" w:rsidP="00F12147">
            <w:pPr>
              <w:rPr>
                <w:rFonts w:cstheme="minorHAnsi"/>
              </w:rPr>
            </w:pPr>
            <w:r w:rsidRPr="00DB5EFD">
              <w:rPr>
                <w:rFonts w:cstheme="minorHAnsi"/>
                <w:b/>
                <w:bCs/>
              </w:rPr>
              <w:t>43.9</w:t>
            </w:r>
            <w:r>
              <w:rPr>
                <w:rFonts w:cstheme="minorHAnsi"/>
                <w:b/>
                <w:bCs/>
              </w:rPr>
              <w:t>%</w:t>
            </w:r>
          </w:p>
        </w:tc>
        <w:tc>
          <w:tcPr>
            <w:tcW w:w="251" w:type="dxa"/>
            <w:tcBorders>
              <w:top w:val="nil"/>
              <w:left w:val="nil"/>
              <w:bottom w:val="nil"/>
              <w:right w:val="nil"/>
            </w:tcBorders>
          </w:tcPr>
          <w:p w14:paraId="7BA7A58E" w14:textId="77777777" w:rsidR="00A921C0" w:rsidRPr="00DB5EFD" w:rsidRDefault="00A921C0" w:rsidP="00F12147">
            <w:pPr>
              <w:rPr>
                <w:rFonts w:cstheme="minorHAnsi"/>
                <w:b/>
                <w:bCs/>
              </w:rPr>
            </w:pPr>
          </w:p>
        </w:tc>
        <w:tc>
          <w:tcPr>
            <w:tcW w:w="852" w:type="dxa"/>
            <w:tcBorders>
              <w:top w:val="nil"/>
              <w:left w:val="nil"/>
              <w:bottom w:val="nil"/>
              <w:right w:val="nil"/>
            </w:tcBorders>
            <w:shd w:val="clear" w:color="auto" w:fill="auto"/>
            <w:noWrap/>
            <w:vAlign w:val="bottom"/>
          </w:tcPr>
          <w:p w14:paraId="698739C3" w14:textId="77777777" w:rsidR="00A921C0" w:rsidRPr="00DB5EFD" w:rsidRDefault="00A921C0" w:rsidP="00F12147">
            <w:pPr>
              <w:rPr>
                <w:rFonts w:cstheme="minorHAnsi"/>
              </w:rPr>
            </w:pPr>
            <w:r w:rsidRPr="00DB5EFD">
              <w:rPr>
                <w:rFonts w:cstheme="minorHAnsi"/>
                <w:b/>
                <w:bCs/>
              </w:rPr>
              <w:t>48.1</w:t>
            </w:r>
            <w:r>
              <w:rPr>
                <w:rFonts w:cstheme="minorHAnsi"/>
                <w:b/>
                <w:bCs/>
              </w:rPr>
              <w:t>%</w:t>
            </w:r>
          </w:p>
        </w:tc>
        <w:tc>
          <w:tcPr>
            <w:tcW w:w="904" w:type="dxa"/>
            <w:gridSpan w:val="2"/>
            <w:tcBorders>
              <w:top w:val="nil"/>
              <w:left w:val="nil"/>
              <w:bottom w:val="nil"/>
              <w:right w:val="nil"/>
            </w:tcBorders>
            <w:shd w:val="clear" w:color="auto" w:fill="auto"/>
            <w:noWrap/>
            <w:vAlign w:val="bottom"/>
          </w:tcPr>
          <w:p w14:paraId="03BFCD61" w14:textId="77777777" w:rsidR="00A921C0" w:rsidRPr="00DB5EFD" w:rsidRDefault="00A921C0" w:rsidP="00F12147">
            <w:pPr>
              <w:rPr>
                <w:rFonts w:cstheme="minorHAnsi"/>
              </w:rPr>
            </w:pPr>
            <w:r w:rsidRPr="00DB5EFD">
              <w:rPr>
                <w:rFonts w:cstheme="minorHAnsi"/>
                <w:b/>
                <w:bCs/>
              </w:rPr>
              <w:t>50.2</w:t>
            </w:r>
            <w:r>
              <w:rPr>
                <w:rFonts w:cstheme="minorHAnsi"/>
                <w:b/>
                <w:bCs/>
              </w:rPr>
              <w:t>%</w:t>
            </w:r>
          </w:p>
        </w:tc>
        <w:tc>
          <w:tcPr>
            <w:tcW w:w="883" w:type="dxa"/>
            <w:gridSpan w:val="2"/>
            <w:tcBorders>
              <w:top w:val="nil"/>
              <w:left w:val="nil"/>
              <w:bottom w:val="nil"/>
              <w:right w:val="nil"/>
            </w:tcBorders>
            <w:shd w:val="clear" w:color="auto" w:fill="auto"/>
            <w:noWrap/>
            <w:vAlign w:val="bottom"/>
          </w:tcPr>
          <w:p w14:paraId="7036A60D" w14:textId="77777777" w:rsidR="00A921C0" w:rsidRPr="00DB5EFD" w:rsidRDefault="00A921C0" w:rsidP="00F12147">
            <w:pPr>
              <w:rPr>
                <w:rFonts w:cstheme="minorHAnsi"/>
                <w:color w:val="000000"/>
              </w:rPr>
            </w:pPr>
            <w:r w:rsidRPr="00DB5EFD">
              <w:rPr>
                <w:rFonts w:cstheme="minorHAnsi"/>
              </w:rPr>
              <w:t>43.2</w:t>
            </w:r>
            <w:r>
              <w:rPr>
                <w:rFonts w:cstheme="minorHAnsi"/>
              </w:rPr>
              <w:t>%</w:t>
            </w:r>
          </w:p>
        </w:tc>
      </w:tr>
      <w:tr w:rsidR="00A921C0" w:rsidRPr="00DB5EFD" w14:paraId="370E536C" w14:textId="77777777" w:rsidTr="6A9E2235">
        <w:trPr>
          <w:trHeight w:val="340"/>
        </w:trPr>
        <w:tc>
          <w:tcPr>
            <w:tcW w:w="1475" w:type="dxa"/>
            <w:tcBorders>
              <w:top w:val="nil"/>
              <w:left w:val="nil"/>
              <w:bottom w:val="nil"/>
              <w:right w:val="nil"/>
            </w:tcBorders>
            <w:shd w:val="clear" w:color="auto" w:fill="auto"/>
            <w:noWrap/>
            <w:vAlign w:val="bottom"/>
          </w:tcPr>
          <w:p w14:paraId="73FDE17B" w14:textId="77777777" w:rsidR="00A921C0" w:rsidRDefault="00A921C0" w:rsidP="004B1105">
            <w:pPr>
              <w:rPr>
                <w:rFonts w:cstheme="minorHAnsi"/>
                <w:color w:val="000000"/>
              </w:rPr>
            </w:pPr>
            <w:r w:rsidRPr="00DB5EFD">
              <w:rPr>
                <w:rFonts w:cstheme="minorHAnsi"/>
                <w:color w:val="000000"/>
              </w:rPr>
              <w:t>White</w:t>
            </w:r>
          </w:p>
        </w:tc>
        <w:tc>
          <w:tcPr>
            <w:tcW w:w="900" w:type="dxa"/>
            <w:tcBorders>
              <w:top w:val="nil"/>
              <w:left w:val="nil"/>
              <w:bottom w:val="nil"/>
              <w:right w:val="nil"/>
            </w:tcBorders>
            <w:shd w:val="clear" w:color="auto" w:fill="E7E6E6" w:themeFill="background2"/>
            <w:noWrap/>
            <w:vAlign w:val="bottom"/>
          </w:tcPr>
          <w:p w14:paraId="6DC025BD" w14:textId="77777777" w:rsidR="00A921C0" w:rsidRPr="00DB5EFD" w:rsidRDefault="00A921C0" w:rsidP="00F12147">
            <w:pPr>
              <w:rPr>
                <w:rFonts w:cstheme="minorHAnsi"/>
              </w:rPr>
            </w:pPr>
            <w:r w:rsidRPr="00DB5EFD">
              <w:rPr>
                <w:rFonts w:cstheme="minorHAnsi"/>
              </w:rPr>
              <w:t>59.2</w:t>
            </w:r>
            <w:r>
              <w:rPr>
                <w:rFonts w:cstheme="minorHAnsi"/>
              </w:rPr>
              <w:t>%</w:t>
            </w:r>
          </w:p>
        </w:tc>
        <w:tc>
          <w:tcPr>
            <w:tcW w:w="865" w:type="dxa"/>
            <w:tcBorders>
              <w:top w:val="nil"/>
              <w:left w:val="nil"/>
              <w:bottom w:val="nil"/>
              <w:right w:val="nil"/>
            </w:tcBorders>
            <w:shd w:val="clear" w:color="auto" w:fill="E7E6E6" w:themeFill="background2"/>
            <w:noWrap/>
            <w:vAlign w:val="bottom"/>
          </w:tcPr>
          <w:p w14:paraId="7F74BFD0" w14:textId="77777777" w:rsidR="00A921C0" w:rsidRPr="00DB5EFD" w:rsidRDefault="00A921C0" w:rsidP="00F12147">
            <w:pPr>
              <w:rPr>
                <w:rFonts w:cstheme="minorHAnsi"/>
              </w:rPr>
            </w:pPr>
            <w:r w:rsidRPr="00DB5EFD">
              <w:rPr>
                <w:rFonts w:cstheme="minorHAnsi"/>
              </w:rPr>
              <w:t>63.9</w:t>
            </w:r>
            <w:r>
              <w:rPr>
                <w:rFonts w:cstheme="minorHAnsi"/>
              </w:rPr>
              <w:t>%</w:t>
            </w:r>
          </w:p>
        </w:tc>
        <w:tc>
          <w:tcPr>
            <w:tcW w:w="896" w:type="dxa"/>
            <w:gridSpan w:val="2"/>
            <w:tcBorders>
              <w:top w:val="nil"/>
              <w:left w:val="nil"/>
              <w:bottom w:val="nil"/>
              <w:right w:val="nil"/>
            </w:tcBorders>
            <w:shd w:val="clear" w:color="auto" w:fill="E7E6E6" w:themeFill="background2"/>
            <w:noWrap/>
            <w:vAlign w:val="bottom"/>
          </w:tcPr>
          <w:p w14:paraId="3CEF8E04" w14:textId="77777777" w:rsidR="00A921C0" w:rsidRPr="00DB5EFD" w:rsidRDefault="00A921C0" w:rsidP="00F12147">
            <w:pPr>
              <w:rPr>
                <w:rFonts w:cstheme="minorHAnsi"/>
                <w:b/>
                <w:bCs/>
              </w:rPr>
            </w:pPr>
            <w:r w:rsidRPr="00DB5EFD">
              <w:rPr>
                <w:rFonts w:cstheme="minorHAnsi"/>
                <w:b/>
                <w:bCs/>
              </w:rPr>
              <w:t>90.3</w:t>
            </w:r>
            <w:r>
              <w:rPr>
                <w:rFonts w:cstheme="minorHAnsi"/>
                <w:b/>
                <w:bCs/>
              </w:rPr>
              <w:t>%</w:t>
            </w:r>
          </w:p>
        </w:tc>
        <w:tc>
          <w:tcPr>
            <w:tcW w:w="263" w:type="dxa"/>
            <w:gridSpan w:val="2"/>
            <w:tcBorders>
              <w:top w:val="nil"/>
              <w:left w:val="nil"/>
              <w:bottom w:val="nil"/>
              <w:right w:val="nil"/>
            </w:tcBorders>
            <w:shd w:val="clear" w:color="auto" w:fill="auto"/>
          </w:tcPr>
          <w:p w14:paraId="4D28083E" w14:textId="77777777" w:rsidR="00A921C0" w:rsidRPr="00DB5EFD" w:rsidRDefault="00A921C0" w:rsidP="00F12147">
            <w:pPr>
              <w:rPr>
                <w:rFonts w:cstheme="minorHAnsi"/>
              </w:rPr>
            </w:pPr>
          </w:p>
        </w:tc>
        <w:tc>
          <w:tcPr>
            <w:tcW w:w="900" w:type="dxa"/>
            <w:gridSpan w:val="2"/>
            <w:tcBorders>
              <w:top w:val="nil"/>
              <w:left w:val="nil"/>
              <w:bottom w:val="nil"/>
              <w:right w:val="nil"/>
            </w:tcBorders>
            <w:shd w:val="clear" w:color="auto" w:fill="E7E6E6" w:themeFill="background2"/>
            <w:noWrap/>
            <w:vAlign w:val="bottom"/>
          </w:tcPr>
          <w:p w14:paraId="13D115BB" w14:textId="77777777" w:rsidR="00A921C0" w:rsidRPr="00DB5EFD" w:rsidRDefault="00A921C0" w:rsidP="00F12147">
            <w:pPr>
              <w:rPr>
                <w:rFonts w:cstheme="minorHAnsi"/>
              </w:rPr>
            </w:pPr>
            <w:r w:rsidRPr="00DB5EFD">
              <w:rPr>
                <w:rFonts w:cstheme="minorHAnsi"/>
              </w:rPr>
              <w:t>39.5</w:t>
            </w:r>
            <w:r>
              <w:rPr>
                <w:rFonts w:cstheme="minorHAnsi"/>
              </w:rPr>
              <w:t>%</w:t>
            </w:r>
          </w:p>
        </w:tc>
        <w:tc>
          <w:tcPr>
            <w:tcW w:w="822" w:type="dxa"/>
            <w:tcBorders>
              <w:top w:val="nil"/>
              <w:left w:val="nil"/>
              <w:bottom w:val="nil"/>
              <w:right w:val="nil"/>
            </w:tcBorders>
            <w:shd w:val="clear" w:color="auto" w:fill="E7E6E6" w:themeFill="background2"/>
            <w:noWrap/>
            <w:vAlign w:val="bottom"/>
          </w:tcPr>
          <w:p w14:paraId="573B6D4A" w14:textId="77777777" w:rsidR="00A921C0" w:rsidRPr="00DB5EFD" w:rsidRDefault="00A921C0" w:rsidP="00F12147">
            <w:pPr>
              <w:rPr>
                <w:rFonts w:cstheme="minorHAnsi"/>
                <w:b/>
                <w:bCs/>
              </w:rPr>
            </w:pPr>
            <w:r w:rsidRPr="00DB5EFD">
              <w:rPr>
                <w:rFonts w:cstheme="minorHAnsi"/>
                <w:b/>
                <w:bCs/>
              </w:rPr>
              <w:t>46.8</w:t>
            </w:r>
            <w:r>
              <w:rPr>
                <w:rFonts w:cstheme="minorHAnsi"/>
                <w:b/>
                <w:bCs/>
              </w:rPr>
              <w:t>%</w:t>
            </w:r>
          </w:p>
        </w:tc>
        <w:tc>
          <w:tcPr>
            <w:tcW w:w="828" w:type="dxa"/>
            <w:tcBorders>
              <w:top w:val="nil"/>
              <w:left w:val="nil"/>
              <w:bottom w:val="nil"/>
              <w:right w:val="nil"/>
            </w:tcBorders>
            <w:shd w:val="clear" w:color="auto" w:fill="E7E6E6" w:themeFill="background2"/>
            <w:noWrap/>
            <w:vAlign w:val="bottom"/>
          </w:tcPr>
          <w:p w14:paraId="1DDC9F3B" w14:textId="77777777" w:rsidR="00A921C0" w:rsidRPr="00DB5EFD" w:rsidRDefault="00A921C0" w:rsidP="00F12147">
            <w:pPr>
              <w:rPr>
                <w:rFonts w:cstheme="minorHAnsi"/>
                <w:b/>
                <w:bCs/>
              </w:rPr>
            </w:pPr>
            <w:r w:rsidRPr="00DB5EFD">
              <w:rPr>
                <w:rFonts w:cstheme="minorHAnsi"/>
                <w:b/>
                <w:bCs/>
              </w:rPr>
              <w:t>59.9</w:t>
            </w:r>
            <w:r>
              <w:rPr>
                <w:rFonts w:cstheme="minorHAnsi"/>
                <w:b/>
                <w:bCs/>
              </w:rPr>
              <w:t>%</w:t>
            </w:r>
          </w:p>
        </w:tc>
        <w:tc>
          <w:tcPr>
            <w:tcW w:w="251" w:type="dxa"/>
            <w:tcBorders>
              <w:top w:val="nil"/>
              <w:left w:val="nil"/>
              <w:bottom w:val="nil"/>
              <w:right w:val="nil"/>
            </w:tcBorders>
            <w:shd w:val="clear" w:color="auto" w:fill="auto"/>
          </w:tcPr>
          <w:p w14:paraId="33D54AC3" w14:textId="77777777" w:rsidR="00A921C0" w:rsidRPr="00DB5EFD" w:rsidRDefault="00A921C0" w:rsidP="00F12147">
            <w:pPr>
              <w:rPr>
                <w:rFonts w:cstheme="minorHAnsi"/>
                <w:b/>
                <w:bCs/>
              </w:rPr>
            </w:pPr>
          </w:p>
        </w:tc>
        <w:tc>
          <w:tcPr>
            <w:tcW w:w="852" w:type="dxa"/>
            <w:tcBorders>
              <w:top w:val="nil"/>
              <w:left w:val="nil"/>
              <w:bottom w:val="nil"/>
              <w:right w:val="nil"/>
            </w:tcBorders>
            <w:shd w:val="clear" w:color="auto" w:fill="E7E6E6" w:themeFill="background2"/>
            <w:noWrap/>
            <w:vAlign w:val="bottom"/>
          </w:tcPr>
          <w:p w14:paraId="18A1FAC0" w14:textId="77777777" w:rsidR="00A921C0" w:rsidRPr="00DB5EFD" w:rsidRDefault="00A921C0" w:rsidP="00F12147">
            <w:pPr>
              <w:rPr>
                <w:rFonts w:cstheme="minorHAnsi"/>
                <w:b/>
                <w:bCs/>
              </w:rPr>
            </w:pPr>
            <w:r w:rsidRPr="00DB5EFD">
              <w:rPr>
                <w:rFonts w:cstheme="minorHAnsi"/>
                <w:b/>
                <w:bCs/>
              </w:rPr>
              <w:t>75.6</w:t>
            </w:r>
            <w:r>
              <w:rPr>
                <w:rFonts w:cstheme="minorHAnsi"/>
                <w:b/>
                <w:bCs/>
              </w:rPr>
              <w:t>%</w:t>
            </w:r>
          </w:p>
        </w:tc>
        <w:tc>
          <w:tcPr>
            <w:tcW w:w="904" w:type="dxa"/>
            <w:gridSpan w:val="2"/>
            <w:tcBorders>
              <w:top w:val="nil"/>
              <w:left w:val="nil"/>
              <w:bottom w:val="nil"/>
              <w:right w:val="nil"/>
            </w:tcBorders>
            <w:shd w:val="clear" w:color="auto" w:fill="E7E6E6" w:themeFill="background2"/>
            <w:noWrap/>
            <w:vAlign w:val="bottom"/>
          </w:tcPr>
          <w:p w14:paraId="191D5E69" w14:textId="77777777" w:rsidR="00A921C0" w:rsidRPr="00DB5EFD" w:rsidRDefault="00A921C0" w:rsidP="00F12147">
            <w:pPr>
              <w:rPr>
                <w:rFonts w:cstheme="minorHAnsi"/>
                <w:b/>
                <w:bCs/>
              </w:rPr>
            </w:pPr>
            <w:r w:rsidRPr="00DB5EFD">
              <w:rPr>
                <w:rFonts w:cstheme="minorHAnsi"/>
                <w:b/>
                <w:bCs/>
              </w:rPr>
              <w:t>62.1</w:t>
            </w:r>
            <w:r>
              <w:rPr>
                <w:rFonts w:cstheme="minorHAnsi"/>
                <w:b/>
                <w:bCs/>
              </w:rPr>
              <w:t>%</w:t>
            </w:r>
          </w:p>
        </w:tc>
        <w:tc>
          <w:tcPr>
            <w:tcW w:w="883" w:type="dxa"/>
            <w:gridSpan w:val="2"/>
            <w:tcBorders>
              <w:top w:val="nil"/>
              <w:left w:val="nil"/>
              <w:bottom w:val="nil"/>
              <w:right w:val="nil"/>
            </w:tcBorders>
            <w:shd w:val="clear" w:color="auto" w:fill="E7E6E6" w:themeFill="background2"/>
            <w:noWrap/>
            <w:vAlign w:val="bottom"/>
          </w:tcPr>
          <w:p w14:paraId="16BBA0A3" w14:textId="77777777" w:rsidR="00A921C0" w:rsidRPr="00DB5EFD" w:rsidRDefault="00A921C0" w:rsidP="00F12147">
            <w:pPr>
              <w:rPr>
                <w:rFonts w:cstheme="minorHAnsi"/>
              </w:rPr>
            </w:pPr>
            <w:r w:rsidRPr="00DB5EFD">
              <w:rPr>
                <w:rFonts w:cstheme="minorHAnsi"/>
              </w:rPr>
              <w:t>55.0</w:t>
            </w:r>
            <w:r>
              <w:rPr>
                <w:rFonts w:cstheme="minorHAnsi"/>
              </w:rPr>
              <w:t>%</w:t>
            </w:r>
          </w:p>
        </w:tc>
      </w:tr>
      <w:tr w:rsidR="00A921C0" w:rsidRPr="00DB5EFD" w14:paraId="2745C564" w14:textId="77777777" w:rsidTr="6A9E2235">
        <w:trPr>
          <w:trHeight w:val="340"/>
        </w:trPr>
        <w:tc>
          <w:tcPr>
            <w:tcW w:w="1475" w:type="dxa"/>
            <w:tcBorders>
              <w:top w:val="nil"/>
              <w:left w:val="nil"/>
              <w:bottom w:val="single" w:sz="12" w:space="0" w:color="auto"/>
              <w:right w:val="nil"/>
            </w:tcBorders>
            <w:shd w:val="clear" w:color="auto" w:fill="auto"/>
            <w:noWrap/>
            <w:vAlign w:val="bottom"/>
          </w:tcPr>
          <w:p w14:paraId="3BA337A4" w14:textId="77777777" w:rsidR="00A921C0" w:rsidRPr="00DB5EFD" w:rsidRDefault="00A921C0" w:rsidP="004B1105">
            <w:pPr>
              <w:rPr>
                <w:rFonts w:cstheme="minorHAnsi"/>
                <w:color w:val="000000"/>
              </w:rPr>
            </w:pPr>
            <w:r>
              <w:rPr>
                <w:rFonts w:cstheme="minorHAnsi"/>
                <w:color w:val="000000"/>
              </w:rPr>
              <w:t>Another race</w:t>
            </w:r>
          </w:p>
        </w:tc>
        <w:tc>
          <w:tcPr>
            <w:tcW w:w="900" w:type="dxa"/>
            <w:tcBorders>
              <w:top w:val="nil"/>
              <w:left w:val="nil"/>
              <w:bottom w:val="single" w:sz="12" w:space="0" w:color="auto"/>
              <w:right w:val="nil"/>
            </w:tcBorders>
            <w:shd w:val="clear" w:color="auto" w:fill="E7E6E6" w:themeFill="background2"/>
            <w:noWrap/>
            <w:vAlign w:val="center"/>
          </w:tcPr>
          <w:p w14:paraId="7F9A6D82" w14:textId="77777777" w:rsidR="00A921C0" w:rsidRPr="00DB5EFD" w:rsidRDefault="00A921C0" w:rsidP="00F12147">
            <w:pPr>
              <w:rPr>
                <w:rFonts w:cstheme="minorHAnsi"/>
                <w:color w:val="000000"/>
              </w:rPr>
            </w:pPr>
            <w:r w:rsidRPr="00DB5EFD">
              <w:rPr>
                <w:rFonts w:cstheme="minorHAnsi"/>
              </w:rPr>
              <w:t>52.4</w:t>
            </w:r>
            <w:r>
              <w:rPr>
                <w:rFonts w:cstheme="minorHAnsi"/>
              </w:rPr>
              <w:t>%</w:t>
            </w:r>
          </w:p>
        </w:tc>
        <w:tc>
          <w:tcPr>
            <w:tcW w:w="865" w:type="dxa"/>
            <w:tcBorders>
              <w:top w:val="nil"/>
              <w:left w:val="nil"/>
              <w:bottom w:val="single" w:sz="12" w:space="0" w:color="auto"/>
              <w:right w:val="nil"/>
            </w:tcBorders>
            <w:shd w:val="clear" w:color="auto" w:fill="E7E6E6" w:themeFill="background2"/>
            <w:noWrap/>
            <w:vAlign w:val="center"/>
          </w:tcPr>
          <w:p w14:paraId="626819BF" w14:textId="77777777" w:rsidR="00A921C0" w:rsidRPr="00DB5EFD" w:rsidRDefault="00A921C0" w:rsidP="00F12147">
            <w:pPr>
              <w:rPr>
                <w:rFonts w:cstheme="minorHAnsi"/>
                <w:color w:val="000000"/>
              </w:rPr>
            </w:pPr>
            <w:r w:rsidRPr="00DB5EFD">
              <w:rPr>
                <w:rFonts w:cstheme="minorHAnsi"/>
              </w:rPr>
              <w:t>74.6</w:t>
            </w:r>
            <w:r>
              <w:rPr>
                <w:rFonts w:cstheme="minorHAnsi"/>
              </w:rPr>
              <w:t>%</w:t>
            </w:r>
          </w:p>
        </w:tc>
        <w:tc>
          <w:tcPr>
            <w:tcW w:w="896" w:type="dxa"/>
            <w:gridSpan w:val="2"/>
            <w:tcBorders>
              <w:top w:val="nil"/>
              <w:left w:val="nil"/>
              <w:bottom w:val="single" w:sz="12" w:space="0" w:color="auto"/>
              <w:right w:val="nil"/>
            </w:tcBorders>
            <w:shd w:val="clear" w:color="auto" w:fill="E7E6E6" w:themeFill="background2"/>
            <w:noWrap/>
            <w:vAlign w:val="center"/>
          </w:tcPr>
          <w:p w14:paraId="4EB0A873" w14:textId="77777777" w:rsidR="00A921C0" w:rsidRPr="00DB5EFD" w:rsidRDefault="00A921C0" w:rsidP="00F12147">
            <w:pPr>
              <w:rPr>
                <w:rFonts w:cstheme="minorHAnsi"/>
              </w:rPr>
            </w:pPr>
            <w:r w:rsidRPr="00DB5EFD">
              <w:rPr>
                <w:rFonts w:cstheme="minorHAnsi"/>
                <w:b/>
                <w:bCs/>
              </w:rPr>
              <w:t>85.8</w:t>
            </w:r>
            <w:r>
              <w:rPr>
                <w:rFonts w:cstheme="minorHAnsi"/>
                <w:b/>
                <w:bCs/>
              </w:rPr>
              <w:t>%</w:t>
            </w:r>
          </w:p>
        </w:tc>
        <w:tc>
          <w:tcPr>
            <w:tcW w:w="263" w:type="dxa"/>
            <w:gridSpan w:val="2"/>
            <w:tcBorders>
              <w:top w:val="nil"/>
              <w:left w:val="nil"/>
              <w:bottom w:val="single" w:sz="12" w:space="0" w:color="auto"/>
              <w:right w:val="nil"/>
            </w:tcBorders>
            <w:shd w:val="clear" w:color="auto" w:fill="auto"/>
          </w:tcPr>
          <w:p w14:paraId="6A3B2B7A" w14:textId="77777777" w:rsidR="00A921C0" w:rsidRPr="00DB5EFD" w:rsidRDefault="00A921C0" w:rsidP="00F12147">
            <w:pPr>
              <w:rPr>
                <w:rFonts w:cstheme="minorHAnsi"/>
              </w:rPr>
            </w:pPr>
          </w:p>
        </w:tc>
        <w:tc>
          <w:tcPr>
            <w:tcW w:w="900" w:type="dxa"/>
            <w:gridSpan w:val="2"/>
            <w:tcBorders>
              <w:top w:val="nil"/>
              <w:left w:val="nil"/>
              <w:bottom w:val="single" w:sz="12" w:space="0" w:color="auto"/>
              <w:right w:val="nil"/>
            </w:tcBorders>
            <w:shd w:val="clear" w:color="auto" w:fill="E7E6E6" w:themeFill="background2"/>
            <w:noWrap/>
            <w:vAlign w:val="center"/>
          </w:tcPr>
          <w:p w14:paraId="7AFFD024" w14:textId="77777777" w:rsidR="00A921C0" w:rsidRPr="00DB5EFD" w:rsidRDefault="00A921C0" w:rsidP="00F12147">
            <w:pPr>
              <w:rPr>
                <w:rFonts w:cstheme="minorHAnsi"/>
                <w:color w:val="000000"/>
              </w:rPr>
            </w:pPr>
            <w:r w:rsidRPr="00DB5EFD">
              <w:rPr>
                <w:rFonts w:cstheme="minorHAnsi"/>
              </w:rPr>
              <w:t>36.8</w:t>
            </w:r>
            <w:r>
              <w:rPr>
                <w:rFonts w:cstheme="minorHAnsi"/>
              </w:rPr>
              <w:t>%</w:t>
            </w:r>
          </w:p>
        </w:tc>
        <w:tc>
          <w:tcPr>
            <w:tcW w:w="822" w:type="dxa"/>
            <w:tcBorders>
              <w:top w:val="nil"/>
              <w:left w:val="nil"/>
              <w:bottom w:val="single" w:sz="12" w:space="0" w:color="auto"/>
              <w:right w:val="nil"/>
            </w:tcBorders>
            <w:shd w:val="clear" w:color="auto" w:fill="E7E6E6" w:themeFill="background2"/>
            <w:noWrap/>
            <w:vAlign w:val="center"/>
          </w:tcPr>
          <w:p w14:paraId="42E0F9B4" w14:textId="77777777" w:rsidR="00A921C0" w:rsidRPr="00DB5EFD" w:rsidRDefault="00A921C0" w:rsidP="00F12147">
            <w:pPr>
              <w:rPr>
                <w:rFonts w:cstheme="minorHAnsi"/>
              </w:rPr>
            </w:pPr>
            <w:r w:rsidRPr="00DB5EFD">
              <w:rPr>
                <w:rFonts w:cstheme="minorHAnsi"/>
                <w:b/>
                <w:bCs/>
              </w:rPr>
              <w:t>40.8</w:t>
            </w:r>
            <w:r>
              <w:rPr>
                <w:rFonts w:cstheme="minorHAnsi"/>
                <w:b/>
                <w:bCs/>
              </w:rPr>
              <w:t>%</w:t>
            </w:r>
          </w:p>
        </w:tc>
        <w:tc>
          <w:tcPr>
            <w:tcW w:w="828" w:type="dxa"/>
            <w:tcBorders>
              <w:top w:val="nil"/>
              <w:left w:val="nil"/>
              <w:bottom w:val="single" w:sz="12" w:space="0" w:color="auto"/>
              <w:right w:val="nil"/>
            </w:tcBorders>
            <w:shd w:val="clear" w:color="auto" w:fill="E7E6E6" w:themeFill="background2"/>
            <w:noWrap/>
            <w:vAlign w:val="center"/>
          </w:tcPr>
          <w:p w14:paraId="4BD83533" w14:textId="77777777" w:rsidR="00A921C0" w:rsidRPr="00DB5EFD" w:rsidRDefault="00A921C0" w:rsidP="00F12147">
            <w:pPr>
              <w:rPr>
                <w:rFonts w:cstheme="minorHAnsi"/>
              </w:rPr>
            </w:pPr>
            <w:r w:rsidRPr="00DB5EFD">
              <w:rPr>
                <w:rFonts w:cstheme="minorHAnsi"/>
                <w:b/>
                <w:bCs/>
              </w:rPr>
              <w:t>63.1</w:t>
            </w:r>
            <w:r>
              <w:rPr>
                <w:rFonts w:cstheme="minorHAnsi"/>
                <w:b/>
                <w:bCs/>
              </w:rPr>
              <w:t>%</w:t>
            </w:r>
          </w:p>
        </w:tc>
        <w:tc>
          <w:tcPr>
            <w:tcW w:w="251" w:type="dxa"/>
            <w:tcBorders>
              <w:top w:val="nil"/>
              <w:left w:val="nil"/>
              <w:bottom w:val="single" w:sz="12" w:space="0" w:color="auto"/>
              <w:right w:val="nil"/>
            </w:tcBorders>
            <w:shd w:val="clear" w:color="auto" w:fill="auto"/>
          </w:tcPr>
          <w:p w14:paraId="407DB1F4" w14:textId="77777777" w:rsidR="00A921C0" w:rsidRPr="00DB5EFD" w:rsidRDefault="00A921C0" w:rsidP="00F12147">
            <w:pPr>
              <w:rPr>
                <w:rFonts w:cstheme="minorHAnsi"/>
                <w:b/>
                <w:bCs/>
              </w:rPr>
            </w:pPr>
          </w:p>
        </w:tc>
        <w:tc>
          <w:tcPr>
            <w:tcW w:w="852" w:type="dxa"/>
            <w:tcBorders>
              <w:top w:val="nil"/>
              <w:left w:val="nil"/>
              <w:bottom w:val="single" w:sz="12" w:space="0" w:color="auto"/>
              <w:right w:val="nil"/>
            </w:tcBorders>
            <w:shd w:val="clear" w:color="auto" w:fill="E7E6E6" w:themeFill="background2"/>
            <w:noWrap/>
            <w:vAlign w:val="center"/>
          </w:tcPr>
          <w:p w14:paraId="3120C1F9" w14:textId="77777777" w:rsidR="00A921C0" w:rsidRPr="00DB5EFD" w:rsidRDefault="00A921C0" w:rsidP="00F12147">
            <w:pPr>
              <w:rPr>
                <w:rFonts w:cstheme="minorHAnsi"/>
              </w:rPr>
            </w:pPr>
            <w:r w:rsidRPr="00DB5EFD">
              <w:rPr>
                <w:rFonts w:cstheme="minorHAnsi"/>
                <w:b/>
                <w:bCs/>
              </w:rPr>
              <w:t>79.6</w:t>
            </w:r>
            <w:r>
              <w:rPr>
                <w:rFonts w:cstheme="minorHAnsi"/>
                <w:b/>
                <w:bCs/>
              </w:rPr>
              <w:t>%</w:t>
            </w:r>
          </w:p>
        </w:tc>
        <w:tc>
          <w:tcPr>
            <w:tcW w:w="904" w:type="dxa"/>
            <w:gridSpan w:val="2"/>
            <w:tcBorders>
              <w:top w:val="nil"/>
              <w:left w:val="nil"/>
              <w:bottom w:val="single" w:sz="12" w:space="0" w:color="auto"/>
              <w:right w:val="nil"/>
            </w:tcBorders>
            <w:shd w:val="clear" w:color="auto" w:fill="E7E6E6" w:themeFill="background2"/>
            <w:noWrap/>
            <w:vAlign w:val="center"/>
          </w:tcPr>
          <w:p w14:paraId="50BE2940" w14:textId="77777777" w:rsidR="00A921C0" w:rsidRPr="00DB5EFD" w:rsidRDefault="00A921C0" w:rsidP="00F12147">
            <w:pPr>
              <w:rPr>
                <w:rFonts w:cstheme="minorHAnsi"/>
              </w:rPr>
            </w:pPr>
            <w:r w:rsidRPr="00DB5EFD">
              <w:rPr>
                <w:rFonts w:cstheme="minorHAnsi"/>
                <w:b/>
                <w:bCs/>
              </w:rPr>
              <w:t>45.7</w:t>
            </w:r>
            <w:r>
              <w:rPr>
                <w:rFonts w:cstheme="minorHAnsi"/>
                <w:b/>
                <w:bCs/>
              </w:rPr>
              <w:t>%</w:t>
            </w:r>
          </w:p>
        </w:tc>
        <w:tc>
          <w:tcPr>
            <w:tcW w:w="883" w:type="dxa"/>
            <w:gridSpan w:val="2"/>
            <w:tcBorders>
              <w:top w:val="nil"/>
              <w:left w:val="nil"/>
              <w:bottom w:val="single" w:sz="12" w:space="0" w:color="auto"/>
              <w:right w:val="nil"/>
            </w:tcBorders>
            <w:shd w:val="clear" w:color="auto" w:fill="E7E6E6" w:themeFill="background2"/>
            <w:noWrap/>
            <w:vAlign w:val="center"/>
          </w:tcPr>
          <w:p w14:paraId="2A415424" w14:textId="77777777" w:rsidR="00A921C0" w:rsidRPr="00DB5EFD" w:rsidRDefault="00A921C0" w:rsidP="00F12147">
            <w:pPr>
              <w:rPr>
                <w:rFonts w:cstheme="minorHAnsi"/>
                <w:color w:val="000000"/>
              </w:rPr>
            </w:pPr>
            <w:r w:rsidRPr="00DB5EFD">
              <w:rPr>
                <w:rFonts w:cstheme="minorHAnsi"/>
              </w:rPr>
              <w:t>53.7</w:t>
            </w:r>
            <w:r>
              <w:rPr>
                <w:rFonts w:cstheme="minorHAnsi"/>
              </w:rPr>
              <w:t>%</w:t>
            </w:r>
          </w:p>
        </w:tc>
      </w:tr>
      <w:tr w:rsidR="00A921C0" w:rsidRPr="00E601EB" w14:paraId="5F57DA17" w14:textId="77777777" w:rsidTr="6A9E2235">
        <w:trPr>
          <w:trHeight w:val="340"/>
        </w:trPr>
        <w:tc>
          <w:tcPr>
            <w:tcW w:w="1475" w:type="dxa"/>
            <w:tcBorders>
              <w:top w:val="single" w:sz="12" w:space="0" w:color="auto"/>
              <w:left w:val="nil"/>
              <w:bottom w:val="single" w:sz="12" w:space="0" w:color="auto"/>
              <w:right w:val="nil"/>
            </w:tcBorders>
            <w:shd w:val="clear" w:color="auto" w:fill="auto"/>
            <w:noWrap/>
            <w:vAlign w:val="center"/>
          </w:tcPr>
          <w:p w14:paraId="3AB25EC7" w14:textId="4A546061" w:rsidR="00A921C0" w:rsidRPr="00E601EB" w:rsidRDefault="00A921C0" w:rsidP="004B1105">
            <w:pPr>
              <w:rPr>
                <w:rFonts w:cstheme="minorHAnsi"/>
                <w:color w:val="000000"/>
              </w:rPr>
            </w:pPr>
            <w:r w:rsidRPr="00E601EB">
              <w:rPr>
                <w:rFonts w:cstheme="minorHAnsi"/>
                <w:color w:val="000000"/>
              </w:rPr>
              <w:t>Sample</w:t>
            </w:r>
            <w:r w:rsidR="008D6C6C">
              <w:rPr>
                <w:rFonts w:cstheme="minorHAnsi"/>
                <w:color w:val="000000"/>
              </w:rPr>
              <w:t>:</w:t>
            </w:r>
          </w:p>
        </w:tc>
        <w:tc>
          <w:tcPr>
            <w:tcW w:w="2661" w:type="dxa"/>
            <w:gridSpan w:val="4"/>
            <w:tcBorders>
              <w:top w:val="single" w:sz="12" w:space="0" w:color="auto"/>
              <w:left w:val="nil"/>
              <w:bottom w:val="single" w:sz="12" w:space="0" w:color="auto"/>
              <w:right w:val="nil"/>
            </w:tcBorders>
            <w:shd w:val="clear" w:color="auto" w:fill="auto"/>
            <w:noWrap/>
            <w:vAlign w:val="center"/>
          </w:tcPr>
          <w:p w14:paraId="67EABCC6" w14:textId="77777777" w:rsidR="00A921C0" w:rsidRPr="00E601EB" w:rsidRDefault="00A921C0" w:rsidP="00F12147">
            <w:pPr>
              <w:rPr>
                <w:rFonts w:cstheme="minorHAnsi"/>
              </w:rPr>
            </w:pPr>
            <w:r w:rsidRPr="00E601EB">
              <w:rPr>
                <w:rFonts w:cstheme="minorHAnsi"/>
              </w:rPr>
              <w:t xml:space="preserve">All </w:t>
            </w:r>
            <w:r>
              <w:rPr>
                <w:rFonts w:cstheme="minorHAnsi"/>
              </w:rPr>
              <w:t xml:space="preserve">PSID-TAS </w:t>
            </w:r>
            <w:r w:rsidRPr="00E601EB">
              <w:rPr>
                <w:rFonts w:cstheme="minorHAnsi"/>
              </w:rPr>
              <w:t>Respondents</w:t>
            </w:r>
          </w:p>
        </w:tc>
        <w:tc>
          <w:tcPr>
            <w:tcW w:w="263" w:type="dxa"/>
            <w:gridSpan w:val="2"/>
            <w:tcBorders>
              <w:top w:val="single" w:sz="12" w:space="0" w:color="auto"/>
              <w:left w:val="nil"/>
              <w:bottom w:val="single" w:sz="12" w:space="0" w:color="auto"/>
              <w:right w:val="nil"/>
            </w:tcBorders>
            <w:vAlign w:val="center"/>
          </w:tcPr>
          <w:p w14:paraId="3358F8E2" w14:textId="77777777" w:rsidR="00A921C0" w:rsidRPr="00E601EB" w:rsidRDefault="00A921C0" w:rsidP="00F12147">
            <w:pPr>
              <w:rPr>
                <w:rFonts w:cstheme="minorHAnsi"/>
              </w:rPr>
            </w:pPr>
          </w:p>
        </w:tc>
        <w:tc>
          <w:tcPr>
            <w:tcW w:w="2550" w:type="dxa"/>
            <w:gridSpan w:val="4"/>
            <w:tcBorders>
              <w:top w:val="single" w:sz="12" w:space="0" w:color="auto"/>
              <w:left w:val="nil"/>
              <w:bottom w:val="single" w:sz="12" w:space="0" w:color="auto"/>
              <w:right w:val="nil"/>
            </w:tcBorders>
            <w:shd w:val="clear" w:color="auto" w:fill="auto"/>
            <w:noWrap/>
            <w:vAlign w:val="center"/>
          </w:tcPr>
          <w:p w14:paraId="7750C0BA" w14:textId="7F9C09E9" w:rsidR="00A921C0" w:rsidRPr="00E601EB" w:rsidRDefault="00A921C0" w:rsidP="00F12147">
            <w:pPr>
              <w:rPr>
                <w:rFonts w:cstheme="minorHAnsi"/>
                <w:b/>
              </w:rPr>
            </w:pPr>
            <w:r w:rsidRPr="00E601EB">
              <w:rPr>
                <w:rFonts w:cstheme="minorHAnsi"/>
              </w:rPr>
              <w:t>College Attendees</w:t>
            </w:r>
          </w:p>
        </w:tc>
        <w:tc>
          <w:tcPr>
            <w:tcW w:w="251" w:type="dxa"/>
            <w:tcBorders>
              <w:top w:val="single" w:sz="12" w:space="0" w:color="auto"/>
              <w:left w:val="nil"/>
              <w:bottom w:val="single" w:sz="12" w:space="0" w:color="auto"/>
              <w:right w:val="nil"/>
            </w:tcBorders>
            <w:vAlign w:val="center"/>
          </w:tcPr>
          <w:p w14:paraId="6FFE9C79" w14:textId="77777777" w:rsidR="00A921C0" w:rsidRPr="00E601EB" w:rsidRDefault="00A921C0" w:rsidP="00F12147">
            <w:pPr>
              <w:rPr>
                <w:rFonts w:cstheme="minorHAnsi"/>
              </w:rPr>
            </w:pPr>
          </w:p>
        </w:tc>
        <w:tc>
          <w:tcPr>
            <w:tcW w:w="2639" w:type="dxa"/>
            <w:gridSpan w:val="5"/>
            <w:tcBorders>
              <w:top w:val="single" w:sz="12" w:space="0" w:color="auto"/>
              <w:left w:val="nil"/>
              <w:bottom w:val="single" w:sz="12" w:space="0" w:color="auto"/>
              <w:right w:val="nil"/>
            </w:tcBorders>
            <w:shd w:val="clear" w:color="auto" w:fill="auto"/>
            <w:noWrap/>
            <w:vAlign w:val="center"/>
          </w:tcPr>
          <w:p w14:paraId="15C5C65F" w14:textId="2035297B" w:rsidR="00A921C0" w:rsidRPr="00E601EB" w:rsidRDefault="00A921C0" w:rsidP="00F12147">
            <w:pPr>
              <w:rPr>
                <w:rFonts w:cstheme="minorHAnsi"/>
                <w:color w:val="000000"/>
              </w:rPr>
            </w:pPr>
            <w:r w:rsidRPr="00E601EB">
              <w:rPr>
                <w:rFonts w:cstheme="minorHAnsi"/>
              </w:rPr>
              <w:t>College Attendees</w:t>
            </w:r>
          </w:p>
        </w:tc>
      </w:tr>
    </w:tbl>
    <w:p w14:paraId="6CD0FBAA" w14:textId="6613B4CA" w:rsidR="00D37CBF" w:rsidRDefault="00D37CBF"/>
    <w:p w14:paraId="2221F2B8" w14:textId="77777777" w:rsidR="00B6061F" w:rsidRDefault="00B6061F"/>
    <w:p w14:paraId="133145B9" w14:textId="5E2C1A3A" w:rsidR="00773B59" w:rsidRDefault="00773B59" w:rsidP="00773B59">
      <w:pPr>
        <w:pStyle w:val="Caption"/>
        <w:keepNext/>
      </w:pPr>
    </w:p>
    <w:tbl>
      <w:tblPr>
        <w:tblW w:w="9993" w:type="dxa"/>
        <w:tblLayout w:type="fixed"/>
        <w:tblLook w:val="04A0" w:firstRow="1" w:lastRow="0" w:firstColumn="1" w:lastColumn="0" w:noHBand="0" w:noVBand="1"/>
      </w:tblPr>
      <w:tblGrid>
        <w:gridCol w:w="1705"/>
        <w:gridCol w:w="900"/>
        <w:gridCol w:w="810"/>
        <w:gridCol w:w="815"/>
        <w:gridCol w:w="360"/>
        <w:gridCol w:w="900"/>
        <w:gridCol w:w="900"/>
        <w:gridCol w:w="813"/>
        <w:gridCol w:w="270"/>
        <w:gridCol w:w="900"/>
        <w:gridCol w:w="810"/>
        <w:gridCol w:w="810"/>
      </w:tblGrid>
      <w:tr w:rsidR="00A921C0" w:rsidRPr="00017AFE" w14:paraId="3CB2F7E7" w14:textId="77777777" w:rsidTr="6A9E2235">
        <w:trPr>
          <w:trHeight w:val="287"/>
        </w:trPr>
        <w:tc>
          <w:tcPr>
            <w:tcW w:w="9993" w:type="dxa"/>
            <w:gridSpan w:val="12"/>
            <w:tcBorders>
              <w:bottom w:val="single" w:sz="12" w:space="0" w:color="auto"/>
            </w:tcBorders>
            <w:vAlign w:val="bottom"/>
          </w:tcPr>
          <w:p w14:paraId="33BEE063" w14:textId="31473354" w:rsidR="00A921C0" w:rsidRPr="0010735C" w:rsidRDefault="00773B59" w:rsidP="004B1105">
            <w:pPr>
              <w:textAlignment w:val="baseline"/>
              <w:rPr>
                <w:rFonts w:eastAsiaTheme="minorEastAsia"/>
                <w:b/>
                <w:bCs/>
              </w:rPr>
            </w:pPr>
            <w:bookmarkStart w:id="34" w:name="_Ref162269871"/>
            <w:bookmarkStart w:id="35" w:name="_Ref160092385"/>
            <w:bookmarkStart w:id="36" w:name="_Ref153959472"/>
            <w:r w:rsidRPr="00F12147">
              <w:rPr>
                <w:b/>
                <w:bCs/>
              </w:rPr>
              <w:t xml:space="preserve">Table </w:t>
            </w:r>
            <w:r w:rsidRPr="00F12147">
              <w:rPr>
                <w:b/>
                <w:bCs/>
              </w:rPr>
              <w:fldChar w:fldCharType="begin"/>
            </w:r>
            <w:r w:rsidRPr="00F12147">
              <w:rPr>
                <w:b/>
                <w:bCs/>
              </w:rPr>
              <w:instrText xml:space="preserve"> SEQ Table \* ARABIC </w:instrText>
            </w:r>
            <w:r w:rsidRPr="00F12147">
              <w:rPr>
                <w:b/>
                <w:bCs/>
              </w:rPr>
              <w:fldChar w:fldCharType="separate"/>
            </w:r>
            <w:r w:rsidRPr="00F12147">
              <w:rPr>
                <w:b/>
                <w:bCs/>
                <w:noProof/>
              </w:rPr>
              <w:t>5</w:t>
            </w:r>
            <w:r w:rsidRPr="00F12147">
              <w:rPr>
                <w:b/>
                <w:bCs/>
              </w:rPr>
              <w:fldChar w:fldCharType="end"/>
            </w:r>
            <w:bookmarkEnd w:id="34"/>
            <w:r w:rsidRPr="00F12147">
              <w:rPr>
                <w:b/>
                <w:bCs/>
              </w:rPr>
              <w:t>.</w:t>
            </w:r>
            <w:r>
              <w:t xml:space="preserve"> </w:t>
            </w:r>
            <w:r w:rsidRPr="00F12147">
              <w:rPr>
                <w:b/>
                <w:bCs/>
              </w:rPr>
              <w:t>Enrollment, Completion, and Borrowing</w:t>
            </w:r>
            <w:r w:rsidR="009D79F6">
              <w:rPr>
                <w:b/>
                <w:bCs/>
              </w:rPr>
              <w:t>,</w:t>
            </w:r>
            <w:r w:rsidRPr="00F12147">
              <w:rPr>
                <w:b/>
                <w:bCs/>
              </w:rPr>
              <w:t xml:space="preserve"> by Race </w:t>
            </w:r>
            <w:r w:rsidR="0068500C">
              <w:rPr>
                <w:b/>
                <w:bCs/>
              </w:rPr>
              <w:t>and</w:t>
            </w:r>
            <w:r w:rsidR="0068500C" w:rsidRPr="00F12147">
              <w:rPr>
                <w:b/>
                <w:bCs/>
              </w:rPr>
              <w:t xml:space="preserve"> </w:t>
            </w:r>
            <w:r w:rsidRPr="00F12147">
              <w:rPr>
                <w:b/>
                <w:bCs/>
              </w:rPr>
              <w:t>Ethnicity (Income and Wealth Combined)</w:t>
            </w:r>
            <w:bookmarkEnd w:id="35"/>
            <w:bookmarkEnd w:id="36"/>
          </w:p>
        </w:tc>
      </w:tr>
      <w:tr w:rsidR="00A921C0" w:rsidRPr="007927A4" w14:paraId="72F890D5" w14:textId="77777777" w:rsidTr="6A9E2235">
        <w:trPr>
          <w:trHeight w:val="320"/>
        </w:trPr>
        <w:tc>
          <w:tcPr>
            <w:tcW w:w="1705" w:type="dxa"/>
            <w:vMerge w:val="restart"/>
            <w:tcBorders>
              <w:top w:val="single" w:sz="12" w:space="0" w:color="auto"/>
            </w:tcBorders>
            <w:shd w:val="clear" w:color="auto" w:fill="auto"/>
            <w:noWrap/>
            <w:vAlign w:val="bottom"/>
            <w:hideMark/>
          </w:tcPr>
          <w:p w14:paraId="38DD2CC3" w14:textId="140DB9BA" w:rsidR="00A921C0" w:rsidRPr="0032279B" w:rsidRDefault="00A921C0" w:rsidP="004B1105">
            <w:pPr>
              <w:ind w:right="-106"/>
              <w:rPr>
                <w:rFonts w:eastAsiaTheme="minorEastAsia"/>
                <w:bCs/>
              </w:rPr>
            </w:pPr>
            <w:r>
              <w:rPr>
                <w:rFonts w:eastAsiaTheme="minorEastAsia"/>
                <w:bCs/>
                <w:color w:val="000000"/>
              </w:rPr>
              <w:t xml:space="preserve">Race </w:t>
            </w:r>
            <w:r w:rsidR="00F957C1">
              <w:rPr>
                <w:rFonts w:eastAsiaTheme="minorEastAsia"/>
                <w:bCs/>
                <w:color w:val="000000"/>
              </w:rPr>
              <w:t>and</w:t>
            </w:r>
            <w:r>
              <w:rPr>
                <w:rFonts w:eastAsiaTheme="minorEastAsia"/>
                <w:bCs/>
                <w:color w:val="000000"/>
              </w:rPr>
              <w:t xml:space="preserve"> Ethnicity by Income </w:t>
            </w:r>
          </w:p>
        </w:tc>
        <w:tc>
          <w:tcPr>
            <w:tcW w:w="2525" w:type="dxa"/>
            <w:gridSpan w:val="3"/>
            <w:tcBorders>
              <w:top w:val="single" w:sz="12" w:space="0" w:color="auto"/>
              <w:bottom w:val="single" w:sz="12" w:space="0" w:color="auto"/>
            </w:tcBorders>
            <w:shd w:val="clear" w:color="auto" w:fill="auto"/>
            <w:noWrap/>
            <w:vAlign w:val="bottom"/>
            <w:hideMark/>
          </w:tcPr>
          <w:p w14:paraId="180B187F" w14:textId="77777777" w:rsidR="00A921C0" w:rsidRPr="002639E9" w:rsidRDefault="00A921C0" w:rsidP="00F12147">
            <w:pPr>
              <w:rPr>
                <w:rFonts w:eastAsiaTheme="minorEastAsia"/>
                <w:color w:val="000000"/>
              </w:rPr>
            </w:pPr>
            <w:r w:rsidRPr="002639E9">
              <w:rPr>
                <w:rFonts w:eastAsiaTheme="minorEastAsia"/>
                <w:color w:val="000000"/>
              </w:rPr>
              <w:t>% Attended College</w:t>
            </w:r>
          </w:p>
        </w:tc>
        <w:tc>
          <w:tcPr>
            <w:tcW w:w="360" w:type="dxa"/>
            <w:tcBorders>
              <w:top w:val="single" w:sz="12" w:space="0" w:color="auto"/>
              <w:bottom w:val="single" w:sz="12" w:space="0" w:color="auto"/>
            </w:tcBorders>
            <w:vAlign w:val="bottom"/>
          </w:tcPr>
          <w:p w14:paraId="7CB789F0" w14:textId="77777777" w:rsidR="00A921C0" w:rsidRPr="002639E9" w:rsidRDefault="00A921C0" w:rsidP="00F12147">
            <w:pPr>
              <w:rPr>
                <w:rFonts w:eastAsiaTheme="minorEastAsia"/>
                <w:color w:val="000000"/>
              </w:rPr>
            </w:pPr>
          </w:p>
        </w:tc>
        <w:tc>
          <w:tcPr>
            <w:tcW w:w="2613" w:type="dxa"/>
            <w:gridSpan w:val="3"/>
            <w:tcBorders>
              <w:top w:val="single" w:sz="12" w:space="0" w:color="auto"/>
              <w:bottom w:val="single" w:sz="12" w:space="0" w:color="auto"/>
            </w:tcBorders>
            <w:shd w:val="clear" w:color="auto" w:fill="auto"/>
            <w:noWrap/>
            <w:vAlign w:val="bottom"/>
            <w:hideMark/>
          </w:tcPr>
          <w:p w14:paraId="2833B92B" w14:textId="77777777" w:rsidR="00A921C0" w:rsidRPr="002639E9" w:rsidRDefault="00A921C0" w:rsidP="00F12147">
            <w:pPr>
              <w:rPr>
                <w:rFonts w:eastAsiaTheme="minorEastAsia"/>
                <w:color w:val="000000"/>
              </w:rPr>
            </w:pPr>
            <w:r w:rsidRPr="002639E9">
              <w:rPr>
                <w:rFonts w:eastAsiaTheme="minorEastAsia"/>
                <w:color w:val="000000"/>
              </w:rPr>
              <w:t>% Completed Degree</w:t>
            </w:r>
          </w:p>
        </w:tc>
        <w:tc>
          <w:tcPr>
            <w:tcW w:w="270" w:type="dxa"/>
            <w:tcBorders>
              <w:top w:val="single" w:sz="12" w:space="0" w:color="auto"/>
              <w:bottom w:val="single" w:sz="12" w:space="0" w:color="auto"/>
            </w:tcBorders>
            <w:vAlign w:val="bottom"/>
          </w:tcPr>
          <w:p w14:paraId="63537F8F" w14:textId="77777777" w:rsidR="00A921C0" w:rsidRPr="002639E9" w:rsidRDefault="00A921C0" w:rsidP="00F12147">
            <w:pPr>
              <w:rPr>
                <w:rFonts w:eastAsiaTheme="minorEastAsia"/>
                <w:color w:val="000000"/>
              </w:rPr>
            </w:pPr>
          </w:p>
        </w:tc>
        <w:tc>
          <w:tcPr>
            <w:tcW w:w="2520" w:type="dxa"/>
            <w:gridSpan w:val="3"/>
            <w:tcBorders>
              <w:top w:val="single" w:sz="12" w:space="0" w:color="auto"/>
              <w:bottom w:val="single" w:sz="12" w:space="0" w:color="auto"/>
            </w:tcBorders>
            <w:shd w:val="clear" w:color="auto" w:fill="auto"/>
            <w:noWrap/>
            <w:vAlign w:val="bottom"/>
            <w:hideMark/>
          </w:tcPr>
          <w:p w14:paraId="15518218" w14:textId="77777777" w:rsidR="00A921C0" w:rsidRPr="002639E9" w:rsidRDefault="00A921C0" w:rsidP="00F12147">
            <w:pPr>
              <w:rPr>
                <w:rFonts w:eastAsiaTheme="minorEastAsia"/>
                <w:color w:val="000000"/>
              </w:rPr>
            </w:pPr>
            <w:r w:rsidRPr="002639E9">
              <w:rPr>
                <w:rFonts w:eastAsiaTheme="minorEastAsia"/>
                <w:color w:val="000000"/>
              </w:rPr>
              <w:t>% Ever Borrowed</w:t>
            </w:r>
          </w:p>
        </w:tc>
      </w:tr>
      <w:tr w:rsidR="00A921C0" w:rsidRPr="007927A4" w14:paraId="699179AD" w14:textId="77777777" w:rsidTr="6A9E2235">
        <w:trPr>
          <w:trHeight w:val="340"/>
        </w:trPr>
        <w:tc>
          <w:tcPr>
            <w:tcW w:w="1705" w:type="dxa"/>
            <w:vMerge/>
            <w:noWrap/>
            <w:vAlign w:val="bottom"/>
            <w:hideMark/>
          </w:tcPr>
          <w:p w14:paraId="44D92B79" w14:textId="77777777" w:rsidR="00A921C0" w:rsidRPr="007927A4" w:rsidRDefault="00A921C0" w:rsidP="004B1105">
            <w:pPr>
              <w:rPr>
                <w:rFonts w:cstheme="minorHAnsi"/>
                <w:b/>
                <w:color w:val="000000"/>
              </w:rPr>
            </w:pPr>
          </w:p>
        </w:tc>
        <w:tc>
          <w:tcPr>
            <w:tcW w:w="900" w:type="dxa"/>
            <w:tcBorders>
              <w:top w:val="single" w:sz="12" w:space="0" w:color="auto"/>
              <w:bottom w:val="single" w:sz="12" w:space="0" w:color="auto"/>
            </w:tcBorders>
            <w:shd w:val="clear" w:color="auto" w:fill="auto"/>
            <w:noWrap/>
            <w:vAlign w:val="bottom"/>
            <w:hideMark/>
          </w:tcPr>
          <w:p w14:paraId="5A65909B" w14:textId="7A16E9AE" w:rsidR="00A921C0" w:rsidRDefault="00206681" w:rsidP="00F12147">
            <w:pPr>
              <w:rPr>
                <w:rFonts w:eastAsiaTheme="minorEastAsia"/>
                <w:color w:val="000000"/>
                <w:sz w:val="20"/>
                <w:szCs w:val="20"/>
              </w:rPr>
            </w:pPr>
            <w:r>
              <w:rPr>
                <w:rFonts w:eastAsiaTheme="minorEastAsia"/>
                <w:color w:val="000000"/>
                <w:sz w:val="20"/>
                <w:szCs w:val="20"/>
              </w:rPr>
              <w:t>Low</w:t>
            </w:r>
          </w:p>
          <w:p w14:paraId="05696760" w14:textId="77777777" w:rsidR="00A921C0" w:rsidRPr="00A81AB1" w:rsidRDefault="00A921C0" w:rsidP="00F12147">
            <w:pPr>
              <w:rPr>
                <w:rFonts w:eastAsiaTheme="minorEastAsia"/>
                <w:color w:val="000000"/>
                <w:sz w:val="20"/>
                <w:szCs w:val="20"/>
              </w:rPr>
            </w:pPr>
            <w:r>
              <w:rPr>
                <w:rFonts w:eastAsiaTheme="minorEastAsia"/>
                <w:color w:val="000000"/>
                <w:sz w:val="20"/>
                <w:szCs w:val="20"/>
              </w:rPr>
              <w:t>Wealth</w:t>
            </w:r>
          </w:p>
        </w:tc>
        <w:tc>
          <w:tcPr>
            <w:tcW w:w="810" w:type="dxa"/>
            <w:tcBorders>
              <w:top w:val="single" w:sz="12" w:space="0" w:color="auto"/>
              <w:bottom w:val="single" w:sz="12" w:space="0" w:color="auto"/>
            </w:tcBorders>
            <w:shd w:val="clear" w:color="auto" w:fill="auto"/>
            <w:noWrap/>
            <w:vAlign w:val="bottom"/>
            <w:hideMark/>
          </w:tcPr>
          <w:p w14:paraId="37AF71EB" w14:textId="77777777" w:rsidR="00A921C0" w:rsidRPr="00A81AB1" w:rsidRDefault="00A921C0" w:rsidP="00F12147">
            <w:pPr>
              <w:rPr>
                <w:rFonts w:eastAsiaTheme="minorEastAsia"/>
                <w:color w:val="000000"/>
                <w:sz w:val="20"/>
                <w:szCs w:val="20"/>
              </w:rPr>
            </w:pPr>
            <w:r w:rsidRPr="00A81AB1">
              <w:rPr>
                <w:rFonts w:eastAsiaTheme="minorEastAsia"/>
                <w:color w:val="000000"/>
                <w:sz w:val="20"/>
                <w:szCs w:val="20"/>
              </w:rPr>
              <w:t>Middle</w:t>
            </w:r>
            <w:r>
              <w:rPr>
                <w:rFonts w:eastAsiaTheme="minorEastAsia"/>
                <w:color w:val="000000"/>
                <w:sz w:val="20"/>
                <w:szCs w:val="20"/>
              </w:rPr>
              <w:t xml:space="preserve"> Wealth</w:t>
            </w:r>
          </w:p>
        </w:tc>
        <w:tc>
          <w:tcPr>
            <w:tcW w:w="815" w:type="dxa"/>
            <w:tcBorders>
              <w:top w:val="single" w:sz="12" w:space="0" w:color="auto"/>
              <w:bottom w:val="single" w:sz="12" w:space="0" w:color="auto"/>
            </w:tcBorders>
            <w:shd w:val="clear" w:color="auto" w:fill="auto"/>
            <w:noWrap/>
            <w:vAlign w:val="bottom"/>
            <w:hideMark/>
          </w:tcPr>
          <w:p w14:paraId="60B20602" w14:textId="329EBA13" w:rsidR="00A921C0" w:rsidRPr="00A81AB1" w:rsidRDefault="00206681" w:rsidP="00F12147">
            <w:pPr>
              <w:rPr>
                <w:rFonts w:eastAsiaTheme="minorEastAsia"/>
                <w:color w:val="000000"/>
                <w:sz w:val="20"/>
                <w:szCs w:val="20"/>
              </w:rPr>
            </w:pPr>
            <w:r w:rsidRPr="00F12147">
              <w:rPr>
                <w:rFonts w:eastAsiaTheme="minorEastAsia"/>
                <w:bCs/>
                <w:color w:val="000000" w:themeColor="text1"/>
              </w:rPr>
              <w:t>High</w:t>
            </w:r>
            <w:r w:rsidR="00A921C0" w:rsidRPr="7A9D7D5A">
              <w:rPr>
                <w:rFonts w:eastAsiaTheme="minorEastAsia"/>
                <w:b/>
                <w:color w:val="000000" w:themeColor="text1"/>
              </w:rPr>
              <w:t xml:space="preserve"> </w:t>
            </w:r>
            <w:r w:rsidR="00A921C0">
              <w:rPr>
                <w:rFonts w:eastAsiaTheme="minorEastAsia"/>
                <w:color w:val="000000"/>
                <w:sz w:val="20"/>
                <w:szCs w:val="20"/>
              </w:rPr>
              <w:t>Wealth</w:t>
            </w:r>
          </w:p>
        </w:tc>
        <w:tc>
          <w:tcPr>
            <w:tcW w:w="360" w:type="dxa"/>
            <w:tcBorders>
              <w:top w:val="single" w:sz="12" w:space="0" w:color="auto"/>
              <w:bottom w:val="single" w:sz="12" w:space="0" w:color="auto"/>
            </w:tcBorders>
            <w:vAlign w:val="bottom"/>
          </w:tcPr>
          <w:p w14:paraId="289D5910" w14:textId="77777777" w:rsidR="00A921C0" w:rsidRPr="00A81AB1" w:rsidRDefault="00A921C0" w:rsidP="00F12147">
            <w:pPr>
              <w:rPr>
                <w:rFonts w:eastAsiaTheme="minorEastAsia"/>
                <w:color w:val="000000"/>
                <w:sz w:val="20"/>
                <w:szCs w:val="20"/>
              </w:rPr>
            </w:pPr>
          </w:p>
        </w:tc>
        <w:tc>
          <w:tcPr>
            <w:tcW w:w="900" w:type="dxa"/>
            <w:tcBorders>
              <w:top w:val="single" w:sz="12" w:space="0" w:color="auto"/>
              <w:bottom w:val="single" w:sz="12" w:space="0" w:color="auto"/>
            </w:tcBorders>
            <w:shd w:val="clear" w:color="auto" w:fill="auto"/>
            <w:noWrap/>
            <w:vAlign w:val="bottom"/>
            <w:hideMark/>
          </w:tcPr>
          <w:p w14:paraId="376E8897" w14:textId="0E5537DB" w:rsidR="00A921C0" w:rsidRDefault="00206681" w:rsidP="00F12147">
            <w:pPr>
              <w:rPr>
                <w:rFonts w:eastAsiaTheme="minorEastAsia"/>
                <w:color w:val="000000"/>
                <w:sz w:val="20"/>
                <w:szCs w:val="20"/>
              </w:rPr>
            </w:pPr>
            <w:r>
              <w:rPr>
                <w:rFonts w:eastAsiaTheme="minorEastAsia"/>
                <w:color w:val="000000"/>
                <w:sz w:val="20"/>
                <w:szCs w:val="20"/>
              </w:rPr>
              <w:t>Low</w:t>
            </w:r>
          </w:p>
          <w:p w14:paraId="267AD12A" w14:textId="77777777" w:rsidR="00A921C0" w:rsidRPr="007927A4" w:rsidRDefault="00A921C0" w:rsidP="00F12147">
            <w:pPr>
              <w:rPr>
                <w:rFonts w:eastAsiaTheme="minorEastAsia"/>
                <w:color w:val="000000"/>
              </w:rPr>
            </w:pPr>
            <w:r>
              <w:rPr>
                <w:rFonts w:eastAsiaTheme="minorEastAsia"/>
                <w:color w:val="000000"/>
                <w:sz w:val="20"/>
                <w:szCs w:val="20"/>
              </w:rPr>
              <w:t>Wealth</w:t>
            </w:r>
          </w:p>
        </w:tc>
        <w:tc>
          <w:tcPr>
            <w:tcW w:w="900" w:type="dxa"/>
            <w:tcBorders>
              <w:top w:val="single" w:sz="12" w:space="0" w:color="auto"/>
              <w:bottom w:val="single" w:sz="12" w:space="0" w:color="auto"/>
            </w:tcBorders>
            <w:shd w:val="clear" w:color="auto" w:fill="auto"/>
            <w:noWrap/>
            <w:vAlign w:val="bottom"/>
            <w:hideMark/>
          </w:tcPr>
          <w:p w14:paraId="50B6F699" w14:textId="77777777" w:rsidR="00A921C0" w:rsidRPr="007927A4" w:rsidRDefault="00A921C0" w:rsidP="00F12147">
            <w:pPr>
              <w:rPr>
                <w:rFonts w:eastAsiaTheme="minorEastAsia"/>
                <w:color w:val="000000"/>
              </w:rPr>
            </w:pPr>
            <w:r w:rsidRPr="00A81AB1">
              <w:rPr>
                <w:rFonts w:eastAsiaTheme="minorEastAsia"/>
                <w:color w:val="000000"/>
                <w:sz w:val="20"/>
                <w:szCs w:val="20"/>
              </w:rPr>
              <w:t>Middle</w:t>
            </w:r>
            <w:r>
              <w:rPr>
                <w:rFonts w:eastAsiaTheme="minorEastAsia"/>
                <w:color w:val="000000"/>
                <w:sz w:val="20"/>
                <w:szCs w:val="20"/>
              </w:rPr>
              <w:t xml:space="preserve"> Wealth</w:t>
            </w:r>
          </w:p>
        </w:tc>
        <w:tc>
          <w:tcPr>
            <w:tcW w:w="813" w:type="dxa"/>
            <w:tcBorders>
              <w:top w:val="single" w:sz="12" w:space="0" w:color="auto"/>
              <w:bottom w:val="single" w:sz="12" w:space="0" w:color="auto"/>
            </w:tcBorders>
            <w:shd w:val="clear" w:color="auto" w:fill="auto"/>
            <w:noWrap/>
            <w:vAlign w:val="bottom"/>
            <w:hideMark/>
          </w:tcPr>
          <w:p w14:paraId="161F2A38" w14:textId="5B115771" w:rsidR="00A921C0" w:rsidRPr="007927A4" w:rsidRDefault="00206681" w:rsidP="00F12147">
            <w:pPr>
              <w:rPr>
                <w:rFonts w:eastAsiaTheme="minorEastAsia"/>
                <w:color w:val="000000"/>
              </w:rPr>
            </w:pPr>
            <w:r w:rsidRPr="00F12147">
              <w:rPr>
                <w:rFonts w:eastAsiaTheme="minorEastAsia"/>
                <w:bCs/>
                <w:color w:val="000000" w:themeColor="text1"/>
              </w:rPr>
              <w:t>High</w:t>
            </w:r>
            <w:r w:rsidR="00A921C0" w:rsidRPr="7A9D7D5A">
              <w:rPr>
                <w:rFonts w:eastAsiaTheme="minorEastAsia"/>
                <w:b/>
                <w:color w:val="000000" w:themeColor="text1"/>
              </w:rPr>
              <w:t xml:space="preserve"> </w:t>
            </w:r>
            <w:r w:rsidR="00A921C0">
              <w:rPr>
                <w:rFonts w:eastAsiaTheme="minorEastAsia"/>
                <w:color w:val="000000"/>
                <w:sz w:val="20"/>
                <w:szCs w:val="20"/>
              </w:rPr>
              <w:t>Wealth</w:t>
            </w:r>
          </w:p>
        </w:tc>
        <w:tc>
          <w:tcPr>
            <w:tcW w:w="270" w:type="dxa"/>
            <w:tcBorders>
              <w:top w:val="single" w:sz="12" w:space="0" w:color="auto"/>
              <w:bottom w:val="single" w:sz="12" w:space="0" w:color="auto"/>
            </w:tcBorders>
            <w:vAlign w:val="bottom"/>
          </w:tcPr>
          <w:p w14:paraId="44A369A1" w14:textId="77777777" w:rsidR="00A921C0" w:rsidRPr="00A81AB1" w:rsidRDefault="00A921C0" w:rsidP="00F12147">
            <w:pPr>
              <w:rPr>
                <w:rFonts w:eastAsiaTheme="minorEastAsia"/>
                <w:color w:val="000000"/>
                <w:sz w:val="20"/>
                <w:szCs w:val="20"/>
              </w:rPr>
            </w:pPr>
          </w:p>
        </w:tc>
        <w:tc>
          <w:tcPr>
            <w:tcW w:w="900" w:type="dxa"/>
            <w:tcBorders>
              <w:top w:val="single" w:sz="12" w:space="0" w:color="auto"/>
              <w:bottom w:val="single" w:sz="12" w:space="0" w:color="auto"/>
            </w:tcBorders>
            <w:shd w:val="clear" w:color="auto" w:fill="auto"/>
            <w:noWrap/>
            <w:vAlign w:val="bottom"/>
            <w:hideMark/>
          </w:tcPr>
          <w:p w14:paraId="4C1823AC" w14:textId="43546277" w:rsidR="00A921C0" w:rsidRDefault="00206681" w:rsidP="00F12147">
            <w:pPr>
              <w:rPr>
                <w:rFonts w:eastAsiaTheme="minorEastAsia"/>
                <w:color w:val="000000"/>
                <w:sz w:val="20"/>
                <w:szCs w:val="20"/>
              </w:rPr>
            </w:pPr>
            <w:r>
              <w:rPr>
                <w:rFonts w:eastAsiaTheme="minorEastAsia"/>
                <w:color w:val="000000"/>
                <w:sz w:val="20"/>
                <w:szCs w:val="20"/>
              </w:rPr>
              <w:t>Low</w:t>
            </w:r>
          </w:p>
          <w:p w14:paraId="551D63B0" w14:textId="77777777" w:rsidR="00A921C0" w:rsidRPr="007927A4" w:rsidRDefault="00A921C0" w:rsidP="00F12147">
            <w:pPr>
              <w:rPr>
                <w:rFonts w:eastAsiaTheme="minorEastAsia"/>
                <w:color w:val="000000"/>
              </w:rPr>
            </w:pPr>
            <w:r>
              <w:rPr>
                <w:rFonts w:eastAsiaTheme="minorEastAsia"/>
                <w:color w:val="000000"/>
                <w:sz w:val="20"/>
                <w:szCs w:val="20"/>
              </w:rPr>
              <w:t>Wealth</w:t>
            </w:r>
          </w:p>
        </w:tc>
        <w:tc>
          <w:tcPr>
            <w:tcW w:w="810" w:type="dxa"/>
            <w:tcBorders>
              <w:top w:val="single" w:sz="12" w:space="0" w:color="auto"/>
              <w:bottom w:val="single" w:sz="12" w:space="0" w:color="auto"/>
            </w:tcBorders>
            <w:shd w:val="clear" w:color="auto" w:fill="auto"/>
            <w:noWrap/>
            <w:vAlign w:val="bottom"/>
            <w:hideMark/>
          </w:tcPr>
          <w:p w14:paraId="6386277C" w14:textId="77777777" w:rsidR="00A921C0" w:rsidRPr="007927A4" w:rsidRDefault="00A921C0" w:rsidP="00F12147">
            <w:pPr>
              <w:rPr>
                <w:rFonts w:eastAsiaTheme="minorEastAsia"/>
                <w:color w:val="000000"/>
              </w:rPr>
            </w:pPr>
            <w:r w:rsidRPr="00A81AB1">
              <w:rPr>
                <w:rFonts w:eastAsiaTheme="minorEastAsia"/>
                <w:color w:val="000000"/>
                <w:sz w:val="20"/>
                <w:szCs w:val="20"/>
              </w:rPr>
              <w:t>Middle</w:t>
            </w:r>
            <w:r>
              <w:rPr>
                <w:rFonts w:eastAsiaTheme="minorEastAsia"/>
                <w:color w:val="000000"/>
                <w:sz w:val="20"/>
                <w:szCs w:val="20"/>
              </w:rPr>
              <w:t xml:space="preserve"> Wealth</w:t>
            </w:r>
          </w:p>
        </w:tc>
        <w:tc>
          <w:tcPr>
            <w:tcW w:w="810" w:type="dxa"/>
            <w:tcBorders>
              <w:top w:val="single" w:sz="12" w:space="0" w:color="auto"/>
              <w:bottom w:val="single" w:sz="12" w:space="0" w:color="auto"/>
            </w:tcBorders>
            <w:shd w:val="clear" w:color="auto" w:fill="auto"/>
            <w:noWrap/>
            <w:vAlign w:val="bottom"/>
            <w:hideMark/>
          </w:tcPr>
          <w:p w14:paraId="2CA5A401" w14:textId="06C69C16" w:rsidR="00A921C0" w:rsidRPr="007927A4" w:rsidRDefault="00206681" w:rsidP="00F12147">
            <w:pPr>
              <w:rPr>
                <w:rFonts w:eastAsiaTheme="minorEastAsia"/>
                <w:color w:val="000000"/>
              </w:rPr>
            </w:pPr>
            <w:r w:rsidRPr="00F12147">
              <w:rPr>
                <w:rFonts w:eastAsiaTheme="minorEastAsia"/>
                <w:bCs/>
                <w:color w:val="000000" w:themeColor="text1"/>
              </w:rPr>
              <w:t>High</w:t>
            </w:r>
            <w:r w:rsidR="00A921C0" w:rsidRPr="7A9D7D5A">
              <w:rPr>
                <w:rFonts w:eastAsiaTheme="minorEastAsia"/>
                <w:b/>
                <w:color w:val="000000" w:themeColor="text1"/>
              </w:rPr>
              <w:t xml:space="preserve"> </w:t>
            </w:r>
            <w:r w:rsidR="00A921C0">
              <w:rPr>
                <w:rFonts w:eastAsiaTheme="minorEastAsia"/>
                <w:color w:val="000000"/>
                <w:sz w:val="20"/>
                <w:szCs w:val="20"/>
              </w:rPr>
              <w:t>Wealth</w:t>
            </w:r>
          </w:p>
        </w:tc>
      </w:tr>
      <w:tr w:rsidR="00A921C0" w:rsidRPr="007927A4" w14:paraId="0C1223CF" w14:textId="77777777" w:rsidTr="6A9E2235">
        <w:trPr>
          <w:trHeight w:val="320"/>
        </w:trPr>
        <w:tc>
          <w:tcPr>
            <w:tcW w:w="1705" w:type="dxa"/>
            <w:shd w:val="clear" w:color="auto" w:fill="auto"/>
            <w:noWrap/>
            <w:vAlign w:val="bottom"/>
          </w:tcPr>
          <w:p w14:paraId="0CF5CE59" w14:textId="0C5EBCA1" w:rsidR="00A921C0" w:rsidRPr="007927A4" w:rsidRDefault="00206681" w:rsidP="004B1105">
            <w:pPr>
              <w:rPr>
                <w:rFonts w:eastAsiaTheme="minorEastAsia"/>
                <w:color w:val="000000"/>
              </w:rPr>
            </w:pPr>
            <w:r>
              <w:rPr>
                <w:rFonts w:eastAsiaTheme="minorEastAsia"/>
                <w:b/>
                <w:color w:val="000000" w:themeColor="text1"/>
              </w:rPr>
              <w:t>Low</w:t>
            </w:r>
            <w:r w:rsidR="00A921C0" w:rsidRPr="7A9D7D5A">
              <w:rPr>
                <w:rFonts w:eastAsiaTheme="minorEastAsia"/>
                <w:b/>
                <w:color w:val="000000" w:themeColor="text1"/>
              </w:rPr>
              <w:t xml:space="preserve"> </w:t>
            </w:r>
            <w:r w:rsidR="00A921C0">
              <w:rPr>
                <w:rFonts w:eastAsiaTheme="minorEastAsia"/>
                <w:b/>
                <w:color w:val="000000" w:themeColor="text1"/>
              </w:rPr>
              <w:t>Income</w:t>
            </w:r>
          </w:p>
        </w:tc>
        <w:tc>
          <w:tcPr>
            <w:tcW w:w="900" w:type="dxa"/>
            <w:tcBorders>
              <w:top w:val="single" w:sz="12" w:space="0" w:color="auto"/>
            </w:tcBorders>
            <w:shd w:val="clear" w:color="auto" w:fill="auto"/>
            <w:noWrap/>
            <w:vAlign w:val="bottom"/>
          </w:tcPr>
          <w:p w14:paraId="4CF9E068" w14:textId="77777777" w:rsidR="00A921C0" w:rsidRPr="007927A4" w:rsidRDefault="00A921C0" w:rsidP="00F12147">
            <w:pPr>
              <w:rPr>
                <w:rFonts w:eastAsiaTheme="minorEastAsia"/>
              </w:rPr>
            </w:pPr>
          </w:p>
        </w:tc>
        <w:tc>
          <w:tcPr>
            <w:tcW w:w="810" w:type="dxa"/>
            <w:tcBorders>
              <w:top w:val="single" w:sz="12" w:space="0" w:color="auto"/>
            </w:tcBorders>
            <w:shd w:val="clear" w:color="auto" w:fill="auto"/>
            <w:noWrap/>
            <w:vAlign w:val="bottom"/>
          </w:tcPr>
          <w:p w14:paraId="2922D8D7" w14:textId="77777777" w:rsidR="00A921C0" w:rsidRPr="007927A4" w:rsidRDefault="00A921C0" w:rsidP="00F12147">
            <w:pPr>
              <w:rPr>
                <w:rFonts w:eastAsiaTheme="minorEastAsia"/>
                <w:b/>
              </w:rPr>
            </w:pPr>
          </w:p>
        </w:tc>
        <w:tc>
          <w:tcPr>
            <w:tcW w:w="815" w:type="dxa"/>
            <w:tcBorders>
              <w:top w:val="single" w:sz="12" w:space="0" w:color="auto"/>
            </w:tcBorders>
            <w:shd w:val="clear" w:color="auto" w:fill="auto"/>
            <w:noWrap/>
            <w:vAlign w:val="bottom"/>
          </w:tcPr>
          <w:p w14:paraId="38E56887" w14:textId="77777777" w:rsidR="00A921C0" w:rsidRPr="007927A4" w:rsidRDefault="00A921C0" w:rsidP="00F12147">
            <w:pPr>
              <w:rPr>
                <w:rFonts w:eastAsiaTheme="minorEastAsia"/>
              </w:rPr>
            </w:pPr>
          </w:p>
        </w:tc>
        <w:tc>
          <w:tcPr>
            <w:tcW w:w="360" w:type="dxa"/>
            <w:tcBorders>
              <w:top w:val="single" w:sz="12" w:space="0" w:color="auto"/>
            </w:tcBorders>
            <w:vAlign w:val="bottom"/>
          </w:tcPr>
          <w:p w14:paraId="53E7D444" w14:textId="77777777" w:rsidR="00A921C0" w:rsidRPr="007927A4" w:rsidRDefault="00A921C0" w:rsidP="00F12147">
            <w:pPr>
              <w:rPr>
                <w:rFonts w:eastAsiaTheme="minorEastAsia"/>
              </w:rPr>
            </w:pPr>
          </w:p>
        </w:tc>
        <w:tc>
          <w:tcPr>
            <w:tcW w:w="900" w:type="dxa"/>
            <w:tcBorders>
              <w:top w:val="single" w:sz="12" w:space="0" w:color="auto"/>
            </w:tcBorders>
            <w:shd w:val="clear" w:color="auto" w:fill="auto"/>
            <w:noWrap/>
            <w:vAlign w:val="bottom"/>
          </w:tcPr>
          <w:p w14:paraId="7FC70AA4" w14:textId="77777777" w:rsidR="00A921C0" w:rsidRPr="007927A4" w:rsidRDefault="00A921C0" w:rsidP="00F12147">
            <w:pPr>
              <w:rPr>
                <w:rFonts w:eastAsiaTheme="minorEastAsia"/>
              </w:rPr>
            </w:pPr>
          </w:p>
        </w:tc>
        <w:tc>
          <w:tcPr>
            <w:tcW w:w="900" w:type="dxa"/>
            <w:tcBorders>
              <w:top w:val="single" w:sz="12" w:space="0" w:color="auto"/>
            </w:tcBorders>
            <w:shd w:val="clear" w:color="auto" w:fill="auto"/>
            <w:noWrap/>
            <w:vAlign w:val="bottom"/>
          </w:tcPr>
          <w:p w14:paraId="11F042E5" w14:textId="77777777" w:rsidR="00A921C0" w:rsidRPr="007927A4" w:rsidRDefault="00A921C0" w:rsidP="00F12147">
            <w:pPr>
              <w:rPr>
                <w:rFonts w:eastAsiaTheme="minorEastAsia"/>
              </w:rPr>
            </w:pPr>
          </w:p>
        </w:tc>
        <w:tc>
          <w:tcPr>
            <w:tcW w:w="813" w:type="dxa"/>
            <w:tcBorders>
              <w:top w:val="single" w:sz="12" w:space="0" w:color="auto"/>
            </w:tcBorders>
            <w:shd w:val="clear" w:color="auto" w:fill="auto"/>
            <w:noWrap/>
            <w:vAlign w:val="bottom"/>
          </w:tcPr>
          <w:p w14:paraId="494314B2" w14:textId="77777777" w:rsidR="00A921C0" w:rsidRPr="007927A4" w:rsidRDefault="00A921C0" w:rsidP="00F12147">
            <w:pPr>
              <w:rPr>
                <w:rFonts w:eastAsiaTheme="minorEastAsia"/>
              </w:rPr>
            </w:pPr>
          </w:p>
        </w:tc>
        <w:tc>
          <w:tcPr>
            <w:tcW w:w="270" w:type="dxa"/>
            <w:tcBorders>
              <w:top w:val="single" w:sz="12" w:space="0" w:color="auto"/>
            </w:tcBorders>
            <w:vAlign w:val="bottom"/>
          </w:tcPr>
          <w:p w14:paraId="2D7DD1C6" w14:textId="77777777" w:rsidR="00A921C0" w:rsidRPr="007927A4" w:rsidRDefault="00A921C0" w:rsidP="00F12147">
            <w:pPr>
              <w:rPr>
                <w:rFonts w:eastAsiaTheme="minorEastAsia"/>
                <w:b/>
              </w:rPr>
            </w:pPr>
          </w:p>
        </w:tc>
        <w:tc>
          <w:tcPr>
            <w:tcW w:w="900" w:type="dxa"/>
            <w:tcBorders>
              <w:top w:val="single" w:sz="12" w:space="0" w:color="auto"/>
            </w:tcBorders>
            <w:shd w:val="clear" w:color="auto" w:fill="auto"/>
            <w:noWrap/>
            <w:vAlign w:val="bottom"/>
          </w:tcPr>
          <w:p w14:paraId="4EE55BFD" w14:textId="77777777" w:rsidR="00A921C0" w:rsidRPr="007927A4" w:rsidRDefault="00A921C0" w:rsidP="00F12147">
            <w:pPr>
              <w:rPr>
                <w:rFonts w:eastAsiaTheme="minorEastAsia"/>
                <w:b/>
              </w:rPr>
            </w:pPr>
          </w:p>
        </w:tc>
        <w:tc>
          <w:tcPr>
            <w:tcW w:w="810" w:type="dxa"/>
            <w:tcBorders>
              <w:top w:val="single" w:sz="12" w:space="0" w:color="auto"/>
            </w:tcBorders>
            <w:shd w:val="clear" w:color="auto" w:fill="auto"/>
            <w:noWrap/>
            <w:vAlign w:val="bottom"/>
          </w:tcPr>
          <w:p w14:paraId="5006E88D" w14:textId="77777777" w:rsidR="00A921C0" w:rsidRPr="007927A4" w:rsidRDefault="00A921C0" w:rsidP="00F12147">
            <w:pPr>
              <w:rPr>
                <w:rFonts w:eastAsiaTheme="minorEastAsia"/>
              </w:rPr>
            </w:pPr>
          </w:p>
        </w:tc>
        <w:tc>
          <w:tcPr>
            <w:tcW w:w="810" w:type="dxa"/>
            <w:tcBorders>
              <w:top w:val="single" w:sz="12" w:space="0" w:color="auto"/>
            </w:tcBorders>
            <w:shd w:val="clear" w:color="auto" w:fill="auto"/>
            <w:noWrap/>
            <w:vAlign w:val="bottom"/>
          </w:tcPr>
          <w:p w14:paraId="34145BCA" w14:textId="77777777" w:rsidR="00A921C0" w:rsidRPr="007927A4" w:rsidRDefault="00A921C0" w:rsidP="00F12147">
            <w:pPr>
              <w:rPr>
                <w:rFonts w:eastAsiaTheme="minorEastAsia"/>
              </w:rPr>
            </w:pPr>
          </w:p>
        </w:tc>
      </w:tr>
      <w:tr w:rsidR="00A921C0" w:rsidRPr="007927A4" w14:paraId="729EFD15" w14:textId="77777777" w:rsidTr="6A9E2235">
        <w:trPr>
          <w:trHeight w:val="320"/>
        </w:trPr>
        <w:tc>
          <w:tcPr>
            <w:tcW w:w="1705" w:type="dxa"/>
            <w:shd w:val="clear" w:color="auto" w:fill="auto"/>
            <w:noWrap/>
            <w:vAlign w:val="bottom"/>
          </w:tcPr>
          <w:p w14:paraId="2EF4845B" w14:textId="77777777" w:rsidR="00A921C0" w:rsidRPr="007927A4" w:rsidRDefault="00A921C0" w:rsidP="004B1105">
            <w:pPr>
              <w:rPr>
                <w:rFonts w:eastAsiaTheme="minorEastAsia"/>
                <w:color w:val="000000"/>
              </w:rPr>
            </w:pPr>
            <w:r w:rsidRPr="7A9D7D5A">
              <w:rPr>
                <w:rFonts w:eastAsiaTheme="minorEastAsia"/>
                <w:color w:val="000000" w:themeColor="text1"/>
              </w:rPr>
              <w:t>Black</w:t>
            </w:r>
          </w:p>
        </w:tc>
        <w:tc>
          <w:tcPr>
            <w:tcW w:w="900" w:type="dxa"/>
            <w:shd w:val="clear" w:color="auto" w:fill="E7E6E6" w:themeFill="background2"/>
            <w:noWrap/>
            <w:vAlign w:val="bottom"/>
          </w:tcPr>
          <w:p w14:paraId="75866DD3" w14:textId="77777777" w:rsidR="00A921C0" w:rsidRPr="007927A4" w:rsidRDefault="00A921C0" w:rsidP="00F12147">
            <w:pPr>
              <w:rPr>
                <w:rFonts w:eastAsiaTheme="minorEastAsia"/>
              </w:rPr>
            </w:pPr>
            <w:r w:rsidRPr="7A9D7D5A">
              <w:rPr>
                <w:rFonts w:eastAsiaTheme="minorEastAsia"/>
                <w:color w:val="000000" w:themeColor="text1"/>
              </w:rPr>
              <w:t>49.3</w:t>
            </w:r>
            <w:r>
              <w:rPr>
                <w:rFonts w:eastAsiaTheme="minorEastAsia"/>
                <w:color w:val="000000" w:themeColor="text1"/>
              </w:rPr>
              <w:t>%</w:t>
            </w:r>
          </w:p>
        </w:tc>
        <w:tc>
          <w:tcPr>
            <w:tcW w:w="810" w:type="dxa"/>
            <w:shd w:val="clear" w:color="auto" w:fill="E7E6E6" w:themeFill="background2"/>
            <w:noWrap/>
            <w:vAlign w:val="bottom"/>
          </w:tcPr>
          <w:p w14:paraId="41301E87" w14:textId="77777777" w:rsidR="00A921C0" w:rsidRPr="00FC28F1" w:rsidRDefault="00A921C0" w:rsidP="00F12147">
            <w:pPr>
              <w:rPr>
                <w:rFonts w:eastAsiaTheme="minorEastAsia"/>
                <w:b/>
              </w:rPr>
            </w:pPr>
            <w:r w:rsidRPr="7A9D7D5A">
              <w:rPr>
                <w:rFonts w:eastAsiaTheme="minorEastAsia"/>
                <w:b/>
                <w:color w:val="000000" w:themeColor="text1"/>
              </w:rPr>
              <w:t>73.5</w:t>
            </w:r>
            <w:r>
              <w:rPr>
                <w:rFonts w:eastAsiaTheme="minorEastAsia"/>
                <w:color w:val="000000" w:themeColor="text1"/>
              </w:rPr>
              <w:t>%</w:t>
            </w:r>
          </w:p>
        </w:tc>
        <w:tc>
          <w:tcPr>
            <w:tcW w:w="815" w:type="dxa"/>
            <w:shd w:val="clear" w:color="auto" w:fill="E7E6E6" w:themeFill="background2"/>
            <w:noWrap/>
            <w:vAlign w:val="bottom"/>
          </w:tcPr>
          <w:p w14:paraId="6E100A04" w14:textId="77777777" w:rsidR="00A921C0" w:rsidRPr="007927A4" w:rsidRDefault="00A921C0" w:rsidP="00F12147">
            <w:pPr>
              <w:rPr>
                <w:rFonts w:eastAsiaTheme="minorEastAsia"/>
              </w:rPr>
            </w:pPr>
            <w:r w:rsidRPr="7A9D7D5A">
              <w:rPr>
                <w:rFonts w:eastAsiaTheme="minorEastAsia"/>
                <w:color w:val="000000" w:themeColor="text1"/>
              </w:rPr>
              <w:t>82.9</w:t>
            </w:r>
            <w:r>
              <w:rPr>
                <w:rFonts w:eastAsiaTheme="minorEastAsia"/>
                <w:color w:val="000000" w:themeColor="text1"/>
              </w:rPr>
              <w:t>%</w:t>
            </w:r>
          </w:p>
        </w:tc>
        <w:tc>
          <w:tcPr>
            <w:tcW w:w="360" w:type="dxa"/>
            <w:vAlign w:val="bottom"/>
          </w:tcPr>
          <w:p w14:paraId="785D27A5" w14:textId="77777777" w:rsidR="00A921C0" w:rsidRPr="7A9D7D5A" w:rsidRDefault="00A921C0" w:rsidP="00F12147">
            <w:pPr>
              <w:rPr>
                <w:rFonts w:eastAsiaTheme="minorEastAsia"/>
                <w:color w:val="000000" w:themeColor="text1"/>
              </w:rPr>
            </w:pPr>
          </w:p>
        </w:tc>
        <w:tc>
          <w:tcPr>
            <w:tcW w:w="900" w:type="dxa"/>
            <w:shd w:val="clear" w:color="auto" w:fill="auto"/>
            <w:noWrap/>
            <w:vAlign w:val="bottom"/>
          </w:tcPr>
          <w:p w14:paraId="28C6F03C" w14:textId="77777777" w:rsidR="00A921C0" w:rsidRPr="007927A4" w:rsidRDefault="00A921C0" w:rsidP="00F12147">
            <w:pPr>
              <w:rPr>
                <w:rFonts w:eastAsiaTheme="minorEastAsia"/>
              </w:rPr>
            </w:pPr>
            <w:r w:rsidRPr="7A9D7D5A">
              <w:rPr>
                <w:rFonts w:eastAsiaTheme="minorEastAsia"/>
                <w:color w:val="000000" w:themeColor="text1"/>
              </w:rPr>
              <w:t>23.4</w:t>
            </w:r>
            <w:r>
              <w:rPr>
                <w:rFonts w:eastAsiaTheme="minorEastAsia"/>
                <w:color w:val="000000" w:themeColor="text1"/>
              </w:rPr>
              <w:t>%</w:t>
            </w:r>
          </w:p>
        </w:tc>
        <w:tc>
          <w:tcPr>
            <w:tcW w:w="900" w:type="dxa"/>
            <w:shd w:val="clear" w:color="auto" w:fill="auto"/>
            <w:noWrap/>
            <w:vAlign w:val="bottom"/>
          </w:tcPr>
          <w:p w14:paraId="72FAFB0C" w14:textId="77777777" w:rsidR="00A921C0" w:rsidRPr="007927A4" w:rsidRDefault="00A921C0" w:rsidP="00F12147">
            <w:pPr>
              <w:rPr>
                <w:rFonts w:eastAsiaTheme="minorEastAsia"/>
              </w:rPr>
            </w:pPr>
            <w:r w:rsidRPr="7A9D7D5A">
              <w:rPr>
                <w:rFonts w:eastAsiaTheme="minorEastAsia"/>
                <w:color w:val="000000" w:themeColor="text1"/>
              </w:rPr>
              <w:t>18.2</w:t>
            </w:r>
            <w:r>
              <w:rPr>
                <w:rFonts w:eastAsiaTheme="minorEastAsia"/>
                <w:color w:val="000000" w:themeColor="text1"/>
              </w:rPr>
              <w:t>%</w:t>
            </w:r>
          </w:p>
        </w:tc>
        <w:tc>
          <w:tcPr>
            <w:tcW w:w="813" w:type="dxa"/>
            <w:shd w:val="clear" w:color="auto" w:fill="auto"/>
            <w:noWrap/>
            <w:vAlign w:val="bottom"/>
          </w:tcPr>
          <w:p w14:paraId="217DDF9E" w14:textId="77777777" w:rsidR="00A921C0" w:rsidRPr="007927A4" w:rsidRDefault="00A921C0" w:rsidP="00F12147">
            <w:pPr>
              <w:rPr>
                <w:rFonts w:eastAsiaTheme="minorEastAsia"/>
              </w:rPr>
            </w:pPr>
            <w:r w:rsidRPr="7A9D7D5A">
              <w:rPr>
                <w:rFonts w:eastAsiaTheme="minorEastAsia"/>
                <w:color w:val="000000" w:themeColor="text1"/>
              </w:rPr>
              <w:t>45.8</w:t>
            </w:r>
            <w:r>
              <w:rPr>
                <w:rFonts w:eastAsiaTheme="minorEastAsia"/>
                <w:color w:val="000000" w:themeColor="text1"/>
              </w:rPr>
              <w:t>%</w:t>
            </w:r>
          </w:p>
        </w:tc>
        <w:tc>
          <w:tcPr>
            <w:tcW w:w="270" w:type="dxa"/>
            <w:vAlign w:val="bottom"/>
          </w:tcPr>
          <w:p w14:paraId="74F86538" w14:textId="77777777" w:rsidR="00A921C0" w:rsidRPr="7A9D7D5A" w:rsidRDefault="00A921C0" w:rsidP="00F12147">
            <w:pPr>
              <w:rPr>
                <w:rFonts w:eastAsiaTheme="minorEastAsia"/>
                <w:b/>
                <w:color w:val="000000" w:themeColor="text1"/>
              </w:rPr>
            </w:pPr>
          </w:p>
        </w:tc>
        <w:tc>
          <w:tcPr>
            <w:tcW w:w="900" w:type="dxa"/>
            <w:shd w:val="clear" w:color="auto" w:fill="auto"/>
            <w:noWrap/>
            <w:vAlign w:val="bottom"/>
          </w:tcPr>
          <w:p w14:paraId="785017B7" w14:textId="77777777" w:rsidR="00A921C0" w:rsidRPr="00E42F35" w:rsidRDefault="00A921C0" w:rsidP="00F12147">
            <w:pPr>
              <w:rPr>
                <w:rFonts w:eastAsiaTheme="minorEastAsia"/>
                <w:b/>
              </w:rPr>
            </w:pPr>
            <w:r w:rsidRPr="7A9D7D5A">
              <w:rPr>
                <w:rFonts w:eastAsiaTheme="minorEastAsia"/>
                <w:b/>
                <w:color w:val="000000" w:themeColor="text1"/>
              </w:rPr>
              <w:t>61.9</w:t>
            </w:r>
            <w:r>
              <w:rPr>
                <w:rFonts w:eastAsiaTheme="minorEastAsia"/>
                <w:b/>
                <w:color w:val="000000" w:themeColor="text1"/>
              </w:rPr>
              <w:t>%</w:t>
            </w:r>
          </w:p>
        </w:tc>
        <w:tc>
          <w:tcPr>
            <w:tcW w:w="810" w:type="dxa"/>
            <w:shd w:val="clear" w:color="auto" w:fill="auto"/>
            <w:noWrap/>
            <w:vAlign w:val="bottom"/>
          </w:tcPr>
          <w:p w14:paraId="33AAC9C8" w14:textId="77777777" w:rsidR="00A921C0" w:rsidRPr="007927A4" w:rsidRDefault="00A921C0" w:rsidP="00F12147">
            <w:pPr>
              <w:rPr>
                <w:rFonts w:eastAsiaTheme="minorEastAsia"/>
              </w:rPr>
            </w:pPr>
            <w:r w:rsidRPr="7A9D7D5A">
              <w:rPr>
                <w:rFonts w:eastAsiaTheme="minorEastAsia"/>
                <w:color w:val="000000" w:themeColor="text1"/>
              </w:rPr>
              <w:t>51.2</w:t>
            </w:r>
            <w:r>
              <w:rPr>
                <w:rFonts w:eastAsiaTheme="minorEastAsia"/>
                <w:color w:val="000000" w:themeColor="text1"/>
              </w:rPr>
              <w:t>%</w:t>
            </w:r>
          </w:p>
        </w:tc>
        <w:tc>
          <w:tcPr>
            <w:tcW w:w="810" w:type="dxa"/>
            <w:shd w:val="clear" w:color="auto" w:fill="auto"/>
            <w:noWrap/>
            <w:vAlign w:val="bottom"/>
          </w:tcPr>
          <w:p w14:paraId="3A0BD2B3" w14:textId="77777777" w:rsidR="00A921C0" w:rsidRPr="007927A4" w:rsidRDefault="00A921C0" w:rsidP="00F12147">
            <w:pPr>
              <w:rPr>
                <w:rFonts w:eastAsiaTheme="minorEastAsia"/>
              </w:rPr>
            </w:pPr>
            <w:r w:rsidRPr="7A9D7D5A">
              <w:rPr>
                <w:rFonts w:eastAsiaTheme="minorEastAsia"/>
                <w:color w:val="000000" w:themeColor="text1"/>
              </w:rPr>
              <w:t>50.8</w:t>
            </w:r>
            <w:r>
              <w:rPr>
                <w:rFonts w:eastAsiaTheme="minorEastAsia"/>
                <w:color w:val="000000" w:themeColor="text1"/>
              </w:rPr>
              <w:t>%</w:t>
            </w:r>
          </w:p>
        </w:tc>
      </w:tr>
      <w:tr w:rsidR="00A921C0" w:rsidRPr="007927A4" w14:paraId="19A68DB2" w14:textId="77777777" w:rsidTr="6A9E2235">
        <w:trPr>
          <w:trHeight w:val="320"/>
        </w:trPr>
        <w:tc>
          <w:tcPr>
            <w:tcW w:w="1705" w:type="dxa"/>
            <w:shd w:val="clear" w:color="auto" w:fill="auto"/>
            <w:noWrap/>
            <w:vAlign w:val="bottom"/>
          </w:tcPr>
          <w:p w14:paraId="58600996" w14:textId="77777777" w:rsidR="00A921C0" w:rsidRPr="007927A4" w:rsidRDefault="00A921C0" w:rsidP="004B1105">
            <w:pPr>
              <w:rPr>
                <w:rFonts w:eastAsiaTheme="minorEastAsia"/>
                <w:color w:val="000000"/>
              </w:rPr>
            </w:pPr>
            <w:r w:rsidRPr="7A9D7D5A">
              <w:rPr>
                <w:rFonts w:eastAsiaTheme="minorEastAsia"/>
                <w:color w:val="000000" w:themeColor="text1"/>
              </w:rPr>
              <w:t>Latinx</w:t>
            </w:r>
          </w:p>
        </w:tc>
        <w:tc>
          <w:tcPr>
            <w:tcW w:w="900" w:type="dxa"/>
            <w:shd w:val="clear" w:color="auto" w:fill="auto"/>
            <w:noWrap/>
            <w:vAlign w:val="bottom"/>
          </w:tcPr>
          <w:p w14:paraId="775C9C2D" w14:textId="77777777" w:rsidR="00A921C0" w:rsidRPr="007927A4" w:rsidRDefault="00A921C0" w:rsidP="00F12147">
            <w:pPr>
              <w:rPr>
                <w:rFonts w:eastAsiaTheme="minorEastAsia"/>
              </w:rPr>
            </w:pPr>
            <w:r w:rsidRPr="7A9D7D5A">
              <w:rPr>
                <w:rFonts w:eastAsiaTheme="minorEastAsia"/>
                <w:color w:val="000000" w:themeColor="text1"/>
              </w:rPr>
              <w:t>63.8</w:t>
            </w:r>
            <w:r>
              <w:rPr>
                <w:rFonts w:eastAsiaTheme="minorEastAsia"/>
                <w:color w:val="000000" w:themeColor="text1"/>
              </w:rPr>
              <w:t>%</w:t>
            </w:r>
          </w:p>
        </w:tc>
        <w:tc>
          <w:tcPr>
            <w:tcW w:w="810" w:type="dxa"/>
            <w:shd w:val="clear" w:color="auto" w:fill="auto"/>
            <w:noWrap/>
            <w:vAlign w:val="bottom"/>
          </w:tcPr>
          <w:p w14:paraId="36E05EA3" w14:textId="77777777" w:rsidR="00A921C0" w:rsidRPr="00FC28F1" w:rsidRDefault="00A921C0" w:rsidP="00F12147">
            <w:pPr>
              <w:rPr>
                <w:rFonts w:eastAsiaTheme="minorEastAsia"/>
                <w:b/>
              </w:rPr>
            </w:pPr>
            <w:r w:rsidRPr="7A9D7D5A">
              <w:rPr>
                <w:rFonts w:eastAsiaTheme="minorEastAsia"/>
                <w:b/>
                <w:color w:val="000000" w:themeColor="text1"/>
              </w:rPr>
              <w:t>72.0</w:t>
            </w:r>
            <w:r>
              <w:rPr>
                <w:rFonts w:eastAsiaTheme="minorEastAsia"/>
                <w:color w:val="000000" w:themeColor="text1"/>
              </w:rPr>
              <w:t>%</w:t>
            </w:r>
          </w:p>
        </w:tc>
        <w:tc>
          <w:tcPr>
            <w:tcW w:w="815" w:type="dxa"/>
            <w:shd w:val="clear" w:color="auto" w:fill="auto"/>
            <w:noWrap/>
            <w:vAlign w:val="bottom"/>
          </w:tcPr>
          <w:p w14:paraId="589B6975" w14:textId="77777777" w:rsidR="00A921C0" w:rsidRPr="007927A4" w:rsidRDefault="00A921C0" w:rsidP="00F12147">
            <w:pPr>
              <w:rPr>
                <w:rFonts w:eastAsiaTheme="minorEastAsia"/>
              </w:rPr>
            </w:pPr>
            <w:r w:rsidRPr="7A9D7D5A">
              <w:rPr>
                <w:rFonts w:eastAsiaTheme="minorEastAsia"/>
                <w:color w:val="000000" w:themeColor="text1"/>
              </w:rPr>
              <w:t>83.0</w:t>
            </w:r>
            <w:r>
              <w:rPr>
                <w:rFonts w:eastAsiaTheme="minorEastAsia"/>
                <w:color w:val="000000" w:themeColor="text1"/>
              </w:rPr>
              <w:t>%</w:t>
            </w:r>
          </w:p>
        </w:tc>
        <w:tc>
          <w:tcPr>
            <w:tcW w:w="360" w:type="dxa"/>
            <w:vAlign w:val="bottom"/>
          </w:tcPr>
          <w:p w14:paraId="5D2989F7" w14:textId="77777777" w:rsidR="00A921C0" w:rsidRPr="7A9D7D5A" w:rsidRDefault="00A921C0" w:rsidP="00F12147">
            <w:pPr>
              <w:rPr>
                <w:rFonts w:eastAsiaTheme="minorEastAsia"/>
                <w:color w:val="000000" w:themeColor="text1"/>
              </w:rPr>
            </w:pPr>
          </w:p>
        </w:tc>
        <w:tc>
          <w:tcPr>
            <w:tcW w:w="900" w:type="dxa"/>
            <w:shd w:val="clear" w:color="auto" w:fill="auto"/>
            <w:noWrap/>
            <w:vAlign w:val="bottom"/>
          </w:tcPr>
          <w:p w14:paraId="1D9EA81E" w14:textId="77777777" w:rsidR="00A921C0" w:rsidRPr="007927A4" w:rsidRDefault="00A921C0" w:rsidP="00F12147">
            <w:pPr>
              <w:rPr>
                <w:rFonts w:eastAsiaTheme="minorEastAsia"/>
              </w:rPr>
            </w:pPr>
            <w:r w:rsidRPr="7A9D7D5A">
              <w:rPr>
                <w:rFonts w:eastAsiaTheme="minorEastAsia"/>
                <w:color w:val="000000" w:themeColor="text1"/>
              </w:rPr>
              <w:t>46.6</w:t>
            </w:r>
            <w:r>
              <w:rPr>
                <w:rFonts w:eastAsiaTheme="minorEastAsia"/>
                <w:color w:val="000000" w:themeColor="text1"/>
              </w:rPr>
              <w:t>%</w:t>
            </w:r>
          </w:p>
        </w:tc>
        <w:tc>
          <w:tcPr>
            <w:tcW w:w="900" w:type="dxa"/>
            <w:shd w:val="clear" w:color="auto" w:fill="auto"/>
            <w:noWrap/>
            <w:vAlign w:val="bottom"/>
          </w:tcPr>
          <w:p w14:paraId="6AA44323" w14:textId="77777777" w:rsidR="00A921C0" w:rsidRPr="007927A4" w:rsidRDefault="00A921C0" w:rsidP="00F12147">
            <w:pPr>
              <w:rPr>
                <w:rFonts w:eastAsiaTheme="minorEastAsia"/>
              </w:rPr>
            </w:pPr>
            <w:r w:rsidRPr="7A9D7D5A">
              <w:rPr>
                <w:rFonts w:eastAsiaTheme="minorEastAsia"/>
                <w:color w:val="000000" w:themeColor="text1"/>
              </w:rPr>
              <w:t>29.5</w:t>
            </w:r>
            <w:r>
              <w:rPr>
                <w:rFonts w:eastAsiaTheme="minorEastAsia"/>
                <w:color w:val="000000" w:themeColor="text1"/>
              </w:rPr>
              <w:t>%</w:t>
            </w:r>
          </w:p>
        </w:tc>
        <w:tc>
          <w:tcPr>
            <w:tcW w:w="813" w:type="dxa"/>
            <w:shd w:val="clear" w:color="auto" w:fill="auto"/>
            <w:noWrap/>
            <w:vAlign w:val="bottom"/>
          </w:tcPr>
          <w:p w14:paraId="3AB0976B" w14:textId="77777777" w:rsidR="00A921C0" w:rsidRPr="007927A4" w:rsidRDefault="00A921C0" w:rsidP="00F12147">
            <w:pPr>
              <w:rPr>
                <w:rFonts w:eastAsiaTheme="minorEastAsia"/>
              </w:rPr>
            </w:pPr>
            <w:r w:rsidRPr="7A9D7D5A">
              <w:rPr>
                <w:rFonts w:eastAsiaTheme="minorEastAsia"/>
                <w:color w:val="000000" w:themeColor="text1"/>
              </w:rPr>
              <w:t>24.9</w:t>
            </w:r>
            <w:r>
              <w:rPr>
                <w:rFonts w:eastAsiaTheme="minorEastAsia"/>
                <w:color w:val="000000" w:themeColor="text1"/>
              </w:rPr>
              <w:t>%</w:t>
            </w:r>
          </w:p>
        </w:tc>
        <w:tc>
          <w:tcPr>
            <w:tcW w:w="270" w:type="dxa"/>
            <w:vAlign w:val="bottom"/>
          </w:tcPr>
          <w:p w14:paraId="23ADA775" w14:textId="77777777" w:rsidR="00A921C0" w:rsidRPr="7A9D7D5A" w:rsidRDefault="00A921C0" w:rsidP="00F12147">
            <w:pPr>
              <w:rPr>
                <w:rFonts w:eastAsiaTheme="minorEastAsia"/>
                <w:b/>
                <w:color w:val="000000" w:themeColor="text1"/>
              </w:rPr>
            </w:pPr>
          </w:p>
        </w:tc>
        <w:tc>
          <w:tcPr>
            <w:tcW w:w="900" w:type="dxa"/>
            <w:shd w:val="clear" w:color="auto" w:fill="auto"/>
            <w:noWrap/>
            <w:vAlign w:val="bottom"/>
          </w:tcPr>
          <w:p w14:paraId="57FE0733" w14:textId="77777777" w:rsidR="00A921C0" w:rsidRPr="00E42F35" w:rsidRDefault="00A921C0" w:rsidP="00F12147">
            <w:pPr>
              <w:rPr>
                <w:rFonts w:eastAsiaTheme="minorEastAsia"/>
                <w:b/>
              </w:rPr>
            </w:pPr>
            <w:r w:rsidRPr="7A9D7D5A">
              <w:rPr>
                <w:rFonts w:eastAsiaTheme="minorEastAsia"/>
                <w:b/>
                <w:color w:val="000000" w:themeColor="text1"/>
              </w:rPr>
              <w:t>39.4</w:t>
            </w:r>
            <w:r>
              <w:rPr>
                <w:rFonts w:eastAsiaTheme="minorEastAsia"/>
                <w:b/>
                <w:color w:val="000000" w:themeColor="text1"/>
              </w:rPr>
              <w:t>%</w:t>
            </w:r>
          </w:p>
        </w:tc>
        <w:tc>
          <w:tcPr>
            <w:tcW w:w="810" w:type="dxa"/>
            <w:shd w:val="clear" w:color="auto" w:fill="auto"/>
            <w:noWrap/>
            <w:vAlign w:val="bottom"/>
          </w:tcPr>
          <w:p w14:paraId="4767053F" w14:textId="77777777" w:rsidR="00A921C0" w:rsidRPr="007927A4" w:rsidRDefault="00A921C0" w:rsidP="00F12147">
            <w:pPr>
              <w:rPr>
                <w:rFonts w:eastAsiaTheme="minorEastAsia"/>
              </w:rPr>
            </w:pPr>
            <w:r w:rsidRPr="7A9D7D5A">
              <w:rPr>
                <w:rFonts w:eastAsiaTheme="minorEastAsia"/>
                <w:color w:val="000000" w:themeColor="text1"/>
              </w:rPr>
              <w:t>55.4</w:t>
            </w:r>
            <w:r>
              <w:rPr>
                <w:rFonts w:eastAsiaTheme="minorEastAsia"/>
                <w:color w:val="000000" w:themeColor="text1"/>
              </w:rPr>
              <w:t>%</w:t>
            </w:r>
          </w:p>
        </w:tc>
        <w:tc>
          <w:tcPr>
            <w:tcW w:w="810" w:type="dxa"/>
            <w:shd w:val="clear" w:color="auto" w:fill="auto"/>
            <w:noWrap/>
            <w:vAlign w:val="bottom"/>
          </w:tcPr>
          <w:p w14:paraId="564113EF" w14:textId="77777777" w:rsidR="00A921C0" w:rsidRPr="007927A4" w:rsidRDefault="00A921C0" w:rsidP="00F12147">
            <w:pPr>
              <w:rPr>
                <w:rFonts w:eastAsiaTheme="minorEastAsia"/>
              </w:rPr>
            </w:pPr>
            <w:r w:rsidRPr="7A9D7D5A">
              <w:rPr>
                <w:rFonts w:eastAsiaTheme="minorEastAsia"/>
                <w:color w:val="000000" w:themeColor="text1"/>
              </w:rPr>
              <w:t>36.1</w:t>
            </w:r>
            <w:r>
              <w:rPr>
                <w:rFonts w:eastAsiaTheme="minorEastAsia"/>
                <w:color w:val="000000" w:themeColor="text1"/>
              </w:rPr>
              <w:t>%</w:t>
            </w:r>
          </w:p>
        </w:tc>
      </w:tr>
      <w:tr w:rsidR="00A921C0" w:rsidRPr="007927A4" w14:paraId="7248CEEE" w14:textId="77777777" w:rsidTr="6A9E2235">
        <w:trPr>
          <w:trHeight w:val="320"/>
        </w:trPr>
        <w:tc>
          <w:tcPr>
            <w:tcW w:w="1705" w:type="dxa"/>
            <w:shd w:val="clear" w:color="auto" w:fill="auto"/>
            <w:noWrap/>
            <w:vAlign w:val="bottom"/>
          </w:tcPr>
          <w:p w14:paraId="25969F49" w14:textId="77777777" w:rsidR="00A921C0" w:rsidRPr="007927A4" w:rsidRDefault="00A921C0" w:rsidP="004B1105">
            <w:pPr>
              <w:rPr>
                <w:rFonts w:eastAsiaTheme="minorEastAsia"/>
                <w:color w:val="000000"/>
              </w:rPr>
            </w:pPr>
            <w:r w:rsidRPr="7A9D7D5A">
              <w:rPr>
                <w:rFonts w:eastAsiaTheme="minorEastAsia"/>
                <w:color w:val="000000" w:themeColor="text1"/>
              </w:rPr>
              <w:t>White</w:t>
            </w:r>
          </w:p>
        </w:tc>
        <w:tc>
          <w:tcPr>
            <w:tcW w:w="900" w:type="dxa"/>
            <w:shd w:val="clear" w:color="auto" w:fill="auto"/>
            <w:noWrap/>
            <w:vAlign w:val="bottom"/>
          </w:tcPr>
          <w:p w14:paraId="1E698126" w14:textId="77777777" w:rsidR="00A921C0" w:rsidRPr="007927A4" w:rsidRDefault="00A921C0" w:rsidP="00F12147">
            <w:pPr>
              <w:rPr>
                <w:rFonts w:eastAsiaTheme="minorEastAsia"/>
              </w:rPr>
            </w:pPr>
            <w:r w:rsidRPr="7A9D7D5A">
              <w:rPr>
                <w:rFonts w:eastAsiaTheme="minorEastAsia"/>
                <w:color w:val="000000" w:themeColor="text1"/>
              </w:rPr>
              <w:t>46.0</w:t>
            </w:r>
            <w:r>
              <w:rPr>
                <w:rFonts w:eastAsiaTheme="minorEastAsia"/>
                <w:color w:val="000000" w:themeColor="text1"/>
              </w:rPr>
              <w:t>%</w:t>
            </w:r>
          </w:p>
        </w:tc>
        <w:tc>
          <w:tcPr>
            <w:tcW w:w="810" w:type="dxa"/>
            <w:shd w:val="clear" w:color="auto" w:fill="auto"/>
            <w:noWrap/>
            <w:vAlign w:val="bottom"/>
          </w:tcPr>
          <w:p w14:paraId="508C492C" w14:textId="77777777" w:rsidR="00A921C0" w:rsidRPr="00FC28F1" w:rsidRDefault="00A921C0" w:rsidP="00F12147">
            <w:pPr>
              <w:rPr>
                <w:rFonts w:eastAsiaTheme="minorEastAsia"/>
                <w:b/>
              </w:rPr>
            </w:pPr>
            <w:r w:rsidRPr="7A9D7D5A">
              <w:rPr>
                <w:rFonts w:eastAsiaTheme="minorEastAsia"/>
                <w:b/>
                <w:color w:val="000000" w:themeColor="text1"/>
              </w:rPr>
              <w:t>52.7</w:t>
            </w:r>
            <w:r>
              <w:rPr>
                <w:rFonts w:eastAsiaTheme="minorEastAsia"/>
                <w:color w:val="000000" w:themeColor="text1"/>
              </w:rPr>
              <w:t>%</w:t>
            </w:r>
          </w:p>
        </w:tc>
        <w:tc>
          <w:tcPr>
            <w:tcW w:w="815" w:type="dxa"/>
            <w:shd w:val="clear" w:color="auto" w:fill="auto"/>
            <w:noWrap/>
            <w:vAlign w:val="bottom"/>
          </w:tcPr>
          <w:p w14:paraId="30E009EE" w14:textId="77777777" w:rsidR="00A921C0" w:rsidRPr="007927A4" w:rsidRDefault="00A921C0" w:rsidP="00F12147">
            <w:pPr>
              <w:rPr>
                <w:rFonts w:eastAsiaTheme="minorEastAsia"/>
              </w:rPr>
            </w:pPr>
            <w:r w:rsidRPr="7A9D7D5A">
              <w:rPr>
                <w:rFonts w:eastAsiaTheme="minorEastAsia"/>
                <w:color w:val="000000" w:themeColor="text1"/>
              </w:rPr>
              <w:t>-</w:t>
            </w:r>
          </w:p>
        </w:tc>
        <w:tc>
          <w:tcPr>
            <w:tcW w:w="360" w:type="dxa"/>
            <w:vAlign w:val="bottom"/>
          </w:tcPr>
          <w:p w14:paraId="1DE9CD59" w14:textId="77777777" w:rsidR="00A921C0" w:rsidRPr="7A9D7D5A" w:rsidRDefault="00A921C0" w:rsidP="00F12147">
            <w:pPr>
              <w:rPr>
                <w:rFonts w:eastAsiaTheme="minorEastAsia"/>
                <w:color w:val="000000" w:themeColor="text1"/>
              </w:rPr>
            </w:pPr>
          </w:p>
        </w:tc>
        <w:tc>
          <w:tcPr>
            <w:tcW w:w="900" w:type="dxa"/>
            <w:shd w:val="clear" w:color="auto" w:fill="auto"/>
            <w:noWrap/>
            <w:vAlign w:val="bottom"/>
          </w:tcPr>
          <w:p w14:paraId="2D7799AA" w14:textId="77777777" w:rsidR="00A921C0" w:rsidRPr="007927A4" w:rsidRDefault="00A921C0" w:rsidP="00F12147">
            <w:pPr>
              <w:rPr>
                <w:rFonts w:eastAsiaTheme="minorEastAsia"/>
              </w:rPr>
            </w:pPr>
            <w:r w:rsidRPr="7A9D7D5A">
              <w:rPr>
                <w:rFonts w:eastAsiaTheme="minorEastAsia"/>
                <w:color w:val="000000" w:themeColor="text1"/>
              </w:rPr>
              <w:t>32.6</w:t>
            </w:r>
            <w:r>
              <w:rPr>
                <w:rFonts w:eastAsiaTheme="minorEastAsia"/>
                <w:color w:val="000000" w:themeColor="text1"/>
              </w:rPr>
              <w:t>%</w:t>
            </w:r>
          </w:p>
        </w:tc>
        <w:tc>
          <w:tcPr>
            <w:tcW w:w="900" w:type="dxa"/>
            <w:shd w:val="clear" w:color="auto" w:fill="auto"/>
            <w:noWrap/>
            <w:vAlign w:val="bottom"/>
          </w:tcPr>
          <w:p w14:paraId="604EC96D" w14:textId="77777777" w:rsidR="00A921C0" w:rsidRPr="007927A4" w:rsidRDefault="00A921C0" w:rsidP="00F12147">
            <w:pPr>
              <w:rPr>
                <w:rFonts w:eastAsiaTheme="minorEastAsia"/>
              </w:rPr>
            </w:pPr>
            <w:r w:rsidRPr="7A9D7D5A">
              <w:rPr>
                <w:rFonts w:eastAsiaTheme="minorEastAsia"/>
                <w:color w:val="000000" w:themeColor="text1"/>
              </w:rPr>
              <w:t>29.6</w:t>
            </w:r>
            <w:r>
              <w:rPr>
                <w:rFonts w:eastAsiaTheme="minorEastAsia"/>
                <w:color w:val="000000" w:themeColor="text1"/>
              </w:rPr>
              <w:t>%</w:t>
            </w:r>
          </w:p>
        </w:tc>
        <w:tc>
          <w:tcPr>
            <w:tcW w:w="813" w:type="dxa"/>
            <w:shd w:val="clear" w:color="auto" w:fill="auto"/>
            <w:noWrap/>
            <w:vAlign w:val="bottom"/>
          </w:tcPr>
          <w:p w14:paraId="49923D0E" w14:textId="77777777" w:rsidR="00A921C0" w:rsidRPr="007927A4" w:rsidRDefault="00A921C0" w:rsidP="00F12147">
            <w:pPr>
              <w:rPr>
                <w:rFonts w:eastAsiaTheme="minorEastAsia"/>
              </w:rPr>
            </w:pPr>
            <w:r w:rsidRPr="7A9D7D5A">
              <w:rPr>
                <w:rFonts w:eastAsiaTheme="minorEastAsia"/>
                <w:color w:val="000000" w:themeColor="text1"/>
              </w:rPr>
              <w:t>-</w:t>
            </w:r>
          </w:p>
        </w:tc>
        <w:tc>
          <w:tcPr>
            <w:tcW w:w="270" w:type="dxa"/>
            <w:vAlign w:val="bottom"/>
          </w:tcPr>
          <w:p w14:paraId="0A3D0F7E" w14:textId="77777777" w:rsidR="00A921C0" w:rsidRPr="7A9D7D5A" w:rsidRDefault="00A921C0" w:rsidP="00F12147">
            <w:pPr>
              <w:rPr>
                <w:rFonts w:eastAsiaTheme="minorEastAsia"/>
                <w:b/>
                <w:color w:val="000000" w:themeColor="text1"/>
              </w:rPr>
            </w:pPr>
          </w:p>
        </w:tc>
        <w:tc>
          <w:tcPr>
            <w:tcW w:w="900" w:type="dxa"/>
            <w:shd w:val="clear" w:color="auto" w:fill="E7E6E6" w:themeFill="background2"/>
            <w:noWrap/>
            <w:vAlign w:val="bottom"/>
          </w:tcPr>
          <w:p w14:paraId="6387FA3C" w14:textId="77777777" w:rsidR="00A921C0" w:rsidRPr="00E42F35" w:rsidRDefault="00A921C0" w:rsidP="00F12147">
            <w:pPr>
              <w:rPr>
                <w:rFonts w:eastAsiaTheme="minorEastAsia"/>
                <w:b/>
              </w:rPr>
            </w:pPr>
            <w:r w:rsidRPr="7A9D7D5A">
              <w:rPr>
                <w:rFonts w:eastAsiaTheme="minorEastAsia"/>
                <w:b/>
                <w:color w:val="000000" w:themeColor="text1"/>
              </w:rPr>
              <w:t>76.1</w:t>
            </w:r>
            <w:r>
              <w:rPr>
                <w:rFonts w:eastAsiaTheme="minorEastAsia"/>
                <w:b/>
                <w:color w:val="000000" w:themeColor="text1"/>
              </w:rPr>
              <w:t>%</w:t>
            </w:r>
          </w:p>
        </w:tc>
        <w:tc>
          <w:tcPr>
            <w:tcW w:w="810" w:type="dxa"/>
            <w:shd w:val="clear" w:color="auto" w:fill="E7E6E6" w:themeFill="background2"/>
            <w:noWrap/>
            <w:vAlign w:val="bottom"/>
          </w:tcPr>
          <w:p w14:paraId="7297C91A" w14:textId="77777777" w:rsidR="00A921C0" w:rsidRPr="007927A4" w:rsidRDefault="00A921C0" w:rsidP="00F12147">
            <w:pPr>
              <w:rPr>
                <w:rFonts w:eastAsiaTheme="minorEastAsia"/>
              </w:rPr>
            </w:pPr>
            <w:r w:rsidRPr="7A9D7D5A">
              <w:rPr>
                <w:rFonts w:eastAsiaTheme="minorEastAsia"/>
                <w:color w:val="000000" w:themeColor="text1"/>
              </w:rPr>
              <w:t>47.7</w:t>
            </w:r>
            <w:r>
              <w:rPr>
                <w:rFonts w:eastAsiaTheme="minorEastAsia"/>
                <w:color w:val="000000" w:themeColor="text1"/>
              </w:rPr>
              <w:t>%</w:t>
            </w:r>
          </w:p>
        </w:tc>
        <w:tc>
          <w:tcPr>
            <w:tcW w:w="810" w:type="dxa"/>
            <w:shd w:val="clear" w:color="auto" w:fill="E7E6E6" w:themeFill="background2"/>
            <w:noWrap/>
            <w:vAlign w:val="bottom"/>
          </w:tcPr>
          <w:p w14:paraId="440AED92" w14:textId="77777777" w:rsidR="00A921C0" w:rsidRPr="007927A4" w:rsidRDefault="00A921C0" w:rsidP="00F12147">
            <w:pPr>
              <w:rPr>
                <w:rFonts w:eastAsiaTheme="minorEastAsia"/>
              </w:rPr>
            </w:pPr>
            <w:r w:rsidRPr="7A9D7D5A">
              <w:rPr>
                <w:rFonts w:eastAsiaTheme="minorEastAsia"/>
                <w:color w:val="000000" w:themeColor="text1"/>
              </w:rPr>
              <w:t>-</w:t>
            </w:r>
          </w:p>
        </w:tc>
      </w:tr>
      <w:tr w:rsidR="00A921C0" w:rsidRPr="007927A4" w14:paraId="715D68F0" w14:textId="77777777" w:rsidTr="00F12147">
        <w:trPr>
          <w:trHeight w:val="320"/>
        </w:trPr>
        <w:tc>
          <w:tcPr>
            <w:tcW w:w="1705" w:type="dxa"/>
            <w:shd w:val="clear" w:color="auto" w:fill="auto"/>
            <w:noWrap/>
            <w:vAlign w:val="bottom"/>
          </w:tcPr>
          <w:p w14:paraId="6E3778F1" w14:textId="77777777" w:rsidR="00A921C0" w:rsidRPr="7A9D7D5A" w:rsidRDefault="00A921C0" w:rsidP="004B1105">
            <w:pPr>
              <w:rPr>
                <w:rFonts w:eastAsiaTheme="minorEastAsia"/>
                <w:b/>
                <w:color w:val="000000" w:themeColor="text1"/>
              </w:rPr>
            </w:pPr>
            <w:r>
              <w:rPr>
                <w:rFonts w:eastAsiaTheme="minorEastAsia"/>
                <w:color w:val="000000" w:themeColor="text1"/>
              </w:rPr>
              <w:t>Another race</w:t>
            </w:r>
          </w:p>
        </w:tc>
        <w:tc>
          <w:tcPr>
            <w:tcW w:w="900" w:type="dxa"/>
            <w:shd w:val="clear" w:color="auto" w:fill="auto"/>
            <w:noWrap/>
            <w:vAlign w:val="bottom"/>
          </w:tcPr>
          <w:p w14:paraId="6127B8C0" w14:textId="77777777" w:rsidR="00A921C0" w:rsidRPr="007927A4" w:rsidRDefault="00A921C0" w:rsidP="00F12147">
            <w:pPr>
              <w:rPr>
                <w:rFonts w:eastAsiaTheme="minorEastAsia"/>
              </w:rPr>
            </w:pPr>
            <w:r w:rsidRPr="7A9D7D5A">
              <w:rPr>
                <w:rFonts w:eastAsiaTheme="minorEastAsia"/>
                <w:color w:val="000000" w:themeColor="text1"/>
              </w:rPr>
              <w:t>51.5</w:t>
            </w:r>
            <w:r>
              <w:rPr>
                <w:rFonts w:eastAsiaTheme="minorEastAsia"/>
                <w:color w:val="000000" w:themeColor="text1"/>
              </w:rPr>
              <w:t>%</w:t>
            </w:r>
          </w:p>
        </w:tc>
        <w:tc>
          <w:tcPr>
            <w:tcW w:w="810" w:type="dxa"/>
            <w:shd w:val="clear" w:color="auto" w:fill="auto"/>
            <w:noWrap/>
            <w:vAlign w:val="bottom"/>
          </w:tcPr>
          <w:p w14:paraId="4BE779B0" w14:textId="77777777" w:rsidR="00A921C0" w:rsidRPr="007927A4" w:rsidRDefault="00A921C0" w:rsidP="00F12147">
            <w:pPr>
              <w:rPr>
                <w:rFonts w:eastAsiaTheme="minorEastAsia"/>
                <w:b/>
              </w:rPr>
            </w:pPr>
            <w:r w:rsidRPr="7A9D7D5A">
              <w:rPr>
                <w:rFonts w:eastAsiaTheme="minorEastAsia"/>
                <w:b/>
                <w:color w:val="000000" w:themeColor="text1"/>
              </w:rPr>
              <w:t>61.8</w:t>
            </w:r>
            <w:r>
              <w:rPr>
                <w:rFonts w:eastAsiaTheme="minorEastAsia"/>
                <w:color w:val="000000" w:themeColor="text1"/>
              </w:rPr>
              <w:t>%</w:t>
            </w:r>
          </w:p>
        </w:tc>
        <w:tc>
          <w:tcPr>
            <w:tcW w:w="815" w:type="dxa"/>
            <w:shd w:val="clear" w:color="auto" w:fill="auto"/>
            <w:noWrap/>
            <w:vAlign w:val="bottom"/>
          </w:tcPr>
          <w:p w14:paraId="0A3429E9" w14:textId="77777777" w:rsidR="00A921C0" w:rsidRPr="007927A4" w:rsidRDefault="00A921C0" w:rsidP="00F12147">
            <w:pPr>
              <w:rPr>
                <w:rFonts w:eastAsiaTheme="minorEastAsia"/>
              </w:rPr>
            </w:pPr>
            <w:r w:rsidRPr="7A9D7D5A">
              <w:rPr>
                <w:rFonts w:eastAsiaTheme="minorEastAsia"/>
                <w:color w:val="000000" w:themeColor="text1"/>
              </w:rPr>
              <w:t>-</w:t>
            </w:r>
          </w:p>
        </w:tc>
        <w:tc>
          <w:tcPr>
            <w:tcW w:w="360" w:type="dxa"/>
            <w:vAlign w:val="bottom"/>
          </w:tcPr>
          <w:p w14:paraId="0E388260" w14:textId="77777777" w:rsidR="00A921C0" w:rsidRPr="7A9D7D5A" w:rsidRDefault="00A921C0" w:rsidP="00F12147">
            <w:pPr>
              <w:rPr>
                <w:rFonts w:eastAsiaTheme="minorEastAsia"/>
                <w:color w:val="000000" w:themeColor="text1"/>
              </w:rPr>
            </w:pPr>
          </w:p>
        </w:tc>
        <w:tc>
          <w:tcPr>
            <w:tcW w:w="900" w:type="dxa"/>
            <w:shd w:val="clear" w:color="auto" w:fill="auto"/>
            <w:noWrap/>
            <w:vAlign w:val="bottom"/>
          </w:tcPr>
          <w:p w14:paraId="28EE4F3B" w14:textId="77777777" w:rsidR="00A921C0" w:rsidRPr="007927A4" w:rsidRDefault="00A921C0" w:rsidP="00F12147">
            <w:pPr>
              <w:rPr>
                <w:rFonts w:eastAsiaTheme="minorEastAsia"/>
              </w:rPr>
            </w:pPr>
            <w:r w:rsidRPr="7A9D7D5A">
              <w:rPr>
                <w:rFonts w:eastAsiaTheme="minorEastAsia"/>
                <w:color w:val="000000" w:themeColor="text1"/>
              </w:rPr>
              <w:t>36.2</w:t>
            </w:r>
            <w:r>
              <w:rPr>
                <w:rFonts w:eastAsiaTheme="minorEastAsia"/>
                <w:color w:val="000000" w:themeColor="text1"/>
              </w:rPr>
              <w:t>%</w:t>
            </w:r>
          </w:p>
        </w:tc>
        <w:tc>
          <w:tcPr>
            <w:tcW w:w="900" w:type="dxa"/>
            <w:shd w:val="clear" w:color="auto" w:fill="auto"/>
            <w:noWrap/>
            <w:vAlign w:val="bottom"/>
          </w:tcPr>
          <w:p w14:paraId="5962404E" w14:textId="77777777" w:rsidR="00A921C0" w:rsidRPr="007927A4" w:rsidRDefault="00A921C0" w:rsidP="00F12147">
            <w:pPr>
              <w:rPr>
                <w:rFonts w:eastAsiaTheme="minorEastAsia"/>
              </w:rPr>
            </w:pPr>
            <w:r w:rsidRPr="7A9D7D5A">
              <w:rPr>
                <w:rFonts w:eastAsiaTheme="minorEastAsia"/>
                <w:color w:val="000000" w:themeColor="text1"/>
              </w:rPr>
              <w:t>29.2</w:t>
            </w:r>
            <w:r>
              <w:rPr>
                <w:rFonts w:eastAsiaTheme="minorEastAsia"/>
                <w:color w:val="000000" w:themeColor="text1"/>
              </w:rPr>
              <w:t>%</w:t>
            </w:r>
          </w:p>
        </w:tc>
        <w:tc>
          <w:tcPr>
            <w:tcW w:w="813" w:type="dxa"/>
            <w:shd w:val="clear" w:color="auto" w:fill="auto"/>
            <w:noWrap/>
            <w:vAlign w:val="bottom"/>
          </w:tcPr>
          <w:p w14:paraId="2949E12E" w14:textId="77777777" w:rsidR="00A921C0" w:rsidRPr="007927A4" w:rsidRDefault="00A921C0" w:rsidP="00F12147">
            <w:pPr>
              <w:rPr>
                <w:rFonts w:eastAsiaTheme="minorEastAsia"/>
              </w:rPr>
            </w:pPr>
            <w:r w:rsidRPr="7A9D7D5A">
              <w:rPr>
                <w:rFonts w:eastAsiaTheme="minorEastAsia"/>
                <w:color w:val="000000" w:themeColor="text1"/>
              </w:rPr>
              <w:t>-</w:t>
            </w:r>
          </w:p>
        </w:tc>
        <w:tc>
          <w:tcPr>
            <w:tcW w:w="270" w:type="dxa"/>
            <w:vAlign w:val="bottom"/>
          </w:tcPr>
          <w:p w14:paraId="12506A52" w14:textId="77777777" w:rsidR="00A921C0" w:rsidRPr="7A9D7D5A" w:rsidRDefault="00A921C0" w:rsidP="00F12147">
            <w:pPr>
              <w:rPr>
                <w:rFonts w:eastAsiaTheme="minorEastAsia"/>
                <w:b/>
                <w:color w:val="000000" w:themeColor="text1"/>
              </w:rPr>
            </w:pPr>
          </w:p>
        </w:tc>
        <w:tc>
          <w:tcPr>
            <w:tcW w:w="900" w:type="dxa"/>
            <w:shd w:val="clear" w:color="auto" w:fill="auto"/>
            <w:noWrap/>
            <w:vAlign w:val="bottom"/>
          </w:tcPr>
          <w:p w14:paraId="320B7FA4" w14:textId="77777777" w:rsidR="00A921C0" w:rsidRPr="007927A4" w:rsidRDefault="00A921C0" w:rsidP="00F12147">
            <w:pPr>
              <w:rPr>
                <w:rFonts w:eastAsiaTheme="minorEastAsia"/>
                <w:b/>
              </w:rPr>
            </w:pPr>
            <w:r w:rsidRPr="7A9D7D5A">
              <w:rPr>
                <w:rFonts w:eastAsiaTheme="minorEastAsia"/>
                <w:b/>
                <w:color w:val="000000" w:themeColor="text1"/>
              </w:rPr>
              <w:t>77.6</w:t>
            </w:r>
            <w:r>
              <w:rPr>
                <w:rFonts w:eastAsiaTheme="minorEastAsia"/>
                <w:b/>
                <w:color w:val="000000" w:themeColor="text1"/>
              </w:rPr>
              <w:t>%</w:t>
            </w:r>
          </w:p>
        </w:tc>
        <w:tc>
          <w:tcPr>
            <w:tcW w:w="810" w:type="dxa"/>
            <w:shd w:val="clear" w:color="auto" w:fill="auto"/>
            <w:noWrap/>
            <w:vAlign w:val="bottom"/>
          </w:tcPr>
          <w:p w14:paraId="7E2C84BA" w14:textId="77777777" w:rsidR="00A921C0" w:rsidRPr="007927A4" w:rsidRDefault="00A921C0" w:rsidP="00F12147">
            <w:pPr>
              <w:rPr>
                <w:rFonts w:eastAsiaTheme="minorEastAsia"/>
              </w:rPr>
            </w:pPr>
            <w:r w:rsidRPr="7A9D7D5A">
              <w:rPr>
                <w:rFonts w:eastAsiaTheme="minorEastAsia"/>
                <w:color w:val="000000" w:themeColor="text1"/>
              </w:rPr>
              <w:t>47.3</w:t>
            </w:r>
            <w:r>
              <w:rPr>
                <w:rFonts w:eastAsiaTheme="minorEastAsia"/>
                <w:color w:val="000000" w:themeColor="text1"/>
              </w:rPr>
              <w:t>%</w:t>
            </w:r>
          </w:p>
        </w:tc>
        <w:tc>
          <w:tcPr>
            <w:tcW w:w="810" w:type="dxa"/>
            <w:shd w:val="clear" w:color="auto" w:fill="auto"/>
            <w:noWrap/>
            <w:vAlign w:val="bottom"/>
          </w:tcPr>
          <w:p w14:paraId="0CECBEB9" w14:textId="77777777" w:rsidR="00A921C0" w:rsidRPr="7A9D7D5A" w:rsidRDefault="00A921C0" w:rsidP="00F12147">
            <w:pPr>
              <w:rPr>
                <w:rFonts w:eastAsiaTheme="minorEastAsia"/>
                <w:color w:val="000000" w:themeColor="text1"/>
              </w:rPr>
            </w:pPr>
            <w:r w:rsidRPr="7A9D7D5A">
              <w:rPr>
                <w:rFonts w:eastAsiaTheme="minorEastAsia"/>
                <w:color w:val="000000" w:themeColor="text1"/>
              </w:rPr>
              <w:t>-</w:t>
            </w:r>
          </w:p>
        </w:tc>
      </w:tr>
      <w:tr w:rsidR="00A921C0" w:rsidRPr="007927A4" w14:paraId="30661F6F" w14:textId="77777777" w:rsidTr="6A9E2235">
        <w:trPr>
          <w:trHeight w:val="320"/>
        </w:trPr>
        <w:tc>
          <w:tcPr>
            <w:tcW w:w="1705" w:type="dxa"/>
            <w:shd w:val="clear" w:color="auto" w:fill="auto"/>
            <w:noWrap/>
            <w:vAlign w:val="bottom"/>
          </w:tcPr>
          <w:p w14:paraId="278FC60F" w14:textId="77777777" w:rsidR="00A921C0" w:rsidRPr="007927A4" w:rsidRDefault="00A921C0" w:rsidP="004B1105">
            <w:pPr>
              <w:rPr>
                <w:rFonts w:eastAsiaTheme="minorEastAsia"/>
                <w:color w:val="000000"/>
              </w:rPr>
            </w:pPr>
            <w:r w:rsidRPr="7A9D7D5A">
              <w:rPr>
                <w:rFonts w:eastAsiaTheme="minorEastAsia"/>
                <w:b/>
                <w:color w:val="000000" w:themeColor="text1"/>
              </w:rPr>
              <w:t xml:space="preserve">Middle </w:t>
            </w:r>
            <w:r>
              <w:rPr>
                <w:rFonts w:eastAsiaTheme="minorEastAsia"/>
                <w:b/>
                <w:color w:val="000000" w:themeColor="text1"/>
              </w:rPr>
              <w:t>Income</w:t>
            </w:r>
          </w:p>
        </w:tc>
        <w:tc>
          <w:tcPr>
            <w:tcW w:w="900" w:type="dxa"/>
            <w:shd w:val="clear" w:color="auto" w:fill="auto"/>
            <w:noWrap/>
            <w:vAlign w:val="bottom"/>
          </w:tcPr>
          <w:p w14:paraId="51AE057D" w14:textId="77777777" w:rsidR="00A921C0" w:rsidRPr="007927A4" w:rsidRDefault="00A921C0" w:rsidP="00F12147">
            <w:pPr>
              <w:rPr>
                <w:rFonts w:eastAsiaTheme="minorEastAsia"/>
              </w:rPr>
            </w:pPr>
          </w:p>
        </w:tc>
        <w:tc>
          <w:tcPr>
            <w:tcW w:w="810" w:type="dxa"/>
            <w:shd w:val="clear" w:color="auto" w:fill="auto"/>
            <w:noWrap/>
            <w:vAlign w:val="bottom"/>
          </w:tcPr>
          <w:p w14:paraId="1C1576A9" w14:textId="77777777" w:rsidR="00A921C0" w:rsidRPr="007927A4" w:rsidRDefault="00A921C0" w:rsidP="00F12147">
            <w:pPr>
              <w:rPr>
                <w:rFonts w:eastAsiaTheme="minorEastAsia"/>
                <w:b/>
              </w:rPr>
            </w:pPr>
          </w:p>
        </w:tc>
        <w:tc>
          <w:tcPr>
            <w:tcW w:w="815" w:type="dxa"/>
            <w:shd w:val="clear" w:color="auto" w:fill="auto"/>
            <w:noWrap/>
            <w:vAlign w:val="bottom"/>
          </w:tcPr>
          <w:p w14:paraId="7E75FA99" w14:textId="77777777" w:rsidR="00A921C0" w:rsidRPr="007927A4" w:rsidRDefault="00A921C0" w:rsidP="00F12147">
            <w:pPr>
              <w:rPr>
                <w:rFonts w:eastAsiaTheme="minorEastAsia"/>
              </w:rPr>
            </w:pPr>
          </w:p>
        </w:tc>
        <w:tc>
          <w:tcPr>
            <w:tcW w:w="360" w:type="dxa"/>
            <w:vAlign w:val="bottom"/>
          </w:tcPr>
          <w:p w14:paraId="0F1BAB2F" w14:textId="77777777" w:rsidR="00A921C0" w:rsidRPr="007927A4" w:rsidRDefault="00A921C0" w:rsidP="00F12147">
            <w:pPr>
              <w:rPr>
                <w:rFonts w:eastAsiaTheme="minorEastAsia"/>
              </w:rPr>
            </w:pPr>
          </w:p>
        </w:tc>
        <w:tc>
          <w:tcPr>
            <w:tcW w:w="900" w:type="dxa"/>
            <w:shd w:val="clear" w:color="auto" w:fill="auto"/>
            <w:noWrap/>
            <w:vAlign w:val="bottom"/>
          </w:tcPr>
          <w:p w14:paraId="3382D742" w14:textId="77777777" w:rsidR="00A921C0" w:rsidRPr="007927A4" w:rsidRDefault="00A921C0" w:rsidP="00F12147">
            <w:pPr>
              <w:rPr>
                <w:rFonts w:eastAsiaTheme="minorEastAsia"/>
              </w:rPr>
            </w:pPr>
          </w:p>
        </w:tc>
        <w:tc>
          <w:tcPr>
            <w:tcW w:w="900" w:type="dxa"/>
            <w:shd w:val="clear" w:color="auto" w:fill="auto"/>
            <w:noWrap/>
            <w:vAlign w:val="bottom"/>
          </w:tcPr>
          <w:p w14:paraId="3D88C6C2" w14:textId="77777777" w:rsidR="00A921C0" w:rsidRPr="007927A4" w:rsidRDefault="00A921C0" w:rsidP="00F12147">
            <w:pPr>
              <w:rPr>
                <w:rFonts w:eastAsiaTheme="minorEastAsia"/>
              </w:rPr>
            </w:pPr>
          </w:p>
        </w:tc>
        <w:tc>
          <w:tcPr>
            <w:tcW w:w="813" w:type="dxa"/>
            <w:shd w:val="clear" w:color="auto" w:fill="auto"/>
            <w:noWrap/>
            <w:vAlign w:val="bottom"/>
          </w:tcPr>
          <w:p w14:paraId="433DDAC4" w14:textId="77777777" w:rsidR="00A921C0" w:rsidRPr="007927A4" w:rsidRDefault="00A921C0" w:rsidP="00F12147">
            <w:pPr>
              <w:rPr>
                <w:rFonts w:eastAsiaTheme="minorEastAsia"/>
              </w:rPr>
            </w:pPr>
          </w:p>
        </w:tc>
        <w:tc>
          <w:tcPr>
            <w:tcW w:w="270" w:type="dxa"/>
            <w:vAlign w:val="bottom"/>
          </w:tcPr>
          <w:p w14:paraId="36FE6653" w14:textId="77777777" w:rsidR="00A921C0" w:rsidRPr="007927A4" w:rsidRDefault="00A921C0" w:rsidP="00F12147">
            <w:pPr>
              <w:rPr>
                <w:rFonts w:eastAsiaTheme="minorEastAsia"/>
                <w:b/>
              </w:rPr>
            </w:pPr>
          </w:p>
        </w:tc>
        <w:tc>
          <w:tcPr>
            <w:tcW w:w="900" w:type="dxa"/>
            <w:shd w:val="clear" w:color="auto" w:fill="auto"/>
            <w:noWrap/>
            <w:vAlign w:val="bottom"/>
          </w:tcPr>
          <w:p w14:paraId="58A83ED0" w14:textId="77777777" w:rsidR="00A921C0" w:rsidRPr="007927A4" w:rsidRDefault="00A921C0" w:rsidP="00F12147">
            <w:pPr>
              <w:rPr>
                <w:rFonts w:eastAsiaTheme="minorEastAsia"/>
                <w:b/>
              </w:rPr>
            </w:pPr>
          </w:p>
        </w:tc>
        <w:tc>
          <w:tcPr>
            <w:tcW w:w="810" w:type="dxa"/>
            <w:shd w:val="clear" w:color="auto" w:fill="auto"/>
            <w:noWrap/>
            <w:vAlign w:val="bottom"/>
          </w:tcPr>
          <w:p w14:paraId="497EA866" w14:textId="77777777" w:rsidR="00A921C0" w:rsidRPr="007927A4" w:rsidRDefault="00A921C0" w:rsidP="00F12147">
            <w:pPr>
              <w:rPr>
                <w:rFonts w:eastAsiaTheme="minorEastAsia"/>
              </w:rPr>
            </w:pPr>
          </w:p>
        </w:tc>
        <w:tc>
          <w:tcPr>
            <w:tcW w:w="810" w:type="dxa"/>
            <w:shd w:val="clear" w:color="auto" w:fill="auto"/>
            <w:noWrap/>
            <w:vAlign w:val="bottom"/>
          </w:tcPr>
          <w:p w14:paraId="1B0F2E0B" w14:textId="77777777" w:rsidR="00A921C0" w:rsidRPr="007927A4" w:rsidRDefault="00A921C0" w:rsidP="00F12147">
            <w:pPr>
              <w:rPr>
                <w:rFonts w:eastAsiaTheme="minorEastAsia"/>
              </w:rPr>
            </w:pPr>
          </w:p>
        </w:tc>
      </w:tr>
      <w:tr w:rsidR="00A921C0" w:rsidRPr="007927A4" w14:paraId="7424DB24" w14:textId="77777777" w:rsidTr="00181364">
        <w:trPr>
          <w:trHeight w:val="300"/>
        </w:trPr>
        <w:tc>
          <w:tcPr>
            <w:tcW w:w="1705" w:type="dxa"/>
            <w:shd w:val="clear" w:color="auto" w:fill="auto"/>
            <w:noWrap/>
            <w:vAlign w:val="bottom"/>
          </w:tcPr>
          <w:p w14:paraId="58D0AB15" w14:textId="77777777" w:rsidR="00A921C0" w:rsidRPr="007927A4" w:rsidRDefault="00A921C0" w:rsidP="004B1105">
            <w:pPr>
              <w:rPr>
                <w:rFonts w:eastAsiaTheme="minorEastAsia"/>
                <w:color w:val="000000"/>
              </w:rPr>
            </w:pPr>
            <w:r w:rsidRPr="7A9D7D5A">
              <w:rPr>
                <w:rFonts w:eastAsiaTheme="minorEastAsia"/>
                <w:color w:val="000000" w:themeColor="text1"/>
              </w:rPr>
              <w:t>Black</w:t>
            </w:r>
          </w:p>
        </w:tc>
        <w:tc>
          <w:tcPr>
            <w:tcW w:w="900" w:type="dxa"/>
            <w:shd w:val="clear" w:color="auto" w:fill="E7E6E6" w:themeFill="background2"/>
            <w:noWrap/>
            <w:vAlign w:val="bottom"/>
          </w:tcPr>
          <w:p w14:paraId="58402296" w14:textId="77777777" w:rsidR="00A921C0" w:rsidRPr="007927A4" w:rsidRDefault="00A921C0" w:rsidP="00F12147">
            <w:pPr>
              <w:rPr>
                <w:rFonts w:eastAsiaTheme="minorEastAsia"/>
              </w:rPr>
            </w:pPr>
            <w:r w:rsidRPr="7A9D7D5A">
              <w:rPr>
                <w:rFonts w:eastAsiaTheme="minorEastAsia"/>
                <w:color w:val="000000" w:themeColor="text1"/>
              </w:rPr>
              <w:t>76.6</w:t>
            </w:r>
            <w:r>
              <w:rPr>
                <w:rFonts w:eastAsiaTheme="minorEastAsia"/>
                <w:color w:val="000000" w:themeColor="text1"/>
              </w:rPr>
              <w:t>%</w:t>
            </w:r>
          </w:p>
        </w:tc>
        <w:tc>
          <w:tcPr>
            <w:tcW w:w="810" w:type="dxa"/>
            <w:shd w:val="clear" w:color="auto" w:fill="E7E6E6" w:themeFill="background2"/>
            <w:noWrap/>
            <w:vAlign w:val="bottom"/>
          </w:tcPr>
          <w:p w14:paraId="2F7BCC27" w14:textId="77777777" w:rsidR="00A921C0" w:rsidRPr="007927A4" w:rsidRDefault="00A921C0" w:rsidP="00F12147">
            <w:pPr>
              <w:rPr>
                <w:rFonts w:eastAsiaTheme="minorEastAsia"/>
                <w:b/>
              </w:rPr>
            </w:pPr>
            <w:r w:rsidRPr="7A9D7D5A">
              <w:rPr>
                <w:rFonts w:eastAsiaTheme="minorEastAsia"/>
                <w:color w:val="000000" w:themeColor="text1"/>
              </w:rPr>
              <w:t>55.5</w:t>
            </w:r>
            <w:r>
              <w:rPr>
                <w:rFonts w:eastAsiaTheme="minorEastAsia"/>
                <w:color w:val="000000" w:themeColor="text1"/>
              </w:rPr>
              <w:t>%</w:t>
            </w:r>
          </w:p>
        </w:tc>
        <w:tc>
          <w:tcPr>
            <w:tcW w:w="815" w:type="dxa"/>
            <w:shd w:val="clear" w:color="auto" w:fill="E7E6E6" w:themeFill="background2"/>
            <w:noWrap/>
            <w:vAlign w:val="bottom"/>
          </w:tcPr>
          <w:p w14:paraId="3B53D114" w14:textId="77777777" w:rsidR="00A921C0" w:rsidRPr="007927A4" w:rsidRDefault="00A921C0" w:rsidP="00F12147">
            <w:pPr>
              <w:rPr>
                <w:rFonts w:eastAsiaTheme="minorEastAsia"/>
              </w:rPr>
            </w:pPr>
            <w:r w:rsidRPr="7A9D7D5A">
              <w:rPr>
                <w:rFonts w:eastAsiaTheme="minorEastAsia"/>
                <w:color w:val="000000" w:themeColor="text1"/>
              </w:rPr>
              <w:t>82.6</w:t>
            </w:r>
            <w:r>
              <w:rPr>
                <w:rFonts w:eastAsiaTheme="minorEastAsia"/>
                <w:color w:val="000000" w:themeColor="text1"/>
              </w:rPr>
              <w:t>%</w:t>
            </w:r>
          </w:p>
        </w:tc>
        <w:tc>
          <w:tcPr>
            <w:tcW w:w="360" w:type="dxa"/>
            <w:vAlign w:val="bottom"/>
          </w:tcPr>
          <w:p w14:paraId="1988CF19" w14:textId="77777777" w:rsidR="00A921C0" w:rsidRPr="7A9D7D5A" w:rsidRDefault="00A921C0" w:rsidP="00F12147">
            <w:pPr>
              <w:rPr>
                <w:rFonts w:eastAsiaTheme="minorEastAsia"/>
                <w:color w:val="000000" w:themeColor="text1"/>
              </w:rPr>
            </w:pPr>
          </w:p>
        </w:tc>
        <w:tc>
          <w:tcPr>
            <w:tcW w:w="900" w:type="dxa"/>
            <w:shd w:val="clear" w:color="auto" w:fill="auto"/>
            <w:noWrap/>
            <w:vAlign w:val="bottom"/>
          </w:tcPr>
          <w:p w14:paraId="307DBBF6" w14:textId="77777777" w:rsidR="00A921C0" w:rsidRPr="007927A4" w:rsidRDefault="00A921C0" w:rsidP="00F12147">
            <w:pPr>
              <w:rPr>
                <w:rFonts w:eastAsiaTheme="minorEastAsia"/>
              </w:rPr>
            </w:pPr>
            <w:r w:rsidRPr="7A9D7D5A">
              <w:rPr>
                <w:rFonts w:eastAsiaTheme="minorEastAsia"/>
                <w:color w:val="000000" w:themeColor="text1"/>
              </w:rPr>
              <w:t>31.1</w:t>
            </w:r>
            <w:r>
              <w:rPr>
                <w:rFonts w:eastAsiaTheme="minorEastAsia"/>
                <w:color w:val="000000" w:themeColor="text1"/>
              </w:rPr>
              <w:t>%</w:t>
            </w:r>
          </w:p>
        </w:tc>
        <w:tc>
          <w:tcPr>
            <w:tcW w:w="900" w:type="dxa"/>
            <w:shd w:val="clear" w:color="auto" w:fill="auto"/>
            <w:noWrap/>
            <w:vAlign w:val="bottom"/>
          </w:tcPr>
          <w:p w14:paraId="62A0A9F3" w14:textId="77777777" w:rsidR="00A921C0" w:rsidRPr="007927A4" w:rsidRDefault="00A921C0" w:rsidP="00F12147">
            <w:pPr>
              <w:rPr>
                <w:rFonts w:eastAsiaTheme="minorEastAsia"/>
              </w:rPr>
            </w:pPr>
            <w:r w:rsidRPr="7A9D7D5A">
              <w:rPr>
                <w:rFonts w:eastAsiaTheme="minorEastAsia"/>
                <w:color w:val="000000" w:themeColor="text1"/>
              </w:rPr>
              <w:t>16.7</w:t>
            </w:r>
            <w:r>
              <w:rPr>
                <w:rFonts w:eastAsiaTheme="minorEastAsia"/>
                <w:color w:val="000000" w:themeColor="text1"/>
              </w:rPr>
              <w:t>%</w:t>
            </w:r>
          </w:p>
        </w:tc>
        <w:tc>
          <w:tcPr>
            <w:tcW w:w="813" w:type="dxa"/>
            <w:shd w:val="clear" w:color="auto" w:fill="auto"/>
            <w:noWrap/>
            <w:vAlign w:val="bottom"/>
          </w:tcPr>
          <w:p w14:paraId="48A4CA76" w14:textId="77777777" w:rsidR="00A921C0" w:rsidRPr="00E42F35" w:rsidRDefault="00A921C0" w:rsidP="00F12147">
            <w:pPr>
              <w:rPr>
                <w:rFonts w:eastAsiaTheme="minorEastAsia"/>
                <w:b/>
              </w:rPr>
            </w:pPr>
            <w:r w:rsidRPr="7A9D7D5A">
              <w:rPr>
                <w:rFonts w:eastAsiaTheme="minorEastAsia"/>
                <w:b/>
                <w:color w:val="000000" w:themeColor="text1"/>
              </w:rPr>
              <w:t>24.0</w:t>
            </w:r>
            <w:r>
              <w:rPr>
                <w:rFonts w:eastAsiaTheme="minorEastAsia"/>
                <w:b/>
                <w:color w:val="000000" w:themeColor="text1"/>
              </w:rPr>
              <w:t>%</w:t>
            </w:r>
          </w:p>
        </w:tc>
        <w:tc>
          <w:tcPr>
            <w:tcW w:w="270" w:type="dxa"/>
            <w:vAlign w:val="bottom"/>
          </w:tcPr>
          <w:p w14:paraId="74F7DC04" w14:textId="77777777" w:rsidR="00A921C0" w:rsidRPr="7A9D7D5A" w:rsidRDefault="00A921C0" w:rsidP="00F12147">
            <w:pPr>
              <w:rPr>
                <w:rFonts w:eastAsiaTheme="minorEastAsia"/>
                <w:color w:val="000000" w:themeColor="text1"/>
              </w:rPr>
            </w:pPr>
          </w:p>
        </w:tc>
        <w:tc>
          <w:tcPr>
            <w:tcW w:w="900" w:type="dxa"/>
            <w:shd w:val="clear" w:color="auto" w:fill="auto"/>
            <w:noWrap/>
            <w:vAlign w:val="bottom"/>
          </w:tcPr>
          <w:p w14:paraId="63C08CC6" w14:textId="77777777" w:rsidR="00A921C0" w:rsidRPr="007927A4" w:rsidRDefault="00A921C0" w:rsidP="00F12147">
            <w:pPr>
              <w:rPr>
                <w:rFonts w:eastAsiaTheme="minorEastAsia"/>
                <w:b/>
              </w:rPr>
            </w:pPr>
            <w:r w:rsidRPr="7A9D7D5A">
              <w:rPr>
                <w:rFonts w:eastAsiaTheme="minorEastAsia"/>
                <w:color w:val="000000" w:themeColor="text1"/>
              </w:rPr>
              <w:t>71.1</w:t>
            </w:r>
            <w:r>
              <w:rPr>
                <w:rFonts w:eastAsiaTheme="minorEastAsia"/>
                <w:color w:val="000000" w:themeColor="text1"/>
              </w:rPr>
              <w:t>%</w:t>
            </w:r>
          </w:p>
        </w:tc>
        <w:tc>
          <w:tcPr>
            <w:tcW w:w="810" w:type="dxa"/>
            <w:shd w:val="clear" w:color="auto" w:fill="auto"/>
            <w:noWrap/>
            <w:vAlign w:val="bottom"/>
          </w:tcPr>
          <w:p w14:paraId="6CE5636A" w14:textId="77777777" w:rsidR="00A921C0" w:rsidRPr="007927A4" w:rsidRDefault="00A921C0" w:rsidP="00F12147">
            <w:pPr>
              <w:rPr>
                <w:rFonts w:eastAsiaTheme="minorEastAsia"/>
              </w:rPr>
            </w:pPr>
            <w:r w:rsidRPr="7A9D7D5A">
              <w:rPr>
                <w:rFonts w:eastAsiaTheme="minorEastAsia"/>
                <w:color w:val="000000" w:themeColor="text1"/>
              </w:rPr>
              <w:t>62.7</w:t>
            </w:r>
            <w:r>
              <w:rPr>
                <w:rFonts w:eastAsiaTheme="minorEastAsia"/>
                <w:color w:val="000000" w:themeColor="text1"/>
              </w:rPr>
              <w:t>%</w:t>
            </w:r>
          </w:p>
        </w:tc>
        <w:tc>
          <w:tcPr>
            <w:tcW w:w="810" w:type="dxa"/>
            <w:shd w:val="clear" w:color="auto" w:fill="auto"/>
            <w:noWrap/>
            <w:vAlign w:val="bottom"/>
          </w:tcPr>
          <w:p w14:paraId="3723D165" w14:textId="77777777" w:rsidR="00A921C0" w:rsidRPr="007927A4" w:rsidRDefault="00A921C0" w:rsidP="00F12147">
            <w:pPr>
              <w:rPr>
                <w:rFonts w:eastAsiaTheme="minorEastAsia"/>
              </w:rPr>
            </w:pPr>
            <w:r w:rsidRPr="7A9D7D5A">
              <w:rPr>
                <w:rFonts w:eastAsiaTheme="minorEastAsia"/>
                <w:color w:val="000000" w:themeColor="text1"/>
              </w:rPr>
              <w:t>60.0</w:t>
            </w:r>
            <w:r>
              <w:rPr>
                <w:rFonts w:eastAsiaTheme="minorEastAsia"/>
                <w:color w:val="000000" w:themeColor="text1"/>
              </w:rPr>
              <w:t>%</w:t>
            </w:r>
          </w:p>
        </w:tc>
      </w:tr>
      <w:tr w:rsidR="00A921C0" w:rsidRPr="007927A4" w14:paraId="4A0441E1" w14:textId="77777777" w:rsidTr="6A9E2235">
        <w:trPr>
          <w:trHeight w:val="320"/>
        </w:trPr>
        <w:tc>
          <w:tcPr>
            <w:tcW w:w="1705" w:type="dxa"/>
            <w:shd w:val="clear" w:color="auto" w:fill="auto"/>
            <w:noWrap/>
            <w:vAlign w:val="bottom"/>
          </w:tcPr>
          <w:p w14:paraId="44F7F0E9" w14:textId="77777777" w:rsidR="00A921C0" w:rsidRPr="007927A4" w:rsidRDefault="00A921C0" w:rsidP="004B1105">
            <w:pPr>
              <w:rPr>
                <w:rFonts w:eastAsiaTheme="minorEastAsia"/>
                <w:color w:val="000000"/>
              </w:rPr>
            </w:pPr>
            <w:r w:rsidRPr="7A9D7D5A">
              <w:rPr>
                <w:rFonts w:eastAsiaTheme="minorEastAsia"/>
                <w:color w:val="000000" w:themeColor="text1"/>
              </w:rPr>
              <w:t>Latinx</w:t>
            </w:r>
          </w:p>
        </w:tc>
        <w:tc>
          <w:tcPr>
            <w:tcW w:w="900" w:type="dxa"/>
            <w:shd w:val="clear" w:color="auto" w:fill="E7E6E6" w:themeFill="background2"/>
            <w:noWrap/>
            <w:vAlign w:val="bottom"/>
          </w:tcPr>
          <w:p w14:paraId="76E1E5A5" w14:textId="77777777" w:rsidR="00A921C0" w:rsidRPr="007927A4" w:rsidRDefault="00A921C0" w:rsidP="00F12147">
            <w:pPr>
              <w:rPr>
                <w:rFonts w:eastAsiaTheme="minorEastAsia"/>
              </w:rPr>
            </w:pPr>
            <w:r w:rsidRPr="7A9D7D5A">
              <w:rPr>
                <w:rFonts w:eastAsiaTheme="minorEastAsia"/>
                <w:color w:val="000000" w:themeColor="text1"/>
              </w:rPr>
              <w:t>68.8</w:t>
            </w:r>
            <w:r>
              <w:rPr>
                <w:rFonts w:eastAsiaTheme="minorEastAsia"/>
                <w:color w:val="000000" w:themeColor="text1"/>
              </w:rPr>
              <w:t>%</w:t>
            </w:r>
          </w:p>
        </w:tc>
        <w:tc>
          <w:tcPr>
            <w:tcW w:w="810" w:type="dxa"/>
            <w:shd w:val="clear" w:color="auto" w:fill="E7E6E6" w:themeFill="background2"/>
            <w:noWrap/>
            <w:vAlign w:val="bottom"/>
          </w:tcPr>
          <w:p w14:paraId="5333E453" w14:textId="77777777" w:rsidR="00A921C0" w:rsidRPr="007927A4" w:rsidRDefault="00A921C0" w:rsidP="00F12147">
            <w:pPr>
              <w:rPr>
                <w:rFonts w:eastAsiaTheme="minorEastAsia"/>
                <w:b/>
              </w:rPr>
            </w:pPr>
            <w:r w:rsidRPr="7A9D7D5A">
              <w:rPr>
                <w:rFonts w:eastAsiaTheme="minorEastAsia"/>
                <w:color w:val="000000" w:themeColor="text1"/>
              </w:rPr>
              <w:t>61.0</w:t>
            </w:r>
            <w:r>
              <w:rPr>
                <w:rFonts w:eastAsiaTheme="minorEastAsia"/>
                <w:color w:val="000000" w:themeColor="text1"/>
              </w:rPr>
              <w:t>%</w:t>
            </w:r>
          </w:p>
        </w:tc>
        <w:tc>
          <w:tcPr>
            <w:tcW w:w="815" w:type="dxa"/>
            <w:shd w:val="clear" w:color="auto" w:fill="E7E6E6" w:themeFill="background2"/>
            <w:noWrap/>
            <w:vAlign w:val="bottom"/>
          </w:tcPr>
          <w:p w14:paraId="08CB27E3" w14:textId="77777777" w:rsidR="00A921C0" w:rsidRPr="007927A4" w:rsidRDefault="00A921C0" w:rsidP="00F12147">
            <w:pPr>
              <w:rPr>
                <w:rFonts w:eastAsiaTheme="minorEastAsia"/>
              </w:rPr>
            </w:pPr>
            <w:r w:rsidRPr="7A9D7D5A">
              <w:rPr>
                <w:rFonts w:eastAsiaTheme="minorEastAsia"/>
                <w:color w:val="000000" w:themeColor="text1"/>
              </w:rPr>
              <w:t>77.1</w:t>
            </w:r>
            <w:r>
              <w:rPr>
                <w:rFonts w:eastAsiaTheme="minorEastAsia"/>
                <w:color w:val="000000" w:themeColor="text1"/>
              </w:rPr>
              <w:t>%</w:t>
            </w:r>
          </w:p>
        </w:tc>
        <w:tc>
          <w:tcPr>
            <w:tcW w:w="360" w:type="dxa"/>
            <w:vAlign w:val="bottom"/>
          </w:tcPr>
          <w:p w14:paraId="74C5D9DF" w14:textId="77777777" w:rsidR="00A921C0" w:rsidRPr="7A9D7D5A" w:rsidRDefault="00A921C0" w:rsidP="00F12147">
            <w:pPr>
              <w:rPr>
                <w:rFonts w:eastAsiaTheme="minorEastAsia"/>
                <w:color w:val="000000" w:themeColor="text1"/>
              </w:rPr>
            </w:pPr>
          </w:p>
        </w:tc>
        <w:tc>
          <w:tcPr>
            <w:tcW w:w="900" w:type="dxa"/>
            <w:shd w:val="clear" w:color="auto" w:fill="auto"/>
            <w:noWrap/>
            <w:vAlign w:val="bottom"/>
          </w:tcPr>
          <w:p w14:paraId="654438DE" w14:textId="77777777" w:rsidR="00A921C0" w:rsidRPr="007927A4" w:rsidRDefault="00A921C0" w:rsidP="00F12147">
            <w:pPr>
              <w:rPr>
                <w:rFonts w:eastAsiaTheme="minorEastAsia"/>
              </w:rPr>
            </w:pPr>
            <w:r w:rsidRPr="7A9D7D5A">
              <w:rPr>
                <w:rFonts w:eastAsiaTheme="minorEastAsia"/>
                <w:color w:val="000000" w:themeColor="text1"/>
              </w:rPr>
              <w:t>42.2</w:t>
            </w:r>
            <w:r>
              <w:rPr>
                <w:rFonts w:eastAsiaTheme="minorEastAsia"/>
                <w:color w:val="000000" w:themeColor="text1"/>
              </w:rPr>
              <w:t>%</w:t>
            </w:r>
          </w:p>
        </w:tc>
        <w:tc>
          <w:tcPr>
            <w:tcW w:w="900" w:type="dxa"/>
            <w:shd w:val="clear" w:color="auto" w:fill="auto"/>
            <w:noWrap/>
            <w:vAlign w:val="bottom"/>
          </w:tcPr>
          <w:p w14:paraId="05469C68" w14:textId="77777777" w:rsidR="00A921C0" w:rsidRPr="007927A4" w:rsidRDefault="00A921C0" w:rsidP="00F12147">
            <w:pPr>
              <w:rPr>
                <w:rFonts w:eastAsiaTheme="minorEastAsia"/>
              </w:rPr>
            </w:pPr>
            <w:r w:rsidRPr="7A9D7D5A">
              <w:rPr>
                <w:rFonts w:eastAsiaTheme="minorEastAsia"/>
                <w:color w:val="000000" w:themeColor="text1"/>
              </w:rPr>
              <w:t>34.1</w:t>
            </w:r>
            <w:r>
              <w:rPr>
                <w:rFonts w:eastAsiaTheme="minorEastAsia"/>
                <w:color w:val="000000" w:themeColor="text1"/>
              </w:rPr>
              <w:t>%</w:t>
            </w:r>
          </w:p>
        </w:tc>
        <w:tc>
          <w:tcPr>
            <w:tcW w:w="813" w:type="dxa"/>
            <w:shd w:val="clear" w:color="auto" w:fill="auto"/>
            <w:noWrap/>
            <w:vAlign w:val="bottom"/>
          </w:tcPr>
          <w:p w14:paraId="00EAE9A6" w14:textId="77777777" w:rsidR="00A921C0" w:rsidRPr="00E42F35" w:rsidRDefault="00A921C0" w:rsidP="00F12147">
            <w:pPr>
              <w:rPr>
                <w:rFonts w:eastAsiaTheme="minorEastAsia"/>
                <w:b/>
              </w:rPr>
            </w:pPr>
            <w:r w:rsidRPr="7A9D7D5A">
              <w:rPr>
                <w:rFonts w:eastAsiaTheme="minorEastAsia"/>
                <w:b/>
                <w:color w:val="000000" w:themeColor="text1"/>
              </w:rPr>
              <w:t>49.7</w:t>
            </w:r>
            <w:r>
              <w:rPr>
                <w:rFonts w:eastAsiaTheme="minorEastAsia"/>
                <w:b/>
                <w:color w:val="000000" w:themeColor="text1"/>
              </w:rPr>
              <w:t>%</w:t>
            </w:r>
          </w:p>
        </w:tc>
        <w:tc>
          <w:tcPr>
            <w:tcW w:w="270" w:type="dxa"/>
            <w:vAlign w:val="bottom"/>
          </w:tcPr>
          <w:p w14:paraId="4F122AB1" w14:textId="77777777" w:rsidR="00A921C0" w:rsidRPr="7A9D7D5A" w:rsidRDefault="00A921C0" w:rsidP="00F12147">
            <w:pPr>
              <w:rPr>
                <w:rFonts w:eastAsiaTheme="minorEastAsia"/>
                <w:color w:val="000000" w:themeColor="text1"/>
              </w:rPr>
            </w:pPr>
          </w:p>
        </w:tc>
        <w:tc>
          <w:tcPr>
            <w:tcW w:w="900" w:type="dxa"/>
            <w:shd w:val="clear" w:color="auto" w:fill="auto"/>
            <w:noWrap/>
            <w:vAlign w:val="bottom"/>
          </w:tcPr>
          <w:p w14:paraId="06FCBAA5" w14:textId="77777777" w:rsidR="00A921C0" w:rsidRPr="007927A4" w:rsidRDefault="00A921C0" w:rsidP="00F12147">
            <w:pPr>
              <w:rPr>
                <w:rFonts w:eastAsiaTheme="minorEastAsia"/>
                <w:b/>
              </w:rPr>
            </w:pPr>
            <w:r w:rsidRPr="7A9D7D5A">
              <w:rPr>
                <w:rFonts w:eastAsiaTheme="minorEastAsia"/>
                <w:color w:val="000000" w:themeColor="text1"/>
              </w:rPr>
              <w:t>54.9</w:t>
            </w:r>
            <w:r>
              <w:rPr>
                <w:rFonts w:eastAsiaTheme="minorEastAsia"/>
                <w:color w:val="000000" w:themeColor="text1"/>
              </w:rPr>
              <w:t>%</w:t>
            </w:r>
          </w:p>
        </w:tc>
        <w:tc>
          <w:tcPr>
            <w:tcW w:w="810" w:type="dxa"/>
            <w:shd w:val="clear" w:color="auto" w:fill="auto"/>
            <w:noWrap/>
            <w:vAlign w:val="bottom"/>
          </w:tcPr>
          <w:p w14:paraId="289111ED" w14:textId="77777777" w:rsidR="00A921C0" w:rsidRPr="007927A4" w:rsidRDefault="00A921C0" w:rsidP="00F12147">
            <w:pPr>
              <w:rPr>
                <w:rFonts w:eastAsiaTheme="minorEastAsia"/>
              </w:rPr>
            </w:pPr>
            <w:r w:rsidRPr="7A9D7D5A">
              <w:rPr>
                <w:rFonts w:eastAsiaTheme="minorEastAsia"/>
                <w:color w:val="000000" w:themeColor="text1"/>
              </w:rPr>
              <w:t>44.3</w:t>
            </w:r>
            <w:r>
              <w:rPr>
                <w:rFonts w:eastAsiaTheme="minorEastAsia"/>
                <w:color w:val="000000" w:themeColor="text1"/>
              </w:rPr>
              <w:t>%</w:t>
            </w:r>
          </w:p>
        </w:tc>
        <w:tc>
          <w:tcPr>
            <w:tcW w:w="810" w:type="dxa"/>
            <w:shd w:val="clear" w:color="auto" w:fill="auto"/>
            <w:noWrap/>
            <w:vAlign w:val="bottom"/>
          </w:tcPr>
          <w:p w14:paraId="60697D99" w14:textId="77777777" w:rsidR="00A921C0" w:rsidRPr="007927A4" w:rsidRDefault="00A921C0" w:rsidP="00F12147">
            <w:pPr>
              <w:rPr>
                <w:rFonts w:eastAsiaTheme="minorEastAsia"/>
              </w:rPr>
            </w:pPr>
            <w:r w:rsidRPr="7A9D7D5A">
              <w:rPr>
                <w:rFonts w:eastAsiaTheme="minorEastAsia"/>
                <w:color w:val="000000" w:themeColor="text1"/>
              </w:rPr>
              <w:t>40.7</w:t>
            </w:r>
            <w:r>
              <w:rPr>
                <w:rFonts w:eastAsiaTheme="minorEastAsia"/>
                <w:color w:val="000000" w:themeColor="text1"/>
              </w:rPr>
              <w:t>%</w:t>
            </w:r>
          </w:p>
        </w:tc>
      </w:tr>
      <w:tr w:rsidR="00A921C0" w:rsidRPr="007927A4" w14:paraId="1D189E2A" w14:textId="77777777" w:rsidTr="6A9E2235">
        <w:trPr>
          <w:trHeight w:val="320"/>
        </w:trPr>
        <w:tc>
          <w:tcPr>
            <w:tcW w:w="1705" w:type="dxa"/>
            <w:shd w:val="clear" w:color="auto" w:fill="auto"/>
            <w:noWrap/>
            <w:vAlign w:val="bottom"/>
          </w:tcPr>
          <w:p w14:paraId="206032C7" w14:textId="77777777" w:rsidR="00A921C0" w:rsidRPr="007927A4" w:rsidRDefault="00A921C0" w:rsidP="004B1105">
            <w:pPr>
              <w:rPr>
                <w:rFonts w:eastAsiaTheme="minorEastAsia"/>
                <w:color w:val="000000"/>
              </w:rPr>
            </w:pPr>
            <w:r w:rsidRPr="7A9D7D5A">
              <w:rPr>
                <w:rFonts w:eastAsiaTheme="minorEastAsia"/>
                <w:color w:val="000000" w:themeColor="text1"/>
              </w:rPr>
              <w:t>White</w:t>
            </w:r>
          </w:p>
        </w:tc>
        <w:tc>
          <w:tcPr>
            <w:tcW w:w="900" w:type="dxa"/>
            <w:shd w:val="clear" w:color="auto" w:fill="E7E6E6" w:themeFill="background2"/>
            <w:noWrap/>
            <w:vAlign w:val="bottom"/>
          </w:tcPr>
          <w:p w14:paraId="2588AE32" w14:textId="77777777" w:rsidR="00A921C0" w:rsidRPr="007927A4" w:rsidRDefault="00A921C0" w:rsidP="00F12147">
            <w:pPr>
              <w:rPr>
                <w:rFonts w:eastAsiaTheme="minorEastAsia"/>
              </w:rPr>
            </w:pPr>
            <w:r w:rsidRPr="7A9D7D5A">
              <w:rPr>
                <w:rFonts w:eastAsiaTheme="minorEastAsia"/>
                <w:color w:val="000000" w:themeColor="text1"/>
              </w:rPr>
              <w:t>63.5</w:t>
            </w:r>
            <w:r>
              <w:rPr>
                <w:rFonts w:eastAsiaTheme="minorEastAsia"/>
                <w:color w:val="000000" w:themeColor="text1"/>
              </w:rPr>
              <w:t>%</w:t>
            </w:r>
          </w:p>
        </w:tc>
        <w:tc>
          <w:tcPr>
            <w:tcW w:w="810" w:type="dxa"/>
            <w:shd w:val="clear" w:color="auto" w:fill="E7E6E6" w:themeFill="background2"/>
            <w:noWrap/>
            <w:vAlign w:val="bottom"/>
          </w:tcPr>
          <w:p w14:paraId="078F8CF5" w14:textId="77777777" w:rsidR="00A921C0" w:rsidRPr="007927A4" w:rsidRDefault="00A921C0" w:rsidP="00F12147">
            <w:pPr>
              <w:rPr>
                <w:rFonts w:eastAsiaTheme="minorEastAsia"/>
                <w:b/>
              </w:rPr>
            </w:pPr>
            <w:r w:rsidRPr="7A9D7D5A">
              <w:rPr>
                <w:rFonts w:eastAsiaTheme="minorEastAsia"/>
                <w:color w:val="000000" w:themeColor="text1"/>
              </w:rPr>
              <w:t>55.0</w:t>
            </w:r>
            <w:r>
              <w:rPr>
                <w:rFonts w:eastAsiaTheme="minorEastAsia"/>
                <w:color w:val="000000" w:themeColor="text1"/>
              </w:rPr>
              <w:t>%</w:t>
            </w:r>
          </w:p>
        </w:tc>
        <w:tc>
          <w:tcPr>
            <w:tcW w:w="815" w:type="dxa"/>
            <w:shd w:val="clear" w:color="auto" w:fill="E7E6E6" w:themeFill="background2"/>
            <w:noWrap/>
            <w:vAlign w:val="bottom"/>
          </w:tcPr>
          <w:p w14:paraId="291F4FD9" w14:textId="77777777" w:rsidR="00A921C0" w:rsidRPr="007927A4" w:rsidRDefault="00A921C0" w:rsidP="00F12147">
            <w:pPr>
              <w:rPr>
                <w:rFonts w:eastAsiaTheme="minorEastAsia"/>
              </w:rPr>
            </w:pPr>
            <w:r w:rsidRPr="7A9D7D5A">
              <w:rPr>
                <w:rFonts w:eastAsiaTheme="minorEastAsia"/>
                <w:color w:val="000000" w:themeColor="text1"/>
              </w:rPr>
              <w:t>84.8</w:t>
            </w:r>
            <w:r>
              <w:rPr>
                <w:rFonts w:eastAsiaTheme="minorEastAsia"/>
                <w:color w:val="000000" w:themeColor="text1"/>
              </w:rPr>
              <w:t>%</w:t>
            </w:r>
          </w:p>
        </w:tc>
        <w:tc>
          <w:tcPr>
            <w:tcW w:w="360" w:type="dxa"/>
            <w:vAlign w:val="bottom"/>
          </w:tcPr>
          <w:p w14:paraId="3146FE31" w14:textId="77777777" w:rsidR="00A921C0" w:rsidRPr="7A9D7D5A" w:rsidRDefault="00A921C0" w:rsidP="00F12147">
            <w:pPr>
              <w:rPr>
                <w:rFonts w:eastAsiaTheme="minorEastAsia"/>
                <w:color w:val="000000" w:themeColor="text1"/>
              </w:rPr>
            </w:pPr>
          </w:p>
        </w:tc>
        <w:tc>
          <w:tcPr>
            <w:tcW w:w="900" w:type="dxa"/>
            <w:shd w:val="clear" w:color="auto" w:fill="auto"/>
            <w:noWrap/>
            <w:vAlign w:val="bottom"/>
          </w:tcPr>
          <w:p w14:paraId="0B9266C9" w14:textId="77777777" w:rsidR="00A921C0" w:rsidRPr="007927A4" w:rsidRDefault="00A921C0" w:rsidP="00F12147">
            <w:pPr>
              <w:rPr>
                <w:rFonts w:eastAsiaTheme="minorEastAsia"/>
              </w:rPr>
            </w:pPr>
            <w:r w:rsidRPr="7A9D7D5A">
              <w:rPr>
                <w:rFonts w:eastAsiaTheme="minorEastAsia"/>
                <w:color w:val="000000" w:themeColor="text1"/>
              </w:rPr>
              <w:t>39.1</w:t>
            </w:r>
            <w:r>
              <w:rPr>
                <w:rFonts w:eastAsiaTheme="minorEastAsia"/>
                <w:color w:val="000000" w:themeColor="text1"/>
              </w:rPr>
              <w:t>%</w:t>
            </w:r>
          </w:p>
        </w:tc>
        <w:tc>
          <w:tcPr>
            <w:tcW w:w="900" w:type="dxa"/>
            <w:shd w:val="clear" w:color="auto" w:fill="auto"/>
            <w:noWrap/>
            <w:vAlign w:val="bottom"/>
          </w:tcPr>
          <w:p w14:paraId="0A7DDD5A" w14:textId="77777777" w:rsidR="00A921C0" w:rsidRPr="007927A4" w:rsidRDefault="00A921C0" w:rsidP="00F12147">
            <w:pPr>
              <w:rPr>
                <w:rFonts w:eastAsiaTheme="minorEastAsia"/>
              </w:rPr>
            </w:pPr>
            <w:r w:rsidRPr="7A9D7D5A">
              <w:rPr>
                <w:rFonts w:eastAsiaTheme="minorEastAsia"/>
                <w:color w:val="000000" w:themeColor="text1"/>
              </w:rPr>
              <w:t>41.5</w:t>
            </w:r>
            <w:r>
              <w:rPr>
                <w:rFonts w:eastAsiaTheme="minorEastAsia"/>
                <w:color w:val="000000" w:themeColor="text1"/>
              </w:rPr>
              <w:t>%</w:t>
            </w:r>
          </w:p>
        </w:tc>
        <w:tc>
          <w:tcPr>
            <w:tcW w:w="813" w:type="dxa"/>
            <w:shd w:val="clear" w:color="auto" w:fill="auto"/>
            <w:noWrap/>
            <w:vAlign w:val="bottom"/>
          </w:tcPr>
          <w:p w14:paraId="19A17F3E" w14:textId="77777777" w:rsidR="00A921C0" w:rsidRPr="00E42F35" w:rsidRDefault="00A921C0" w:rsidP="00F12147">
            <w:pPr>
              <w:rPr>
                <w:rFonts w:eastAsiaTheme="minorEastAsia"/>
                <w:b/>
              </w:rPr>
            </w:pPr>
            <w:r w:rsidRPr="7A9D7D5A">
              <w:rPr>
                <w:rFonts w:eastAsiaTheme="minorEastAsia"/>
                <w:b/>
                <w:color w:val="000000" w:themeColor="text1"/>
              </w:rPr>
              <w:t>54.3</w:t>
            </w:r>
            <w:r>
              <w:rPr>
                <w:rFonts w:eastAsiaTheme="minorEastAsia"/>
                <w:b/>
                <w:color w:val="000000" w:themeColor="text1"/>
              </w:rPr>
              <w:t>%</w:t>
            </w:r>
          </w:p>
        </w:tc>
        <w:tc>
          <w:tcPr>
            <w:tcW w:w="270" w:type="dxa"/>
            <w:vAlign w:val="bottom"/>
          </w:tcPr>
          <w:p w14:paraId="639B342E" w14:textId="77777777" w:rsidR="00A921C0" w:rsidRPr="7A9D7D5A" w:rsidRDefault="00A921C0" w:rsidP="00F12147">
            <w:pPr>
              <w:rPr>
                <w:rFonts w:eastAsiaTheme="minorEastAsia"/>
                <w:color w:val="000000" w:themeColor="text1"/>
              </w:rPr>
            </w:pPr>
          </w:p>
        </w:tc>
        <w:tc>
          <w:tcPr>
            <w:tcW w:w="900" w:type="dxa"/>
            <w:shd w:val="clear" w:color="auto" w:fill="E7E6E6" w:themeFill="background2"/>
            <w:noWrap/>
            <w:vAlign w:val="bottom"/>
          </w:tcPr>
          <w:p w14:paraId="542DAD90" w14:textId="77777777" w:rsidR="00A921C0" w:rsidRPr="007927A4" w:rsidRDefault="00A921C0" w:rsidP="00F12147">
            <w:pPr>
              <w:rPr>
                <w:rFonts w:eastAsiaTheme="minorEastAsia"/>
                <w:b/>
              </w:rPr>
            </w:pPr>
            <w:r w:rsidRPr="7A9D7D5A">
              <w:rPr>
                <w:rFonts w:eastAsiaTheme="minorEastAsia"/>
                <w:color w:val="000000" w:themeColor="text1"/>
              </w:rPr>
              <w:t>79.5</w:t>
            </w:r>
            <w:r>
              <w:rPr>
                <w:rFonts w:eastAsiaTheme="minorEastAsia"/>
                <w:color w:val="000000" w:themeColor="text1"/>
              </w:rPr>
              <w:t>%</w:t>
            </w:r>
          </w:p>
        </w:tc>
        <w:tc>
          <w:tcPr>
            <w:tcW w:w="810" w:type="dxa"/>
            <w:shd w:val="clear" w:color="auto" w:fill="E7E6E6" w:themeFill="background2"/>
            <w:noWrap/>
            <w:vAlign w:val="bottom"/>
          </w:tcPr>
          <w:p w14:paraId="776859E1" w14:textId="77777777" w:rsidR="00A921C0" w:rsidRPr="007927A4" w:rsidRDefault="00A921C0" w:rsidP="00F12147">
            <w:pPr>
              <w:rPr>
                <w:rFonts w:eastAsiaTheme="minorEastAsia"/>
              </w:rPr>
            </w:pPr>
            <w:r w:rsidRPr="7A9D7D5A">
              <w:rPr>
                <w:rFonts w:eastAsiaTheme="minorEastAsia"/>
                <w:color w:val="000000" w:themeColor="text1"/>
              </w:rPr>
              <w:t>59.8</w:t>
            </w:r>
            <w:r>
              <w:rPr>
                <w:rFonts w:eastAsiaTheme="minorEastAsia"/>
                <w:color w:val="000000" w:themeColor="text1"/>
              </w:rPr>
              <w:t>%</w:t>
            </w:r>
          </w:p>
        </w:tc>
        <w:tc>
          <w:tcPr>
            <w:tcW w:w="810" w:type="dxa"/>
            <w:shd w:val="clear" w:color="auto" w:fill="E7E6E6" w:themeFill="background2"/>
            <w:noWrap/>
            <w:vAlign w:val="bottom"/>
          </w:tcPr>
          <w:p w14:paraId="794D1481" w14:textId="77777777" w:rsidR="00A921C0" w:rsidRPr="007927A4" w:rsidRDefault="00A921C0" w:rsidP="00F12147">
            <w:pPr>
              <w:rPr>
                <w:rFonts w:eastAsiaTheme="minorEastAsia"/>
              </w:rPr>
            </w:pPr>
            <w:r w:rsidRPr="7A9D7D5A">
              <w:rPr>
                <w:rFonts w:eastAsiaTheme="minorEastAsia"/>
                <w:color w:val="000000" w:themeColor="text1"/>
              </w:rPr>
              <w:t>55.8</w:t>
            </w:r>
            <w:r>
              <w:rPr>
                <w:rFonts w:eastAsiaTheme="minorEastAsia"/>
                <w:color w:val="000000" w:themeColor="text1"/>
              </w:rPr>
              <w:t>%</w:t>
            </w:r>
          </w:p>
        </w:tc>
      </w:tr>
      <w:tr w:rsidR="00A921C0" w:rsidRPr="007927A4" w14:paraId="49C0B02B" w14:textId="77777777" w:rsidTr="6A9E2235">
        <w:trPr>
          <w:trHeight w:val="320"/>
        </w:trPr>
        <w:tc>
          <w:tcPr>
            <w:tcW w:w="1705" w:type="dxa"/>
            <w:shd w:val="clear" w:color="auto" w:fill="auto"/>
            <w:noWrap/>
            <w:vAlign w:val="bottom"/>
          </w:tcPr>
          <w:p w14:paraId="54786A21" w14:textId="77777777" w:rsidR="00A921C0" w:rsidRPr="7A9D7D5A" w:rsidRDefault="00A921C0" w:rsidP="004B1105">
            <w:pPr>
              <w:rPr>
                <w:rFonts w:eastAsiaTheme="minorEastAsia"/>
                <w:b/>
                <w:color w:val="000000" w:themeColor="text1"/>
              </w:rPr>
            </w:pPr>
            <w:r>
              <w:rPr>
                <w:rFonts w:eastAsiaTheme="minorEastAsia"/>
                <w:color w:val="000000" w:themeColor="text1"/>
              </w:rPr>
              <w:t>Another race</w:t>
            </w:r>
          </w:p>
        </w:tc>
        <w:tc>
          <w:tcPr>
            <w:tcW w:w="900" w:type="dxa"/>
            <w:shd w:val="clear" w:color="auto" w:fill="auto"/>
            <w:noWrap/>
            <w:vAlign w:val="bottom"/>
          </w:tcPr>
          <w:p w14:paraId="2A8C48A9" w14:textId="77777777" w:rsidR="00A921C0" w:rsidRPr="007927A4" w:rsidRDefault="00A921C0" w:rsidP="00F12147">
            <w:pPr>
              <w:rPr>
                <w:rFonts w:eastAsiaTheme="minorEastAsia"/>
              </w:rPr>
            </w:pPr>
            <w:r w:rsidRPr="7A9D7D5A">
              <w:rPr>
                <w:rFonts w:eastAsiaTheme="minorEastAsia"/>
                <w:color w:val="000000" w:themeColor="text1"/>
              </w:rPr>
              <w:t>46.2</w:t>
            </w:r>
            <w:r>
              <w:rPr>
                <w:rFonts w:eastAsiaTheme="minorEastAsia"/>
                <w:color w:val="000000" w:themeColor="text1"/>
              </w:rPr>
              <w:t>%</w:t>
            </w:r>
          </w:p>
        </w:tc>
        <w:tc>
          <w:tcPr>
            <w:tcW w:w="810" w:type="dxa"/>
            <w:shd w:val="clear" w:color="auto" w:fill="auto"/>
            <w:noWrap/>
            <w:vAlign w:val="bottom"/>
          </w:tcPr>
          <w:p w14:paraId="62CC389C" w14:textId="77777777" w:rsidR="00A921C0" w:rsidRPr="007927A4" w:rsidRDefault="00A921C0" w:rsidP="00F12147">
            <w:pPr>
              <w:rPr>
                <w:rFonts w:eastAsiaTheme="minorEastAsia"/>
                <w:b/>
              </w:rPr>
            </w:pPr>
            <w:r w:rsidRPr="7A9D7D5A">
              <w:rPr>
                <w:rFonts w:eastAsiaTheme="minorEastAsia"/>
                <w:color w:val="000000" w:themeColor="text1"/>
              </w:rPr>
              <w:t>71.8</w:t>
            </w:r>
            <w:r>
              <w:rPr>
                <w:rFonts w:eastAsiaTheme="minorEastAsia"/>
                <w:color w:val="000000" w:themeColor="text1"/>
              </w:rPr>
              <w:t>%</w:t>
            </w:r>
          </w:p>
        </w:tc>
        <w:tc>
          <w:tcPr>
            <w:tcW w:w="815" w:type="dxa"/>
            <w:shd w:val="clear" w:color="auto" w:fill="auto"/>
            <w:noWrap/>
            <w:vAlign w:val="bottom"/>
          </w:tcPr>
          <w:p w14:paraId="4FA4A1DF" w14:textId="77777777" w:rsidR="00A921C0" w:rsidRPr="007927A4" w:rsidRDefault="00A921C0" w:rsidP="00F12147">
            <w:pPr>
              <w:rPr>
                <w:rFonts w:eastAsiaTheme="minorEastAsia"/>
              </w:rPr>
            </w:pPr>
            <w:r w:rsidRPr="7A9D7D5A">
              <w:rPr>
                <w:rFonts w:eastAsiaTheme="minorEastAsia"/>
                <w:color w:val="000000" w:themeColor="text1"/>
              </w:rPr>
              <w:t>80.1</w:t>
            </w:r>
            <w:r>
              <w:rPr>
                <w:rFonts w:eastAsiaTheme="minorEastAsia"/>
                <w:color w:val="000000" w:themeColor="text1"/>
              </w:rPr>
              <w:t>%</w:t>
            </w:r>
          </w:p>
        </w:tc>
        <w:tc>
          <w:tcPr>
            <w:tcW w:w="360" w:type="dxa"/>
            <w:vAlign w:val="bottom"/>
          </w:tcPr>
          <w:p w14:paraId="79E2C2BF" w14:textId="77777777" w:rsidR="00A921C0" w:rsidRPr="7A9D7D5A" w:rsidRDefault="00A921C0" w:rsidP="00F12147">
            <w:pPr>
              <w:rPr>
                <w:rFonts w:eastAsiaTheme="minorEastAsia"/>
                <w:color w:val="000000" w:themeColor="text1"/>
              </w:rPr>
            </w:pPr>
          </w:p>
        </w:tc>
        <w:tc>
          <w:tcPr>
            <w:tcW w:w="900" w:type="dxa"/>
            <w:shd w:val="clear" w:color="auto" w:fill="auto"/>
            <w:noWrap/>
            <w:vAlign w:val="bottom"/>
          </w:tcPr>
          <w:p w14:paraId="0B561852" w14:textId="77777777" w:rsidR="00A921C0" w:rsidRPr="007927A4" w:rsidRDefault="00A921C0" w:rsidP="00F12147">
            <w:pPr>
              <w:rPr>
                <w:rFonts w:eastAsiaTheme="minorEastAsia"/>
              </w:rPr>
            </w:pPr>
            <w:r w:rsidRPr="7A9D7D5A">
              <w:rPr>
                <w:rFonts w:eastAsiaTheme="minorEastAsia"/>
                <w:color w:val="000000" w:themeColor="text1"/>
              </w:rPr>
              <w:t>41.3</w:t>
            </w:r>
            <w:r>
              <w:rPr>
                <w:rFonts w:eastAsiaTheme="minorEastAsia"/>
                <w:color w:val="000000" w:themeColor="text1"/>
              </w:rPr>
              <w:t>%</w:t>
            </w:r>
          </w:p>
        </w:tc>
        <w:tc>
          <w:tcPr>
            <w:tcW w:w="900" w:type="dxa"/>
            <w:shd w:val="clear" w:color="auto" w:fill="auto"/>
            <w:noWrap/>
            <w:vAlign w:val="bottom"/>
          </w:tcPr>
          <w:p w14:paraId="00EFA9BB" w14:textId="77777777" w:rsidR="00A921C0" w:rsidRPr="007927A4" w:rsidRDefault="00A921C0" w:rsidP="00F12147">
            <w:pPr>
              <w:rPr>
                <w:rFonts w:eastAsiaTheme="minorEastAsia"/>
              </w:rPr>
            </w:pPr>
            <w:r w:rsidRPr="7A9D7D5A">
              <w:rPr>
                <w:rFonts w:eastAsiaTheme="minorEastAsia"/>
                <w:color w:val="000000" w:themeColor="text1"/>
              </w:rPr>
              <w:t>43.3</w:t>
            </w:r>
            <w:r>
              <w:rPr>
                <w:rFonts w:eastAsiaTheme="minorEastAsia"/>
                <w:color w:val="000000" w:themeColor="text1"/>
              </w:rPr>
              <w:t>%</w:t>
            </w:r>
          </w:p>
        </w:tc>
        <w:tc>
          <w:tcPr>
            <w:tcW w:w="813" w:type="dxa"/>
            <w:shd w:val="clear" w:color="auto" w:fill="auto"/>
            <w:noWrap/>
            <w:vAlign w:val="bottom"/>
          </w:tcPr>
          <w:p w14:paraId="054F174C" w14:textId="77777777" w:rsidR="00A921C0" w:rsidRPr="007927A4" w:rsidRDefault="00A921C0" w:rsidP="00F12147">
            <w:pPr>
              <w:rPr>
                <w:rFonts w:eastAsiaTheme="minorEastAsia"/>
              </w:rPr>
            </w:pPr>
            <w:r w:rsidRPr="7A9D7D5A">
              <w:rPr>
                <w:rFonts w:eastAsiaTheme="minorEastAsia"/>
                <w:b/>
                <w:color w:val="000000" w:themeColor="text1"/>
              </w:rPr>
              <w:t>66.0</w:t>
            </w:r>
            <w:r>
              <w:rPr>
                <w:rFonts w:eastAsiaTheme="minorEastAsia"/>
                <w:b/>
                <w:color w:val="000000" w:themeColor="text1"/>
              </w:rPr>
              <w:t>%</w:t>
            </w:r>
          </w:p>
        </w:tc>
        <w:tc>
          <w:tcPr>
            <w:tcW w:w="270" w:type="dxa"/>
            <w:vAlign w:val="bottom"/>
          </w:tcPr>
          <w:p w14:paraId="463D601A" w14:textId="77777777" w:rsidR="00A921C0" w:rsidRPr="7A9D7D5A" w:rsidRDefault="00A921C0" w:rsidP="00F12147">
            <w:pPr>
              <w:rPr>
                <w:rFonts w:eastAsiaTheme="minorEastAsia"/>
                <w:color w:val="000000" w:themeColor="text1"/>
              </w:rPr>
            </w:pPr>
          </w:p>
        </w:tc>
        <w:tc>
          <w:tcPr>
            <w:tcW w:w="900" w:type="dxa"/>
            <w:shd w:val="clear" w:color="auto" w:fill="auto"/>
            <w:noWrap/>
            <w:vAlign w:val="bottom"/>
          </w:tcPr>
          <w:p w14:paraId="3B9CB234" w14:textId="77777777" w:rsidR="00A921C0" w:rsidRPr="007927A4" w:rsidRDefault="00A921C0" w:rsidP="00F12147">
            <w:pPr>
              <w:rPr>
                <w:rFonts w:eastAsiaTheme="minorEastAsia"/>
                <w:b/>
              </w:rPr>
            </w:pPr>
            <w:r w:rsidRPr="7A9D7D5A">
              <w:rPr>
                <w:rFonts w:eastAsiaTheme="minorEastAsia"/>
                <w:color w:val="000000" w:themeColor="text1"/>
              </w:rPr>
              <w:t>74.3</w:t>
            </w:r>
            <w:r>
              <w:rPr>
                <w:rFonts w:eastAsiaTheme="minorEastAsia"/>
                <w:color w:val="000000" w:themeColor="text1"/>
              </w:rPr>
              <w:t>%</w:t>
            </w:r>
          </w:p>
        </w:tc>
        <w:tc>
          <w:tcPr>
            <w:tcW w:w="810" w:type="dxa"/>
            <w:shd w:val="clear" w:color="auto" w:fill="auto"/>
            <w:noWrap/>
            <w:vAlign w:val="bottom"/>
          </w:tcPr>
          <w:p w14:paraId="056D5494" w14:textId="77777777" w:rsidR="00A921C0" w:rsidRPr="007927A4" w:rsidRDefault="00A921C0" w:rsidP="00F12147">
            <w:pPr>
              <w:rPr>
                <w:rFonts w:eastAsiaTheme="minorEastAsia"/>
              </w:rPr>
            </w:pPr>
            <w:r w:rsidRPr="7A9D7D5A">
              <w:rPr>
                <w:rFonts w:eastAsiaTheme="minorEastAsia"/>
                <w:color w:val="000000" w:themeColor="text1"/>
              </w:rPr>
              <w:t>44.9</w:t>
            </w:r>
            <w:r>
              <w:rPr>
                <w:rFonts w:eastAsiaTheme="minorEastAsia"/>
                <w:color w:val="000000" w:themeColor="text1"/>
              </w:rPr>
              <w:t>%</w:t>
            </w:r>
          </w:p>
        </w:tc>
        <w:tc>
          <w:tcPr>
            <w:tcW w:w="810" w:type="dxa"/>
            <w:shd w:val="clear" w:color="auto" w:fill="auto"/>
            <w:noWrap/>
            <w:vAlign w:val="bottom"/>
          </w:tcPr>
          <w:p w14:paraId="4E526384" w14:textId="77777777" w:rsidR="00A921C0" w:rsidRPr="7A9D7D5A" w:rsidRDefault="00A921C0" w:rsidP="00F12147">
            <w:pPr>
              <w:rPr>
                <w:rFonts w:eastAsiaTheme="minorEastAsia"/>
                <w:color w:val="000000" w:themeColor="text1"/>
              </w:rPr>
            </w:pPr>
            <w:r w:rsidRPr="7A9D7D5A">
              <w:rPr>
                <w:rFonts w:eastAsiaTheme="minorEastAsia"/>
                <w:color w:val="000000" w:themeColor="text1"/>
              </w:rPr>
              <w:t>34.6</w:t>
            </w:r>
            <w:r>
              <w:rPr>
                <w:rFonts w:eastAsiaTheme="minorEastAsia"/>
                <w:color w:val="000000" w:themeColor="text1"/>
              </w:rPr>
              <w:t>%</w:t>
            </w:r>
          </w:p>
        </w:tc>
      </w:tr>
      <w:tr w:rsidR="00A921C0" w:rsidRPr="007927A4" w14:paraId="135A54FE" w14:textId="77777777" w:rsidTr="6A9E2235">
        <w:trPr>
          <w:trHeight w:val="320"/>
        </w:trPr>
        <w:tc>
          <w:tcPr>
            <w:tcW w:w="1705" w:type="dxa"/>
            <w:shd w:val="clear" w:color="auto" w:fill="auto"/>
            <w:noWrap/>
            <w:vAlign w:val="bottom"/>
          </w:tcPr>
          <w:p w14:paraId="00334D13" w14:textId="29772EA7" w:rsidR="00A921C0" w:rsidRPr="007927A4" w:rsidRDefault="00206681" w:rsidP="004B1105">
            <w:pPr>
              <w:rPr>
                <w:rFonts w:eastAsiaTheme="minorEastAsia"/>
                <w:color w:val="000000"/>
              </w:rPr>
            </w:pPr>
            <w:r>
              <w:rPr>
                <w:rFonts w:eastAsiaTheme="minorEastAsia"/>
                <w:b/>
                <w:color w:val="000000" w:themeColor="text1"/>
              </w:rPr>
              <w:t>High</w:t>
            </w:r>
            <w:r w:rsidR="00A921C0" w:rsidRPr="7A9D7D5A">
              <w:rPr>
                <w:rFonts w:eastAsiaTheme="minorEastAsia"/>
                <w:b/>
                <w:color w:val="000000" w:themeColor="text1"/>
              </w:rPr>
              <w:t xml:space="preserve"> </w:t>
            </w:r>
            <w:r w:rsidR="00A921C0">
              <w:rPr>
                <w:rFonts w:eastAsiaTheme="minorEastAsia"/>
                <w:b/>
                <w:color w:val="000000" w:themeColor="text1"/>
              </w:rPr>
              <w:t>Income</w:t>
            </w:r>
          </w:p>
        </w:tc>
        <w:tc>
          <w:tcPr>
            <w:tcW w:w="900" w:type="dxa"/>
            <w:shd w:val="clear" w:color="auto" w:fill="auto"/>
            <w:noWrap/>
            <w:vAlign w:val="bottom"/>
          </w:tcPr>
          <w:p w14:paraId="4B207126" w14:textId="77777777" w:rsidR="00A921C0" w:rsidRPr="007927A4" w:rsidRDefault="00A921C0" w:rsidP="00F12147">
            <w:pPr>
              <w:rPr>
                <w:rFonts w:eastAsiaTheme="minorEastAsia"/>
              </w:rPr>
            </w:pPr>
          </w:p>
        </w:tc>
        <w:tc>
          <w:tcPr>
            <w:tcW w:w="810" w:type="dxa"/>
            <w:shd w:val="clear" w:color="auto" w:fill="auto"/>
            <w:noWrap/>
            <w:vAlign w:val="bottom"/>
          </w:tcPr>
          <w:p w14:paraId="36A18ED5" w14:textId="77777777" w:rsidR="00A921C0" w:rsidRPr="007927A4" w:rsidRDefault="00A921C0" w:rsidP="00F12147">
            <w:pPr>
              <w:rPr>
                <w:rFonts w:eastAsiaTheme="minorEastAsia"/>
                <w:b/>
              </w:rPr>
            </w:pPr>
          </w:p>
        </w:tc>
        <w:tc>
          <w:tcPr>
            <w:tcW w:w="815" w:type="dxa"/>
            <w:shd w:val="clear" w:color="auto" w:fill="auto"/>
            <w:noWrap/>
            <w:vAlign w:val="bottom"/>
          </w:tcPr>
          <w:p w14:paraId="6EF142F0" w14:textId="77777777" w:rsidR="00A921C0" w:rsidRPr="007927A4" w:rsidRDefault="00A921C0" w:rsidP="00F12147">
            <w:pPr>
              <w:rPr>
                <w:rFonts w:eastAsiaTheme="minorEastAsia"/>
              </w:rPr>
            </w:pPr>
          </w:p>
        </w:tc>
        <w:tc>
          <w:tcPr>
            <w:tcW w:w="360" w:type="dxa"/>
            <w:vAlign w:val="bottom"/>
          </w:tcPr>
          <w:p w14:paraId="38A1EEEB" w14:textId="77777777" w:rsidR="00A921C0" w:rsidRPr="007927A4" w:rsidRDefault="00A921C0" w:rsidP="00F12147">
            <w:pPr>
              <w:rPr>
                <w:rFonts w:eastAsiaTheme="minorEastAsia"/>
              </w:rPr>
            </w:pPr>
          </w:p>
        </w:tc>
        <w:tc>
          <w:tcPr>
            <w:tcW w:w="900" w:type="dxa"/>
            <w:shd w:val="clear" w:color="auto" w:fill="auto"/>
            <w:noWrap/>
            <w:vAlign w:val="bottom"/>
          </w:tcPr>
          <w:p w14:paraId="37577F45" w14:textId="77777777" w:rsidR="00A921C0" w:rsidRPr="007927A4" w:rsidRDefault="00A921C0" w:rsidP="00F12147">
            <w:pPr>
              <w:rPr>
                <w:rFonts w:eastAsiaTheme="minorEastAsia"/>
              </w:rPr>
            </w:pPr>
          </w:p>
        </w:tc>
        <w:tc>
          <w:tcPr>
            <w:tcW w:w="900" w:type="dxa"/>
            <w:shd w:val="clear" w:color="auto" w:fill="auto"/>
            <w:noWrap/>
            <w:vAlign w:val="bottom"/>
          </w:tcPr>
          <w:p w14:paraId="32BA4200" w14:textId="77777777" w:rsidR="00A921C0" w:rsidRPr="007927A4" w:rsidRDefault="00A921C0" w:rsidP="00F12147">
            <w:pPr>
              <w:rPr>
                <w:rFonts w:eastAsiaTheme="minorEastAsia"/>
              </w:rPr>
            </w:pPr>
          </w:p>
        </w:tc>
        <w:tc>
          <w:tcPr>
            <w:tcW w:w="813" w:type="dxa"/>
            <w:shd w:val="clear" w:color="auto" w:fill="auto"/>
            <w:noWrap/>
            <w:vAlign w:val="bottom"/>
          </w:tcPr>
          <w:p w14:paraId="2E82BBDD" w14:textId="77777777" w:rsidR="00A921C0" w:rsidRPr="007927A4" w:rsidRDefault="00A921C0" w:rsidP="00F12147">
            <w:pPr>
              <w:rPr>
                <w:rFonts w:eastAsiaTheme="minorEastAsia"/>
              </w:rPr>
            </w:pPr>
          </w:p>
        </w:tc>
        <w:tc>
          <w:tcPr>
            <w:tcW w:w="270" w:type="dxa"/>
            <w:vAlign w:val="bottom"/>
          </w:tcPr>
          <w:p w14:paraId="686DDA29" w14:textId="77777777" w:rsidR="00A921C0" w:rsidRPr="007927A4" w:rsidRDefault="00A921C0" w:rsidP="00F12147">
            <w:pPr>
              <w:rPr>
                <w:rFonts w:eastAsiaTheme="minorEastAsia"/>
                <w:b/>
              </w:rPr>
            </w:pPr>
          </w:p>
        </w:tc>
        <w:tc>
          <w:tcPr>
            <w:tcW w:w="900" w:type="dxa"/>
            <w:shd w:val="clear" w:color="auto" w:fill="auto"/>
            <w:noWrap/>
            <w:vAlign w:val="bottom"/>
          </w:tcPr>
          <w:p w14:paraId="59573EAB" w14:textId="77777777" w:rsidR="00A921C0" w:rsidRPr="007927A4" w:rsidRDefault="00A921C0" w:rsidP="00F12147">
            <w:pPr>
              <w:rPr>
                <w:rFonts w:eastAsiaTheme="minorEastAsia"/>
                <w:b/>
              </w:rPr>
            </w:pPr>
          </w:p>
        </w:tc>
        <w:tc>
          <w:tcPr>
            <w:tcW w:w="810" w:type="dxa"/>
            <w:shd w:val="clear" w:color="auto" w:fill="auto"/>
            <w:noWrap/>
            <w:vAlign w:val="bottom"/>
          </w:tcPr>
          <w:p w14:paraId="030C15EB" w14:textId="77777777" w:rsidR="00A921C0" w:rsidRPr="007927A4" w:rsidRDefault="00A921C0" w:rsidP="00F12147">
            <w:pPr>
              <w:rPr>
                <w:rFonts w:eastAsiaTheme="minorEastAsia"/>
              </w:rPr>
            </w:pPr>
          </w:p>
        </w:tc>
        <w:tc>
          <w:tcPr>
            <w:tcW w:w="810" w:type="dxa"/>
            <w:shd w:val="clear" w:color="auto" w:fill="auto"/>
            <w:noWrap/>
            <w:vAlign w:val="bottom"/>
          </w:tcPr>
          <w:p w14:paraId="01B18C27" w14:textId="77777777" w:rsidR="00A921C0" w:rsidRPr="007927A4" w:rsidRDefault="00A921C0" w:rsidP="00F12147">
            <w:pPr>
              <w:rPr>
                <w:rFonts w:eastAsiaTheme="minorEastAsia"/>
              </w:rPr>
            </w:pPr>
          </w:p>
        </w:tc>
      </w:tr>
      <w:tr w:rsidR="00A921C0" w:rsidRPr="007927A4" w14:paraId="34362798" w14:textId="77777777" w:rsidTr="6A9E2235">
        <w:trPr>
          <w:trHeight w:val="320"/>
        </w:trPr>
        <w:tc>
          <w:tcPr>
            <w:tcW w:w="1705" w:type="dxa"/>
            <w:shd w:val="clear" w:color="auto" w:fill="auto"/>
            <w:noWrap/>
            <w:vAlign w:val="bottom"/>
          </w:tcPr>
          <w:p w14:paraId="0B7B4DD1" w14:textId="77777777" w:rsidR="00A921C0" w:rsidRPr="007927A4" w:rsidRDefault="00A921C0" w:rsidP="004B1105">
            <w:pPr>
              <w:rPr>
                <w:rFonts w:eastAsiaTheme="minorEastAsia"/>
                <w:color w:val="000000"/>
              </w:rPr>
            </w:pPr>
            <w:r w:rsidRPr="7A9D7D5A">
              <w:rPr>
                <w:rFonts w:eastAsiaTheme="minorEastAsia"/>
                <w:color w:val="000000" w:themeColor="text1"/>
              </w:rPr>
              <w:t>Black</w:t>
            </w:r>
          </w:p>
        </w:tc>
        <w:tc>
          <w:tcPr>
            <w:tcW w:w="900" w:type="dxa"/>
            <w:shd w:val="clear" w:color="auto" w:fill="auto"/>
            <w:noWrap/>
            <w:vAlign w:val="bottom"/>
          </w:tcPr>
          <w:p w14:paraId="146509F6" w14:textId="77777777" w:rsidR="00A921C0" w:rsidRPr="007927A4" w:rsidRDefault="00A921C0" w:rsidP="00F12147">
            <w:pPr>
              <w:rPr>
                <w:rFonts w:eastAsiaTheme="minorEastAsia"/>
              </w:rPr>
            </w:pPr>
            <w:r w:rsidRPr="7A9D7D5A">
              <w:rPr>
                <w:rFonts w:eastAsiaTheme="minorEastAsia"/>
                <w:color w:val="000000" w:themeColor="text1"/>
              </w:rPr>
              <w:t>83.3</w:t>
            </w:r>
            <w:r>
              <w:rPr>
                <w:rFonts w:eastAsiaTheme="minorEastAsia"/>
                <w:color w:val="000000" w:themeColor="text1"/>
              </w:rPr>
              <w:t>%</w:t>
            </w:r>
          </w:p>
        </w:tc>
        <w:tc>
          <w:tcPr>
            <w:tcW w:w="810" w:type="dxa"/>
            <w:shd w:val="clear" w:color="auto" w:fill="auto"/>
            <w:noWrap/>
            <w:vAlign w:val="bottom"/>
          </w:tcPr>
          <w:p w14:paraId="033BEB25" w14:textId="77777777" w:rsidR="00A921C0" w:rsidRPr="007927A4" w:rsidRDefault="00A921C0" w:rsidP="00F12147">
            <w:pPr>
              <w:rPr>
                <w:rFonts w:eastAsiaTheme="minorEastAsia"/>
                <w:b/>
              </w:rPr>
            </w:pPr>
            <w:r w:rsidRPr="7A9D7D5A">
              <w:rPr>
                <w:rFonts w:eastAsiaTheme="minorEastAsia"/>
                <w:color w:val="000000" w:themeColor="text1"/>
              </w:rPr>
              <w:t>79.8</w:t>
            </w:r>
            <w:r>
              <w:rPr>
                <w:rFonts w:eastAsiaTheme="minorEastAsia"/>
                <w:color w:val="000000" w:themeColor="text1"/>
              </w:rPr>
              <w:t>%</w:t>
            </w:r>
          </w:p>
        </w:tc>
        <w:tc>
          <w:tcPr>
            <w:tcW w:w="815" w:type="dxa"/>
            <w:shd w:val="clear" w:color="auto" w:fill="auto"/>
            <w:noWrap/>
            <w:vAlign w:val="bottom"/>
          </w:tcPr>
          <w:p w14:paraId="2CB8A462" w14:textId="77777777" w:rsidR="00A921C0" w:rsidRPr="00FC28F1" w:rsidRDefault="00A921C0" w:rsidP="00F12147">
            <w:pPr>
              <w:rPr>
                <w:rFonts w:eastAsiaTheme="minorEastAsia"/>
                <w:b/>
              </w:rPr>
            </w:pPr>
            <w:r w:rsidRPr="7A9D7D5A">
              <w:rPr>
                <w:rFonts w:eastAsiaTheme="minorEastAsia"/>
                <w:b/>
                <w:color w:val="000000" w:themeColor="text1"/>
              </w:rPr>
              <w:t>78.6</w:t>
            </w:r>
            <w:r>
              <w:rPr>
                <w:rFonts w:eastAsiaTheme="minorEastAsia"/>
                <w:color w:val="000000" w:themeColor="text1"/>
              </w:rPr>
              <w:t>%</w:t>
            </w:r>
          </w:p>
        </w:tc>
        <w:tc>
          <w:tcPr>
            <w:tcW w:w="360" w:type="dxa"/>
            <w:vAlign w:val="bottom"/>
          </w:tcPr>
          <w:p w14:paraId="4286FEE4" w14:textId="77777777" w:rsidR="00A921C0" w:rsidRPr="7A9D7D5A" w:rsidRDefault="00A921C0" w:rsidP="00F12147">
            <w:pPr>
              <w:rPr>
                <w:rFonts w:eastAsiaTheme="minorEastAsia"/>
                <w:b/>
                <w:color w:val="000000" w:themeColor="text1"/>
              </w:rPr>
            </w:pPr>
          </w:p>
        </w:tc>
        <w:tc>
          <w:tcPr>
            <w:tcW w:w="900" w:type="dxa"/>
            <w:shd w:val="clear" w:color="auto" w:fill="E7E6E6" w:themeFill="background2"/>
            <w:noWrap/>
            <w:vAlign w:val="bottom"/>
          </w:tcPr>
          <w:p w14:paraId="4FED4D70" w14:textId="77777777" w:rsidR="00A921C0" w:rsidRPr="00E42F35" w:rsidRDefault="00A921C0" w:rsidP="00F12147">
            <w:pPr>
              <w:rPr>
                <w:rFonts w:eastAsiaTheme="minorEastAsia"/>
                <w:b/>
              </w:rPr>
            </w:pPr>
            <w:r w:rsidRPr="7A9D7D5A">
              <w:rPr>
                <w:rFonts w:eastAsiaTheme="minorEastAsia"/>
                <w:b/>
                <w:color w:val="000000" w:themeColor="text1"/>
              </w:rPr>
              <w:t>7.2</w:t>
            </w:r>
            <w:r>
              <w:rPr>
                <w:rFonts w:eastAsiaTheme="minorEastAsia"/>
                <w:b/>
                <w:color w:val="000000" w:themeColor="text1"/>
              </w:rPr>
              <w:t>%</w:t>
            </w:r>
          </w:p>
        </w:tc>
        <w:tc>
          <w:tcPr>
            <w:tcW w:w="900" w:type="dxa"/>
            <w:shd w:val="clear" w:color="auto" w:fill="E7E6E6" w:themeFill="background2"/>
            <w:noWrap/>
            <w:vAlign w:val="bottom"/>
          </w:tcPr>
          <w:p w14:paraId="5DC0AF02" w14:textId="77777777" w:rsidR="00A921C0" w:rsidRPr="007927A4" w:rsidRDefault="00A921C0" w:rsidP="00F12147">
            <w:pPr>
              <w:rPr>
                <w:rFonts w:eastAsiaTheme="minorEastAsia"/>
              </w:rPr>
            </w:pPr>
            <w:r w:rsidRPr="7A9D7D5A">
              <w:rPr>
                <w:rFonts w:eastAsiaTheme="minorEastAsia"/>
                <w:color w:val="000000" w:themeColor="text1"/>
              </w:rPr>
              <w:t>23.5</w:t>
            </w:r>
            <w:r>
              <w:rPr>
                <w:rFonts w:eastAsiaTheme="minorEastAsia"/>
                <w:color w:val="000000" w:themeColor="text1"/>
              </w:rPr>
              <w:t>%</w:t>
            </w:r>
          </w:p>
        </w:tc>
        <w:tc>
          <w:tcPr>
            <w:tcW w:w="813" w:type="dxa"/>
            <w:shd w:val="clear" w:color="auto" w:fill="E7E6E6" w:themeFill="background2"/>
            <w:noWrap/>
            <w:vAlign w:val="bottom"/>
          </w:tcPr>
          <w:p w14:paraId="4406BA17" w14:textId="77777777" w:rsidR="00A921C0" w:rsidRPr="00E42F35" w:rsidRDefault="00A921C0" w:rsidP="00F12147">
            <w:pPr>
              <w:rPr>
                <w:rFonts w:eastAsiaTheme="minorEastAsia"/>
                <w:b/>
              </w:rPr>
            </w:pPr>
            <w:r w:rsidRPr="7A9D7D5A">
              <w:rPr>
                <w:rFonts w:eastAsiaTheme="minorEastAsia"/>
                <w:b/>
                <w:color w:val="000000" w:themeColor="text1"/>
              </w:rPr>
              <w:t>39.3</w:t>
            </w:r>
            <w:r>
              <w:rPr>
                <w:rFonts w:eastAsiaTheme="minorEastAsia"/>
                <w:b/>
                <w:color w:val="000000" w:themeColor="text1"/>
              </w:rPr>
              <w:t>%</w:t>
            </w:r>
          </w:p>
        </w:tc>
        <w:tc>
          <w:tcPr>
            <w:tcW w:w="270" w:type="dxa"/>
            <w:vAlign w:val="bottom"/>
          </w:tcPr>
          <w:p w14:paraId="511DE071" w14:textId="77777777" w:rsidR="00A921C0" w:rsidRPr="7A9D7D5A" w:rsidRDefault="00A921C0" w:rsidP="00F12147">
            <w:pPr>
              <w:rPr>
                <w:rFonts w:eastAsiaTheme="minorEastAsia"/>
                <w:color w:val="000000" w:themeColor="text1"/>
              </w:rPr>
            </w:pPr>
          </w:p>
        </w:tc>
        <w:tc>
          <w:tcPr>
            <w:tcW w:w="900" w:type="dxa"/>
            <w:shd w:val="clear" w:color="auto" w:fill="auto"/>
            <w:noWrap/>
            <w:vAlign w:val="bottom"/>
          </w:tcPr>
          <w:p w14:paraId="023831F6" w14:textId="77777777" w:rsidR="00A921C0" w:rsidRPr="007927A4" w:rsidRDefault="00A921C0" w:rsidP="00F12147">
            <w:pPr>
              <w:rPr>
                <w:rFonts w:eastAsiaTheme="minorEastAsia"/>
                <w:b/>
              </w:rPr>
            </w:pPr>
            <w:r w:rsidRPr="7A9D7D5A">
              <w:rPr>
                <w:rFonts w:eastAsiaTheme="minorEastAsia"/>
                <w:color w:val="000000" w:themeColor="text1"/>
              </w:rPr>
              <w:t>56.8</w:t>
            </w:r>
            <w:r>
              <w:rPr>
                <w:rFonts w:eastAsiaTheme="minorEastAsia"/>
                <w:color w:val="000000" w:themeColor="text1"/>
              </w:rPr>
              <w:t>%</w:t>
            </w:r>
          </w:p>
        </w:tc>
        <w:tc>
          <w:tcPr>
            <w:tcW w:w="810" w:type="dxa"/>
            <w:shd w:val="clear" w:color="auto" w:fill="auto"/>
            <w:noWrap/>
            <w:vAlign w:val="bottom"/>
          </w:tcPr>
          <w:p w14:paraId="40E154DA" w14:textId="77777777" w:rsidR="00A921C0" w:rsidRPr="007927A4" w:rsidRDefault="00A921C0" w:rsidP="00F12147">
            <w:pPr>
              <w:rPr>
                <w:rFonts w:eastAsiaTheme="minorEastAsia"/>
              </w:rPr>
            </w:pPr>
            <w:r w:rsidRPr="7A9D7D5A">
              <w:rPr>
                <w:rFonts w:eastAsiaTheme="minorEastAsia"/>
                <w:color w:val="000000" w:themeColor="text1"/>
              </w:rPr>
              <w:t>59.7</w:t>
            </w:r>
            <w:r>
              <w:rPr>
                <w:rFonts w:eastAsiaTheme="minorEastAsia"/>
                <w:color w:val="000000" w:themeColor="text1"/>
              </w:rPr>
              <w:t>%</w:t>
            </w:r>
          </w:p>
        </w:tc>
        <w:tc>
          <w:tcPr>
            <w:tcW w:w="810" w:type="dxa"/>
            <w:shd w:val="clear" w:color="auto" w:fill="auto"/>
            <w:noWrap/>
            <w:vAlign w:val="bottom"/>
          </w:tcPr>
          <w:p w14:paraId="1F8108AA" w14:textId="77777777" w:rsidR="00A921C0" w:rsidRPr="007927A4" w:rsidRDefault="00A921C0" w:rsidP="00F12147">
            <w:pPr>
              <w:rPr>
                <w:rFonts w:eastAsiaTheme="minorEastAsia"/>
              </w:rPr>
            </w:pPr>
            <w:r w:rsidRPr="7A9D7D5A">
              <w:rPr>
                <w:rFonts w:eastAsiaTheme="minorEastAsia"/>
                <w:color w:val="000000" w:themeColor="text1"/>
              </w:rPr>
              <w:t>52.7</w:t>
            </w:r>
            <w:r>
              <w:rPr>
                <w:rFonts w:eastAsiaTheme="minorEastAsia"/>
                <w:color w:val="000000" w:themeColor="text1"/>
              </w:rPr>
              <w:t>%</w:t>
            </w:r>
          </w:p>
        </w:tc>
      </w:tr>
      <w:tr w:rsidR="00A921C0" w:rsidRPr="007927A4" w14:paraId="11852088" w14:textId="77777777" w:rsidTr="6A9E2235">
        <w:trPr>
          <w:trHeight w:val="320"/>
        </w:trPr>
        <w:tc>
          <w:tcPr>
            <w:tcW w:w="1705" w:type="dxa"/>
            <w:shd w:val="clear" w:color="auto" w:fill="auto"/>
            <w:noWrap/>
            <w:vAlign w:val="bottom"/>
          </w:tcPr>
          <w:p w14:paraId="1C99B0C9" w14:textId="77777777" w:rsidR="00A921C0" w:rsidRPr="007927A4" w:rsidRDefault="00A921C0" w:rsidP="004B1105">
            <w:pPr>
              <w:rPr>
                <w:rFonts w:eastAsiaTheme="minorEastAsia"/>
                <w:color w:val="000000"/>
              </w:rPr>
            </w:pPr>
            <w:r w:rsidRPr="7A9D7D5A">
              <w:rPr>
                <w:rFonts w:eastAsiaTheme="minorEastAsia"/>
                <w:color w:val="000000" w:themeColor="text1"/>
              </w:rPr>
              <w:t>Latinx</w:t>
            </w:r>
          </w:p>
        </w:tc>
        <w:tc>
          <w:tcPr>
            <w:tcW w:w="900" w:type="dxa"/>
            <w:shd w:val="clear" w:color="auto" w:fill="auto"/>
            <w:noWrap/>
            <w:vAlign w:val="bottom"/>
          </w:tcPr>
          <w:p w14:paraId="4F1FDC32" w14:textId="77777777" w:rsidR="00A921C0" w:rsidRPr="007927A4" w:rsidRDefault="00A921C0" w:rsidP="00F12147">
            <w:pPr>
              <w:rPr>
                <w:rFonts w:eastAsiaTheme="minorEastAsia"/>
              </w:rPr>
            </w:pPr>
            <w:r w:rsidRPr="7A9D7D5A">
              <w:rPr>
                <w:rFonts w:eastAsiaTheme="minorEastAsia"/>
                <w:color w:val="000000" w:themeColor="text1"/>
              </w:rPr>
              <w:t>-</w:t>
            </w:r>
          </w:p>
        </w:tc>
        <w:tc>
          <w:tcPr>
            <w:tcW w:w="810" w:type="dxa"/>
            <w:shd w:val="clear" w:color="auto" w:fill="auto"/>
            <w:noWrap/>
            <w:vAlign w:val="bottom"/>
          </w:tcPr>
          <w:p w14:paraId="144F4774" w14:textId="77777777" w:rsidR="00A921C0" w:rsidRPr="007927A4" w:rsidRDefault="00A921C0" w:rsidP="00F12147">
            <w:pPr>
              <w:rPr>
                <w:rFonts w:eastAsiaTheme="minorEastAsia"/>
                <w:b/>
              </w:rPr>
            </w:pPr>
            <w:r w:rsidRPr="7A9D7D5A">
              <w:rPr>
                <w:rFonts w:eastAsiaTheme="minorEastAsia"/>
                <w:color w:val="000000" w:themeColor="text1"/>
              </w:rPr>
              <w:t>73.2</w:t>
            </w:r>
            <w:r>
              <w:rPr>
                <w:rFonts w:eastAsiaTheme="minorEastAsia"/>
                <w:color w:val="000000" w:themeColor="text1"/>
              </w:rPr>
              <w:t>%</w:t>
            </w:r>
          </w:p>
        </w:tc>
        <w:tc>
          <w:tcPr>
            <w:tcW w:w="815" w:type="dxa"/>
            <w:shd w:val="clear" w:color="auto" w:fill="auto"/>
            <w:noWrap/>
            <w:vAlign w:val="bottom"/>
          </w:tcPr>
          <w:p w14:paraId="4074E616" w14:textId="77777777" w:rsidR="00A921C0" w:rsidRPr="00FC28F1" w:rsidRDefault="00A921C0" w:rsidP="00F12147">
            <w:pPr>
              <w:rPr>
                <w:rFonts w:eastAsiaTheme="minorEastAsia"/>
                <w:b/>
              </w:rPr>
            </w:pPr>
            <w:r w:rsidRPr="7A9D7D5A">
              <w:rPr>
                <w:rFonts w:eastAsiaTheme="minorEastAsia"/>
                <w:b/>
                <w:color w:val="000000" w:themeColor="text1"/>
              </w:rPr>
              <w:t>85.9</w:t>
            </w:r>
            <w:r>
              <w:rPr>
                <w:rFonts w:eastAsiaTheme="minorEastAsia"/>
                <w:color w:val="000000" w:themeColor="text1"/>
              </w:rPr>
              <w:t>%</w:t>
            </w:r>
          </w:p>
        </w:tc>
        <w:tc>
          <w:tcPr>
            <w:tcW w:w="360" w:type="dxa"/>
            <w:vAlign w:val="bottom"/>
          </w:tcPr>
          <w:p w14:paraId="5FABB5A1" w14:textId="77777777" w:rsidR="00A921C0" w:rsidRPr="7A9D7D5A" w:rsidRDefault="00A921C0" w:rsidP="00F12147">
            <w:pPr>
              <w:rPr>
                <w:rFonts w:eastAsiaTheme="minorEastAsia"/>
                <w:b/>
                <w:color w:val="000000" w:themeColor="text1"/>
              </w:rPr>
            </w:pPr>
          </w:p>
        </w:tc>
        <w:tc>
          <w:tcPr>
            <w:tcW w:w="900" w:type="dxa"/>
            <w:shd w:val="clear" w:color="auto" w:fill="auto"/>
            <w:noWrap/>
            <w:vAlign w:val="bottom"/>
          </w:tcPr>
          <w:p w14:paraId="5963C0F2" w14:textId="77777777" w:rsidR="00A921C0" w:rsidRPr="00E42F35" w:rsidRDefault="00A921C0" w:rsidP="00F12147">
            <w:pPr>
              <w:rPr>
                <w:rFonts w:eastAsiaTheme="minorEastAsia"/>
                <w:b/>
              </w:rPr>
            </w:pPr>
            <w:r w:rsidRPr="7A9D7D5A">
              <w:rPr>
                <w:rFonts w:eastAsiaTheme="minorEastAsia"/>
                <w:b/>
                <w:color w:val="000000" w:themeColor="text1"/>
              </w:rPr>
              <w:t>-</w:t>
            </w:r>
          </w:p>
        </w:tc>
        <w:tc>
          <w:tcPr>
            <w:tcW w:w="900" w:type="dxa"/>
            <w:shd w:val="clear" w:color="auto" w:fill="auto"/>
            <w:noWrap/>
            <w:vAlign w:val="bottom"/>
          </w:tcPr>
          <w:p w14:paraId="62EDED7C" w14:textId="77777777" w:rsidR="00A921C0" w:rsidRPr="007927A4" w:rsidRDefault="00A921C0" w:rsidP="00F12147">
            <w:pPr>
              <w:rPr>
                <w:rFonts w:eastAsiaTheme="minorEastAsia"/>
              </w:rPr>
            </w:pPr>
            <w:r w:rsidRPr="7A9D7D5A">
              <w:rPr>
                <w:rFonts w:eastAsiaTheme="minorEastAsia"/>
                <w:color w:val="000000" w:themeColor="text1"/>
              </w:rPr>
              <w:t>53.6</w:t>
            </w:r>
            <w:r>
              <w:rPr>
                <w:rFonts w:eastAsiaTheme="minorEastAsia"/>
                <w:color w:val="000000" w:themeColor="text1"/>
              </w:rPr>
              <w:t>%</w:t>
            </w:r>
          </w:p>
        </w:tc>
        <w:tc>
          <w:tcPr>
            <w:tcW w:w="813" w:type="dxa"/>
            <w:shd w:val="clear" w:color="auto" w:fill="auto"/>
            <w:noWrap/>
            <w:vAlign w:val="bottom"/>
          </w:tcPr>
          <w:p w14:paraId="5CBCABA0" w14:textId="77777777" w:rsidR="00A921C0" w:rsidRPr="00E42F35" w:rsidRDefault="00A921C0" w:rsidP="00F12147">
            <w:pPr>
              <w:rPr>
                <w:rFonts w:eastAsiaTheme="minorEastAsia"/>
                <w:b/>
              </w:rPr>
            </w:pPr>
            <w:r w:rsidRPr="7A9D7D5A">
              <w:rPr>
                <w:rFonts w:eastAsiaTheme="minorEastAsia"/>
                <w:b/>
                <w:color w:val="000000" w:themeColor="text1"/>
              </w:rPr>
              <w:t>46.0</w:t>
            </w:r>
            <w:r>
              <w:rPr>
                <w:rFonts w:eastAsiaTheme="minorEastAsia"/>
                <w:b/>
                <w:color w:val="000000" w:themeColor="text1"/>
              </w:rPr>
              <w:t>%</w:t>
            </w:r>
          </w:p>
        </w:tc>
        <w:tc>
          <w:tcPr>
            <w:tcW w:w="270" w:type="dxa"/>
            <w:vAlign w:val="bottom"/>
          </w:tcPr>
          <w:p w14:paraId="4D110373" w14:textId="77777777" w:rsidR="00A921C0" w:rsidRPr="7A9D7D5A" w:rsidRDefault="00A921C0" w:rsidP="00F12147">
            <w:pPr>
              <w:rPr>
                <w:rFonts w:eastAsiaTheme="minorEastAsia"/>
                <w:color w:val="000000" w:themeColor="text1"/>
              </w:rPr>
            </w:pPr>
          </w:p>
        </w:tc>
        <w:tc>
          <w:tcPr>
            <w:tcW w:w="900" w:type="dxa"/>
            <w:shd w:val="clear" w:color="auto" w:fill="auto"/>
            <w:noWrap/>
            <w:vAlign w:val="bottom"/>
          </w:tcPr>
          <w:p w14:paraId="20BE22F4" w14:textId="77777777" w:rsidR="00A921C0" w:rsidRPr="007927A4" w:rsidRDefault="00A921C0" w:rsidP="00F12147">
            <w:pPr>
              <w:rPr>
                <w:rFonts w:eastAsiaTheme="minorEastAsia"/>
                <w:b/>
              </w:rPr>
            </w:pPr>
            <w:r w:rsidRPr="7A9D7D5A">
              <w:rPr>
                <w:rFonts w:eastAsiaTheme="minorEastAsia"/>
                <w:color w:val="000000" w:themeColor="text1"/>
              </w:rPr>
              <w:t>-</w:t>
            </w:r>
          </w:p>
        </w:tc>
        <w:tc>
          <w:tcPr>
            <w:tcW w:w="810" w:type="dxa"/>
            <w:shd w:val="clear" w:color="auto" w:fill="auto"/>
            <w:noWrap/>
            <w:vAlign w:val="bottom"/>
          </w:tcPr>
          <w:p w14:paraId="394FABC1" w14:textId="77777777" w:rsidR="00A921C0" w:rsidRPr="007927A4" w:rsidRDefault="00A921C0" w:rsidP="00F12147">
            <w:pPr>
              <w:rPr>
                <w:rFonts w:eastAsiaTheme="minorEastAsia"/>
              </w:rPr>
            </w:pPr>
            <w:r w:rsidRPr="7A9D7D5A">
              <w:rPr>
                <w:rFonts w:eastAsiaTheme="minorEastAsia"/>
                <w:color w:val="000000" w:themeColor="text1"/>
              </w:rPr>
              <w:t>55.9</w:t>
            </w:r>
            <w:r>
              <w:rPr>
                <w:rFonts w:eastAsiaTheme="minorEastAsia"/>
                <w:color w:val="000000" w:themeColor="text1"/>
              </w:rPr>
              <w:t>%</w:t>
            </w:r>
          </w:p>
        </w:tc>
        <w:tc>
          <w:tcPr>
            <w:tcW w:w="810" w:type="dxa"/>
            <w:shd w:val="clear" w:color="auto" w:fill="auto"/>
            <w:noWrap/>
            <w:vAlign w:val="bottom"/>
          </w:tcPr>
          <w:p w14:paraId="407CDF09" w14:textId="77777777" w:rsidR="00A921C0" w:rsidRPr="007927A4" w:rsidRDefault="00A921C0" w:rsidP="00F12147">
            <w:pPr>
              <w:rPr>
                <w:rFonts w:eastAsiaTheme="minorEastAsia"/>
              </w:rPr>
            </w:pPr>
            <w:r w:rsidRPr="7A9D7D5A">
              <w:rPr>
                <w:rFonts w:eastAsiaTheme="minorEastAsia"/>
                <w:color w:val="000000" w:themeColor="text1"/>
              </w:rPr>
              <w:t>47.8</w:t>
            </w:r>
            <w:r>
              <w:rPr>
                <w:rFonts w:eastAsiaTheme="minorEastAsia"/>
                <w:color w:val="000000" w:themeColor="text1"/>
              </w:rPr>
              <w:t>%</w:t>
            </w:r>
          </w:p>
        </w:tc>
      </w:tr>
      <w:tr w:rsidR="00A921C0" w:rsidRPr="007927A4" w14:paraId="7C2A9751" w14:textId="77777777" w:rsidTr="6A9E2235">
        <w:trPr>
          <w:trHeight w:val="320"/>
        </w:trPr>
        <w:tc>
          <w:tcPr>
            <w:tcW w:w="1705" w:type="dxa"/>
            <w:shd w:val="clear" w:color="auto" w:fill="auto"/>
            <w:noWrap/>
            <w:vAlign w:val="bottom"/>
          </w:tcPr>
          <w:p w14:paraId="3B3DC717" w14:textId="77777777" w:rsidR="00A921C0" w:rsidRPr="007927A4" w:rsidRDefault="00A921C0" w:rsidP="004B1105">
            <w:pPr>
              <w:rPr>
                <w:rFonts w:eastAsiaTheme="minorEastAsia"/>
                <w:color w:val="000000"/>
              </w:rPr>
            </w:pPr>
            <w:r w:rsidRPr="7A9D7D5A">
              <w:rPr>
                <w:rFonts w:eastAsiaTheme="minorEastAsia"/>
                <w:color w:val="000000" w:themeColor="text1"/>
              </w:rPr>
              <w:t>White</w:t>
            </w:r>
          </w:p>
        </w:tc>
        <w:tc>
          <w:tcPr>
            <w:tcW w:w="900" w:type="dxa"/>
            <w:shd w:val="clear" w:color="auto" w:fill="E7E6E6" w:themeFill="background2"/>
            <w:noWrap/>
            <w:vAlign w:val="bottom"/>
          </w:tcPr>
          <w:p w14:paraId="4C0B9459" w14:textId="77777777" w:rsidR="00A921C0" w:rsidRPr="007927A4" w:rsidRDefault="00A921C0" w:rsidP="00F12147">
            <w:pPr>
              <w:rPr>
                <w:rFonts w:eastAsiaTheme="minorEastAsia"/>
              </w:rPr>
            </w:pPr>
            <w:r w:rsidRPr="7A9D7D5A">
              <w:rPr>
                <w:rFonts w:eastAsiaTheme="minorEastAsia"/>
                <w:color w:val="000000" w:themeColor="text1"/>
              </w:rPr>
              <w:t>76.7</w:t>
            </w:r>
            <w:r>
              <w:rPr>
                <w:rFonts w:eastAsiaTheme="minorEastAsia"/>
                <w:color w:val="000000" w:themeColor="text1"/>
              </w:rPr>
              <w:t>%</w:t>
            </w:r>
          </w:p>
        </w:tc>
        <w:tc>
          <w:tcPr>
            <w:tcW w:w="810" w:type="dxa"/>
            <w:shd w:val="clear" w:color="auto" w:fill="E7E6E6" w:themeFill="background2"/>
            <w:noWrap/>
            <w:vAlign w:val="bottom"/>
          </w:tcPr>
          <w:p w14:paraId="7346EFBF" w14:textId="77777777" w:rsidR="00A921C0" w:rsidRPr="007927A4" w:rsidRDefault="00A921C0" w:rsidP="00F12147">
            <w:pPr>
              <w:rPr>
                <w:rFonts w:eastAsiaTheme="minorEastAsia"/>
                <w:b/>
              </w:rPr>
            </w:pPr>
            <w:r w:rsidRPr="7A9D7D5A">
              <w:rPr>
                <w:rFonts w:eastAsiaTheme="minorEastAsia"/>
                <w:color w:val="000000" w:themeColor="text1"/>
              </w:rPr>
              <w:t>79.7</w:t>
            </w:r>
            <w:r>
              <w:rPr>
                <w:rFonts w:eastAsiaTheme="minorEastAsia"/>
                <w:color w:val="000000" w:themeColor="text1"/>
              </w:rPr>
              <w:t>%</w:t>
            </w:r>
          </w:p>
        </w:tc>
        <w:tc>
          <w:tcPr>
            <w:tcW w:w="815" w:type="dxa"/>
            <w:shd w:val="clear" w:color="auto" w:fill="E7E6E6" w:themeFill="background2"/>
            <w:noWrap/>
            <w:vAlign w:val="bottom"/>
          </w:tcPr>
          <w:p w14:paraId="0368754A" w14:textId="77777777" w:rsidR="00A921C0" w:rsidRPr="00FC28F1" w:rsidRDefault="00A921C0" w:rsidP="00F12147">
            <w:pPr>
              <w:rPr>
                <w:rFonts w:eastAsiaTheme="minorEastAsia"/>
                <w:b/>
              </w:rPr>
            </w:pPr>
            <w:r w:rsidRPr="7A9D7D5A">
              <w:rPr>
                <w:rFonts w:eastAsiaTheme="minorEastAsia"/>
                <w:b/>
                <w:color w:val="000000" w:themeColor="text1"/>
              </w:rPr>
              <w:t>92.4</w:t>
            </w:r>
            <w:r>
              <w:rPr>
                <w:rFonts w:eastAsiaTheme="minorEastAsia"/>
                <w:color w:val="000000" w:themeColor="text1"/>
              </w:rPr>
              <w:t>%</w:t>
            </w:r>
          </w:p>
        </w:tc>
        <w:tc>
          <w:tcPr>
            <w:tcW w:w="360" w:type="dxa"/>
            <w:vAlign w:val="bottom"/>
          </w:tcPr>
          <w:p w14:paraId="596857F2" w14:textId="77777777" w:rsidR="00A921C0" w:rsidRPr="7A9D7D5A" w:rsidRDefault="00A921C0" w:rsidP="00F12147">
            <w:pPr>
              <w:rPr>
                <w:rFonts w:eastAsiaTheme="minorEastAsia"/>
                <w:b/>
                <w:color w:val="000000" w:themeColor="text1"/>
              </w:rPr>
            </w:pPr>
          </w:p>
        </w:tc>
        <w:tc>
          <w:tcPr>
            <w:tcW w:w="900" w:type="dxa"/>
            <w:shd w:val="clear" w:color="auto" w:fill="auto"/>
            <w:noWrap/>
            <w:vAlign w:val="bottom"/>
          </w:tcPr>
          <w:p w14:paraId="1302C45F" w14:textId="77777777" w:rsidR="00A921C0" w:rsidRPr="00E42F35" w:rsidRDefault="00A921C0" w:rsidP="00F12147">
            <w:pPr>
              <w:rPr>
                <w:rFonts w:eastAsiaTheme="minorEastAsia"/>
                <w:b/>
              </w:rPr>
            </w:pPr>
            <w:r w:rsidRPr="7A9D7D5A">
              <w:rPr>
                <w:rFonts w:eastAsiaTheme="minorEastAsia"/>
                <w:b/>
                <w:color w:val="000000" w:themeColor="text1"/>
              </w:rPr>
              <w:t>47.1</w:t>
            </w:r>
            <w:r>
              <w:rPr>
                <w:rFonts w:eastAsiaTheme="minorEastAsia"/>
                <w:b/>
                <w:color w:val="000000" w:themeColor="text1"/>
              </w:rPr>
              <w:t>%</w:t>
            </w:r>
          </w:p>
        </w:tc>
        <w:tc>
          <w:tcPr>
            <w:tcW w:w="900" w:type="dxa"/>
            <w:shd w:val="clear" w:color="auto" w:fill="auto"/>
            <w:noWrap/>
            <w:vAlign w:val="bottom"/>
          </w:tcPr>
          <w:p w14:paraId="6C3421BD" w14:textId="77777777" w:rsidR="00A921C0" w:rsidRPr="007927A4" w:rsidRDefault="00A921C0" w:rsidP="00F12147">
            <w:pPr>
              <w:rPr>
                <w:rFonts w:eastAsiaTheme="minorEastAsia"/>
              </w:rPr>
            </w:pPr>
            <w:r w:rsidRPr="7A9D7D5A">
              <w:rPr>
                <w:rFonts w:eastAsiaTheme="minorEastAsia"/>
                <w:color w:val="000000" w:themeColor="text1"/>
              </w:rPr>
              <w:t>57.8</w:t>
            </w:r>
            <w:r>
              <w:rPr>
                <w:rFonts w:eastAsiaTheme="minorEastAsia"/>
                <w:color w:val="000000" w:themeColor="text1"/>
              </w:rPr>
              <w:t>%</w:t>
            </w:r>
          </w:p>
        </w:tc>
        <w:tc>
          <w:tcPr>
            <w:tcW w:w="813" w:type="dxa"/>
            <w:shd w:val="clear" w:color="auto" w:fill="auto"/>
            <w:noWrap/>
            <w:vAlign w:val="bottom"/>
          </w:tcPr>
          <w:p w14:paraId="26FF3677" w14:textId="77777777" w:rsidR="00A921C0" w:rsidRPr="00E42F35" w:rsidRDefault="00A921C0" w:rsidP="00F12147">
            <w:pPr>
              <w:rPr>
                <w:rFonts w:eastAsiaTheme="minorEastAsia"/>
                <w:b/>
              </w:rPr>
            </w:pPr>
            <w:r w:rsidRPr="7A9D7D5A">
              <w:rPr>
                <w:rFonts w:eastAsiaTheme="minorEastAsia"/>
                <w:b/>
                <w:color w:val="000000" w:themeColor="text1"/>
              </w:rPr>
              <w:t>61.5</w:t>
            </w:r>
            <w:r>
              <w:rPr>
                <w:rFonts w:eastAsiaTheme="minorEastAsia"/>
                <w:b/>
                <w:color w:val="000000" w:themeColor="text1"/>
              </w:rPr>
              <w:t>%</w:t>
            </w:r>
          </w:p>
        </w:tc>
        <w:tc>
          <w:tcPr>
            <w:tcW w:w="270" w:type="dxa"/>
            <w:vAlign w:val="bottom"/>
          </w:tcPr>
          <w:p w14:paraId="27D92ECD" w14:textId="77777777" w:rsidR="00A921C0" w:rsidRPr="7A9D7D5A" w:rsidRDefault="00A921C0" w:rsidP="00F12147">
            <w:pPr>
              <w:rPr>
                <w:rFonts w:eastAsiaTheme="minorEastAsia"/>
                <w:color w:val="000000" w:themeColor="text1"/>
              </w:rPr>
            </w:pPr>
          </w:p>
        </w:tc>
        <w:tc>
          <w:tcPr>
            <w:tcW w:w="900" w:type="dxa"/>
            <w:shd w:val="clear" w:color="auto" w:fill="E7E6E6" w:themeFill="background2"/>
            <w:noWrap/>
            <w:vAlign w:val="bottom"/>
          </w:tcPr>
          <w:p w14:paraId="51E53175" w14:textId="77777777" w:rsidR="00A921C0" w:rsidRPr="007927A4" w:rsidRDefault="00A921C0" w:rsidP="00F12147">
            <w:pPr>
              <w:rPr>
                <w:rFonts w:eastAsiaTheme="minorEastAsia"/>
                <w:b/>
              </w:rPr>
            </w:pPr>
            <w:r w:rsidRPr="7A9D7D5A">
              <w:rPr>
                <w:rFonts w:eastAsiaTheme="minorEastAsia"/>
                <w:color w:val="000000" w:themeColor="text1"/>
              </w:rPr>
              <w:t>71.1</w:t>
            </w:r>
            <w:r>
              <w:rPr>
                <w:rFonts w:eastAsiaTheme="minorEastAsia"/>
                <w:color w:val="000000" w:themeColor="text1"/>
              </w:rPr>
              <w:t>%</w:t>
            </w:r>
          </w:p>
        </w:tc>
        <w:tc>
          <w:tcPr>
            <w:tcW w:w="810" w:type="dxa"/>
            <w:shd w:val="clear" w:color="auto" w:fill="E7E6E6" w:themeFill="background2"/>
            <w:noWrap/>
            <w:vAlign w:val="bottom"/>
          </w:tcPr>
          <w:p w14:paraId="60A73E2D" w14:textId="77777777" w:rsidR="00A921C0" w:rsidRPr="007927A4" w:rsidRDefault="00A921C0" w:rsidP="00F12147">
            <w:pPr>
              <w:rPr>
                <w:rFonts w:eastAsiaTheme="minorEastAsia"/>
              </w:rPr>
            </w:pPr>
            <w:r w:rsidRPr="7A9D7D5A">
              <w:rPr>
                <w:rFonts w:eastAsiaTheme="minorEastAsia"/>
                <w:color w:val="000000" w:themeColor="text1"/>
              </w:rPr>
              <w:t>69.8</w:t>
            </w:r>
            <w:r>
              <w:rPr>
                <w:rFonts w:eastAsiaTheme="minorEastAsia"/>
                <w:color w:val="000000" w:themeColor="text1"/>
              </w:rPr>
              <w:t>%</w:t>
            </w:r>
          </w:p>
        </w:tc>
        <w:tc>
          <w:tcPr>
            <w:tcW w:w="810" w:type="dxa"/>
            <w:shd w:val="clear" w:color="auto" w:fill="E7E6E6" w:themeFill="background2"/>
            <w:noWrap/>
            <w:vAlign w:val="bottom"/>
          </w:tcPr>
          <w:p w14:paraId="0B093B0A" w14:textId="77777777" w:rsidR="00A921C0" w:rsidRPr="007927A4" w:rsidRDefault="00A921C0" w:rsidP="00F12147">
            <w:pPr>
              <w:rPr>
                <w:rFonts w:eastAsiaTheme="minorEastAsia"/>
              </w:rPr>
            </w:pPr>
            <w:r w:rsidRPr="7A9D7D5A">
              <w:rPr>
                <w:rFonts w:eastAsiaTheme="minorEastAsia"/>
                <w:color w:val="000000" w:themeColor="text1"/>
              </w:rPr>
              <w:t>54.9</w:t>
            </w:r>
            <w:r>
              <w:rPr>
                <w:rFonts w:eastAsiaTheme="minorEastAsia"/>
                <w:color w:val="000000" w:themeColor="text1"/>
              </w:rPr>
              <w:t>%</w:t>
            </w:r>
          </w:p>
        </w:tc>
      </w:tr>
      <w:tr w:rsidR="00A921C0" w:rsidRPr="007927A4" w14:paraId="4FDA3794" w14:textId="77777777" w:rsidTr="6A9E2235">
        <w:trPr>
          <w:trHeight w:val="320"/>
        </w:trPr>
        <w:tc>
          <w:tcPr>
            <w:tcW w:w="1705" w:type="dxa"/>
            <w:tcBorders>
              <w:bottom w:val="single" w:sz="12" w:space="0" w:color="auto"/>
            </w:tcBorders>
            <w:shd w:val="clear" w:color="auto" w:fill="auto"/>
            <w:noWrap/>
            <w:vAlign w:val="bottom"/>
          </w:tcPr>
          <w:p w14:paraId="08FBF078" w14:textId="77777777" w:rsidR="00A921C0" w:rsidRPr="7A9D7D5A" w:rsidRDefault="00A921C0" w:rsidP="004B1105">
            <w:pPr>
              <w:rPr>
                <w:rFonts w:eastAsiaTheme="minorEastAsia"/>
                <w:color w:val="000000" w:themeColor="text1"/>
              </w:rPr>
            </w:pPr>
            <w:r>
              <w:rPr>
                <w:rFonts w:eastAsiaTheme="minorEastAsia"/>
                <w:color w:val="000000" w:themeColor="text1"/>
              </w:rPr>
              <w:t>Another race</w:t>
            </w:r>
          </w:p>
        </w:tc>
        <w:tc>
          <w:tcPr>
            <w:tcW w:w="900" w:type="dxa"/>
            <w:tcBorders>
              <w:bottom w:val="single" w:sz="12" w:space="0" w:color="auto"/>
            </w:tcBorders>
            <w:shd w:val="clear" w:color="auto" w:fill="E7E6E6" w:themeFill="background2"/>
            <w:noWrap/>
            <w:vAlign w:val="bottom"/>
          </w:tcPr>
          <w:p w14:paraId="4444F09A" w14:textId="77777777" w:rsidR="00A921C0" w:rsidRPr="7A9D7D5A" w:rsidRDefault="00A921C0" w:rsidP="00F12147">
            <w:pPr>
              <w:rPr>
                <w:rFonts w:eastAsiaTheme="minorEastAsia"/>
                <w:color w:val="000000" w:themeColor="text1"/>
              </w:rPr>
            </w:pPr>
            <w:r w:rsidRPr="7A9D7D5A">
              <w:rPr>
                <w:rFonts w:eastAsiaTheme="minorEastAsia"/>
                <w:color w:val="000000" w:themeColor="text1"/>
              </w:rPr>
              <w:t>-</w:t>
            </w:r>
          </w:p>
        </w:tc>
        <w:tc>
          <w:tcPr>
            <w:tcW w:w="810" w:type="dxa"/>
            <w:tcBorders>
              <w:bottom w:val="single" w:sz="12" w:space="0" w:color="auto"/>
            </w:tcBorders>
            <w:shd w:val="clear" w:color="auto" w:fill="E7E6E6" w:themeFill="background2"/>
            <w:noWrap/>
            <w:vAlign w:val="bottom"/>
          </w:tcPr>
          <w:p w14:paraId="23CF28F3" w14:textId="77777777" w:rsidR="00A921C0" w:rsidRPr="7A9D7D5A" w:rsidRDefault="00A921C0" w:rsidP="00F12147">
            <w:pPr>
              <w:rPr>
                <w:rFonts w:eastAsiaTheme="minorEastAsia"/>
                <w:color w:val="000000" w:themeColor="text1"/>
              </w:rPr>
            </w:pPr>
            <w:r w:rsidRPr="7A9D7D5A">
              <w:rPr>
                <w:rFonts w:eastAsiaTheme="minorEastAsia"/>
                <w:color w:val="000000" w:themeColor="text1"/>
              </w:rPr>
              <w:t>90.2</w:t>
            </w:r>
            <w:r>
              <w:rPr>
                <w:rFonts w:eastAsiaTheme="minorEastAsia"/>
                <w:color w:val="000000" w:themeColor="text1"/>
              </w:rPr>
              <w:t>%</w:t>
            </w:r>
          </w:p>
        </w:tc>
        <w:tc>
          <w:tcPr>
            <w:tcW w:w="815" w:type="dxa"/>
            <w:tcBorders>
              <w:bottom w:val="single" w:sz="12" w:space="0" w:color="auto"/>
            </w:tcBorders>
            <w:shd w:val="clear" w:color="auto" w:fill="E7E6E6" w:themeFill="background2"/>
            <w:noWrap/>
            <w:vAlign w:val="bottom"/>
          </w:tcPr>
          <w:p w14:paraId="5D62C66C" w14:textId="77777777" w:rsidR="00A921C0" w:rsidRPr="7A9D7D5A" w:rsidRDefault="00A921C0" w:rsidP="00F12147">
            <w:pPr>
              <w:rPr>
                <w:rFonts w:eastAsiaTheme="minorEastAsia"/>
                <w:b/>
                <w:color w:val="000000" w:themeColor="text1"/>
              </w:rPr>
            </w:pPr>
            <w:r w:rsidRPr="7A9D7D5A">
              <w:rPr>
                <w:rFonts w:eastAsiaTheme="minorEastAsia"/>
                <w:b/>
                <w:color w:val="000000" w:themeColor="text1"/>
              </w:rPr>
              <w:t>90.0</w:t>
            </w:r>
            <w:r>
              <w:rPr>
                <w:rFonts w:eastAsiaTheme="minorEastAsia"/>
                <w:color w:val="000000" w:themeColor="text1"/>
              </w:rPr>
              <w:t>%</w:t>
            </w:r>
          </w:p>
        </w:tc>
        <w:tc>
          <w:tcPr>
            <w:tcW w:w="360" w:type="dxa"/>
            <w:tcBorders>
              <w:bottom w:val="single" w:sz="12" w:space="0" w:color="auto"/>
            </w:tcBorders>
            <w:vAlign w:val="bottom"/>
          </w:tcPr>
          <w:p w14:paraId="3162F666" w14:textId="77777777" w:rsidR="00A921C0" w:rsidRPr="7A9D7D5A" w:rsidRDefault="00A921C0" w:rsidP="00F12147">
            <w:pPr>
              <w:rPr>
                <w:rFonts w:eastAsiaTheme="minorEastAsia"/>
                <w:b/>
                <w:color w:val="000000" w:themeColor="text1"/>
              </w:rPr>
            </w:pPr>
          </w:p>
        </w:tc>
        <w:tc>
          <w:tcPr>
            <w:tcW w:w="900" w:type="dxa"/>
            <w:tcBorders>
              <w:bottom w:val="single" w:sz="12" w:space="0" w:color="auto"/>
            </w:tcBorders>
            <w:shd w:val="clear" w:color="auto" w:fill="auto"/>
            <w:noWrap/>
            <w:vAlign w:val="bottom"/>
          </w:tcPr>
          <w:p w14:paraId="3C9386BD" w14:textId="77777777" w:rsidR="00A921C0" w:rsidRPr="7A9D7D5A" w:rsidRDefault="00A921C0" w:rsidP="00F12147">
            <w:pPr>
              <w:rPr>
                <w:rFonts w:eastAsiaTheme="minorEastAsia"/>
                <w:b/>
                <w:color w:val="000000" w:themeColor="text1"/>
              </w:rPr>
            </w:pPr>
            <w:r w:rsidRPr="7A9D7D5A">
              <w:rPr>
                <w:rFonts w:eastAsiaTheme="minorEastAsia"/>
                <w:b/>
                <w:color w:val="000000" w:themeColor="text1"/>
              </w:rPr>
              <w:t>-</w:t>
            </w:r>
          </w:p>
        </w:tc>
        <w:tc>
          <w:tcPr>
            <w:tcW w:w="900" w:type="dxa"/>
            <w:tcBorders>
              <w:bottom w:val="single" w:sz="12" w:space="0" w:color="auto"/>
            </w:tcBorders>
            <w:shd w:val="clear" w:color="auto" w:fill="auto"/>
            <w:noWrap/>
            <w:vAlign w:val="bottom"/>
          </w:tcPr>
          <w:p w14:paraId="02A4D8C8" w14:textId="77777777" w:rsidR="00A921C0" w:rsidRPr="7A9D7D5A" w:rsidRDefault="00A921C0" w:rsidP="00F12147">
            <w:pPr>
              <w:rPr>
                <w:rFonts w:eastAsiaTheme="minorEastAsia"/>
                <w:color w:val="000000" w:themeColor="text1"/>
              </w:rPr>
            </w:pPr>
            <w:r w:rsidRPr="7A9D7D5A">
              <w:rPr>
                <w:rFonts w:eastAsiaTheme="minorEastAsia"/>
                <w:color w:val="000000" w:themeColor="text1"/>
              </w:rPr>
              <w:t>44.4</w:t>
            </w:r>
            <w:r>
              <w:rPr>
                <w:rFonts w:eastAsiaTheme="minorEastAsia"/>
                <w:color w:val="000000" w:themeColor="text1"/>
              </w:rPr>
              <w:t>%</w:t>
            </w:r>
          </w:p>
        </w:tc>
        <w:tc>
          <w:tcPr>
            <w:tcW w:w="813" w:type="dxa"/>
            <w:tcBorders>
              <w:bottom w:val="single" w:sz="12" w:space="0" w:color="auto"/>
            </w:tcBorders>
            <w:shd w:val="clear" w:color="auto" w:fill="auto"/>
            <w:noWrap/>
            <w:vAlign w:val="bottom"/>
          </w:tcPr>
          <w:p w14:paraId="091D1526" w14:textId="77777777" w:rsidR="00A921C0" w:rsidRPr="7A9D7D5A" w:rsidRDefault="00A921C0" w:rsidP="00F12147">
            <w:pPr>
              <w:rPr>
                <w:rFonts w:eastAsiaTheme="minorEastAsia"/>
                <w:b/>
                <w:color w:val="000000" w:themeColor="text1"/>
              </w:rPr>
            </w:pPr>
            <w:r w:rsidRPr="7A9D7D5A">
              <w:rPr>
                <w:rFonts w:eastAsiaTheme="minorEastAsia"/>
                <w:b/>
                <w:color w:val="000000" w:themeColor="text1"/>
              </w:rPr>
              <w:t>67.8</w:t>
            </w:r>
            <w:r>
              <w:rPr>
                <w:rFonts w:eastAsiaTheme="minorEastAsia"/>
                <w:b/>
                <w:color w:val="000000" w:themeColor="text1"/>
              </w:rPr>
              <w:t>%</w:t>
            </w:r>
          </w:p>
        </w:tc>
        <w:tc>
          <w:tcPr>
            <w:tcW w:w="270" w:type="dxa"/>
            <w:tcBorders>
              <w:bottom w:val="single" w:sz="12" w:space="0" w:color="auto"/>
            </w:tcBorders>
            <w:vAlign w:val="bottom"/>
          </w:tcPr>
          <w:p w14:paraId="3BC117E4" w14:textId="77777777" w:rsidR="00A921C0" w:rsidRPr="7A9D7D5A" w:rsidRDefault="00A921C0" w:rsidP="00F12147">
            <w:pPr>
              <w:rPr>
                <w:rFonts w:eastAsiaTheme="minorEastAsia"/>
                <w:color w:val="000000" w:themeColor="text1"/>
              </w:rPr>
            </w:pPr>
          </w:p>
        </w:tc>
        <w:tc>
          <w:tcPr>
            <w:tcW w:w="900" w:type="dxa"/>
            <w:tcBorders>
              <w:bottom w:val="single" w:sz="12" w:space="0" w:color="auto"/>
            </w:tcBorders>
            <w:shd w:val="clear" w:color="auto" w:fill="E7E6E6" w:themeFill="background2"/>
            <w:noWrap/>
            <w:vAlign w:val="bottom"/>
          </w:tcPr>
          <w:p w14:paraId="79BE626D" w14:textId="77777777" w:rsidR="00A921C0" w:rsidRPr="7A9D7D5A" w:rsidRDefault="00A921C0" w:rsidP="00F12147">
            <w:pPr>
              <w:rPr>
                <w:rFonts w:eastAsiaTheme="minorEastAsia"/>
                <w:color w:val="000000" w:themeColor="text1"/>
              </w:rPr>
            </w:pPr>
            <w:r w:rsidRPr="7A9D7D5A">
              <w:rPr>
                <w:rFonts w:eastAsiaTheme="minorEastAsia"/>
                <w:color w:val="000000" w:themeColor="text1"/>
              </w:rPr>
              <w:t>-</w:t>
            </w:r>
          </w:p>
        </w:tc>
        <w:tc>
          <w:tcPr>
            <w:tcW w:w="810" w:type="dxa"/>
            <w:tcBorders>
              <w:bottom w:val="single" w:sz="12" w:space="0" w:color="auto"/>
            </w:tcBorders>
            <w:shd w:val="clear" w:color="auto" w:fill="E7E6E6" w:themeFill="background2"/>
            <w:noWrap/>
            <w:vAlign w:val="bottom"/>
          </w:tcPr>
          <w:p w14:paraId="17D2F400" w14:textId="77777777" w:rsidR="00A921C0" w:rsidRPr="7A9D7D5A" w:rsidRDefault="00A921C0" w:rsidP="00F12147">
            <w:pPr>
              <w:rPr>
                <w:rFonts w:eastAsiaTheme="minorEastAsia"/>
                <w:color w:val="000000" w:themeColor="text1"/>
              </w:rPr>
            </w:pPr>
            <w:r w:rsidRPr="7A9D7D5A">
              <w:rPr>
                <w:rFonts w:eastAsiaTheme="minorEastAsia"/>
                <w:color w:val="000000" w:themeColor="text1"/>
              </w:rPr>
              <w:t>45.8</w:t>
            </w:r>
            <w:r>
              <w:rPr>
                <w:rFonts w:eastAsiaTheme="minorEastAsia"/>
                <w:color w:val="000000" w:themeColor="text1"/>
              </w:rPr>
              <w:t>%</w:t>
            </w:r>
          </w:p>
        </w:tc>
        <w:tc>
          <w:tcPr>
            <w:tcW w:w="810" w:type="dxa"/>
            <w:tcBorders>
              <w:bottom w:val="single" w:sz="12" w:space="0" w:color="auto"/>
            </w:tcBorders>
            <w:shd w:val="clear" w:color="auto" w:fill="E7E6E6" w:themeFill="background2"/>
            <w:noWrap/>
            <w:vAlign w:val="bottom"/>
          </w:tcPr>
          <w:p w14:paraId="12E755FB" w14:textId="77777777" w:rsidR="00A921C0" w:rsidRPr="7A9D7D5A" w:rsidRDefault="00A921C0" w:rsidP="00F12147">
            <w:pPr>
              <w:rPr>
                <w:rFonts w:eastAsiaTheme="minorEastAsia"/>
                <w:color w:val="000000" w:themeColor="text1"/>
              </w:rPr>
            </w:pPr>
            <w:r w:rsidRPr="7A9D7D5A">
              <w:rPr>
                <w:rFonts w:eastAsiaTheme="minorEastAsia"/>
                <w:color w:val="000000" w:themeColor="text1"/>
              </w:rPr>
              <w:t>56.9</w:t>
            </w:r>
            <w:r>
              <w:rPr>
                <w:rFonts w:eastAsiaTheme="minorEastAsia"/>
                <w:color w:val="000000" w:themeColor="text1"/>
              </w:rPr>
              <w:t>%</w:t>
            </w:r>
          </w:p>
        </w:tc>
      </w:tr>
      <w:tr w:rsidR="00A921C0" w:rsidRPr="005E3322" w14:paraId="7E7413D4" w14:textId="77777777" w:rsidTr="6A9E2235">
        <w:trPr>
          <w:trHeight w:val="340"/>
        </w:trPr>
        <w:tc>
          <w:tcPr>
            <w:tcW w:w="1705" w:type="dxa"/>
            <w:tcBorders>
              <w:top w:val="single" w:sz="12" w:space="0" w:color="auto"/>
              <w:bottom w:val="single" w:sz="12" w:space="0" w:color="auto"/>
            </w:tcBorders>
            <w:shd w:val="clear" w:color="auto" w:fill="auto"/>
            <w:noWrap/>
            <w:vAlign w:val="bottom"/>
          </w:tcPr>
          <w:p w14:paraId="019307DB" w14:textId="77777777" w:rsidR="00A921C0" w:rsidRPr="005E3322" w:rsidRDefault="00A921C0" w:rsidP="004B1105">
            <w:pPr>
              <w:rPr>
                <w:rFonts w:eastAsiaTheme="minorEastAsia"/>
                <w:color w:val="000000"/>
              </w:rPr>
            </w:pPr>
            <w:r w:rsidRPr="7A9D7D5A">
              <w:rPr>
                <w:rFonts w:eastAsiaTheme="minorEastAsia"/>
                <w:color w:val="000000"/>
              </w:rPr>
              <w:t>Sample</w:t>
            </w:r>
          </w:p>
        </w:tc>
        <w:tc>
          <w:tcPr>
            <w:tcW w:w="2525" w:type="dxa"/>
            <w:gridSpan w:val="3"/>
            <w:tcBorders>
              <w:top w:val="single" w:sz="12" w:space="0" w:color="auto"/>
              <w:bottom w:val="single" w:sz="12" w:space="0" w:color="auto"/>
            </w:tcBorders>
            <w:shd w:val="clear" w:color="auto" w:fill="auto"/>
            <w:noWrap/>
            <w:vAlign w:val="bottom"/>
          </w:tcPr>
          <w:p w14:paraId="00A0FCEF" w14:textId="77777777" w:rsidR="00A921C0" w:rsidRPr="005E3322" w:rsidRDefault="00A921C0" w:rsidP="00F12147">
            <w:pPr>
              <w:rPr>
                <w:rFonts w:eastAsiaTheme="minorEastAsia"/>
                <w:b/>
              </w:rPr>
            </w:pPr>
            <w:r w:rsidRPr="7A9D7D5A">
              <w:rPr>
                <w:rFonts w:eastAsiaTheme="minorEastAsia"/>
              </w:rPr>
              <w:t xml:space="preserve">All </w:t>
            </w:r>
            <w:r>
              <w:rPr>
                <w:rFonts w:cstheme="minorHAnsi"/>
              </w:rPr>
              <w:t xml:space="preserve">PSID-TAS </w:t>
            </w:r>
            <w:r w:rsidRPr="7A9D7D5A">
              <w:rPr>
                <w:rFonts w:eastAsiaTheme="minorEastAsia"/>
              </w:rPr>
              <w:t>Respondents</w:t>
            </w:r>
          </w:p>
        </w:tc>
        <w:tc>
          <w:tcPr>
            <w:tcW w:w="360" w:type="dxa"/>
            <w:tcBorders>
              <w:top w:val="single" w:sz="12" w:space="0" w:color="auto"/>
              <w:bottom w:val="single" w:sz="12" w:space="0" w:color="auto"/>
            </w:tcBorders>
            <w:vAlign w:val="bottom"/>
          </w:tcPr>
          <w:p w14:paraId="3B13FBEC" w14:textId="77777777" w:rsidR="00A921C0" w:rsidRPr="7A9D7D5A" w:rsidRDefault="00A921C0" w:rsidP="00F12147">
            <w:pPr>
              <w:rPr>
                <w:rFonts w:eastAsiaTheme="minorEastAsia"/>
              </w:rPr>
            </w:pPr>
          </w:p>
        </w:tc>
        <w:tc>
          <w:tcPr>
            <w:tcW w:w="2613" w:type="dxa"/>
            <w:gridSpan w:val="3"/>
            <w:tcBorders>
              <w:top w:val="single" w:sz="12" w:space="0" w:color="auto"/>
              <w:bottom w:val="single" w:sz="12" w:space="0" w:color="auto"/>
            </w:tcBorders>
            <w:shd w:val="clear" w:color="auto" w:fill="auto"/>
            <w:noWrap/>
            <w:vAlign w:val="bottom"/>
          </w:tcPr>
          <w:p w14:paraId="08B45A53" w14:textId="7E36CED5" w:rsidR="00A921C0" w:rsidRPr="005E3322" w:rsidRDefault="00A921C0" w:rsidP="00F12147">
            <w:pPr>
              <w:rPr>
                <w:rFonts w:eastAsiaTheme="minorEastAsia"/>
                <w:b/>
              </w:rPr>
            </w:pPr>
            <w:r w:rsidRPr="7A9D7D5A">
              <w:rPr>
                <w:rFonts w:eastAsiaTheme="minorEastAsia"/>
              </w:rPr>
              <w:t>College Attendees</w:t>
            </w:r>
          </w:p>
        </w:tc>
        <w:tc>
          <w:tcPr>
            <w:tcW w:w="270" w:type="dxa"/>
            <w:tcBorders>
              <w:top w:val="single" w:sz="12" w:space="0" w:color="auto"/>
              <w:bottom w:val="single" w:sz="12" w:space="0" w:color="auto"/>
            </w:tcBorders>
            <w:vAlign w:val="bottom"/>
          </w:tcPr>
          <w:p w14:paraId="09F9D542" w14:textId="77777777" w:rsidR="00A921C0" w:rsidRPr="7A9D7D5A" w:rsidRDefault="00A921C0" w:rsidP="00F12147">
            <w:pPr>
              <w:rPr>
                <w:rFonts w:eastAsiaTheme="minorEastAsia"/>
              </w:rPr>
            </w:pPr>
          </w:p>
        </w:tc>
        <w:tc>
          <w:tcPr>
            <w:tcW w:w="2520" w:type="dxa"/>
            <w:gridSpan w:val="3"/>
            <w:tcBorders>
              <w:top w:val="single" w:sz="12" w:space="0" w:color="auto"/>
              <w:bottom w:val="single" w:sz="12" w:space="0" w:color="auto"/>
            </w:tcBorders>
            <w:shd w:val="clear" w:color="auto" w:fill="auto"/>
            <w:noWrap/>
            <w:vAlign w:val="bottom"/>
          </w:tcPr>
          <w:p w14:paraId="5076F3CE" w14:textId="102A4BAD" w:rsidR="00A921C0" w:rsidRPr="005E3322" w:rsidRDefault="00A921C0" w:rsidP="00F12147">
            <w:pPr>
              <w:rPr>
                <w:rFonts w:eastAsiaTheme="minorEastAsia"/>
                <w:color w:val="000000"/>
              </w:rPr>
            </w:pPr>
            <w:r w:rsidRPr="7A9D7D5A">
              <w:rPr>
                <w:rFonts w:eastAsiaTheme="minorEastAsia"/>
              </w:rPr>
              <w:t>College Attendees</w:t>
            </w:r>
          </w:p>
        </w:tc>
      </w:tr>
    </w:tbl>
    <w:p w14:paraId="0EF4360C" w14:textId="77777777" w:rsidR="00D37CBF" w:rsidRDefault="00D37CBF"/>
    <w:p w14:paraId="28F25962" w14:textId="77777777" w:rsidR="005C7014" w:rsidRDefault="005C7014"/>
    <w:p w14:paraId="4E2718F7" w14:textId="77777777" w:rsidR="00377711" w:rsidRDefault="00377711" w:rsidP="00CB1C26"/>
    <w:p w14:paraId="57049645" w14:textId="28A87DF0" w:rsidR="00CB1C26" w:rsidRPr="003375A6" w:rsidRDefault="00CB1C26" w:rsidP="00CB1C26">
      <w:pPr>
        <w:pStyle w:val="NoSpacing"/>
        <w:rPr>
          <w:rFonts w:eastAsiaTheme="minorEastAsia"/>
          <w:sz w:val="20"/>
          <w:szCs w:val="20"/>
        </w:rPr>
      </w:pPr>
      <w:r>
        <w:rPr>
          <w:rFonts w:eastAsiaTheme="minorEastAsia"/>
          <w:sz w:val="20"/>
          <w:szCs w:val="20"/>
        </w:rPr>
        <w:t xml:space="preserve">Table </w:t>
      </w:r>
      <w:r w:rsidR="00F53C1B">
        <w:rPr>
          <w:rFonts w:eastAsiaTheme="minorEastAsia"/>
          <w:sz w:val="20"/>
          <w:szCs w:val="20"/>
        </w:rPr>
        <w:t xml:space="preserve">4 and Table 5 </w:t>
      </w:r>
      <w:r w:rsidRPr="003375A6">
        <w:rPr>
          <w:rFonts w:eastAsiaTheme="minorEastAsia"/>
          <w:sz w:val="20"/>
          <w:szCs w:val="20"/>
        </w:rPr>
        <w:t>N</w:t>
      </w:r>
      <w:r>
        <w:rPr>
          <w:rFonts w:eastAsiaTheme="minorEastAsia"/>
          <w:sz w:val="20"/>
          <w:szCs w:val="20"/>
        </w:rPr>
        <w:t>otes</w:t>
      </w:r>
    </w:p>
    <w:p w14:paraId="6605C874" w14:textId="77777777" w:rsidR="00CB1C26" w:rsidRPr="003375A6" w:rsidRDefault="00CB1C26" w:rsidP="00FB60EF">
      <w:pPr>
        <w:pStyle w:val="NoSpacing"/>
        <w:numPr>
          <w:ilvl w:val="0"/>
          <w:numId w:val="6"/>
        </w:numPr>
        <w:ind w:left="524"/>
        <w:rPr>
          <w:rFonts w:eastAsiaTheme="minorEastAsia"/>
          <w:sz w:val="20"/>
          <w:szCs w:val="20"/>
        </w:rPr>
      </w:pPr>
      <w:r w:rsidRPr="003375A6">
        <w:rPr>
          <w:rFonts w:eastAsiaTheme="minorEastAsia"/>
          <w:sz w:val="20"/>
          <w:szCs w:val="20"/>
        </w:rPr>
        <w:t xml:space="preserve">Highlighted </w:t>
      </w:r>
      <w:r>
        <w:rPr>
          <w:rFonts w:eastAsiaTheme="minorEastAsia"/>
          <w:sz w:val="20"/>
          <w:szCs w:val="20"/>
        </w:rPr>
        <w:t>estimates</w:t>
      </w:r>
      <w:r w:rsidRPr="003375A6">
        <w:rPr>
          <w:rFonts w:eastAsiaTheme="minorEastAsia"/>
          <w:sz w:val="20"/>
          <w:szCs w:val="20"/>
        </w:rPr>
        <w:t xml:space="preserve">: </w:t>
      </w:r>
      <w:r>
        <w:rPr>
          <w:rFonts w:eastAsiaTheme="minorEastAsia"/>
          <w:sz w:val="20"/>
          <w:szCs w:val="20"/>
        </w:rPr>
        <w:t>d</w:t>
      </w:r>
      <w:r w:rsidRPr="003375A6">
        <w:rPr>
          <w:rFonts w:eastAsiaTheme="minorEastAsia"/>
          <w:sz w:val="20"/>
          <w:szCs w:val="20"/>
        </w:rPr>
        <w:t>ifferences are significant at p &lt; .05</w:t>
      </w:r>
      <w:r>
        <w:rPr>
          <w:rFonts w:eastAsiaTheme="minorEastAsia"/>
          <w:sz w:val="20"/>
          <w:szCs w:val="20"/>
        </w:rPr>
        <w:t xml:space="preserve"> b</w:t>
      </w:r>
      <w:r w:rsidRPr="003375A6">
        <w:rPr>
          <w:rFonts w:eastAsiaTheme="minorEastAsia"/>
          <w:sz w:val="20"/>
          <w:szCs w:val="20"/>
        </w:rPr>
        <w:t xml:space="preserve">etween </w:t>
      </w:r>
      <w:r>
        <w:rPr>
          <w:rFonts w:eastAsiaTheme="minorEastAsia"/>
          <w:sz w:val="20"/>
          <w:szCs w:val="20"/>
        </w:rPr>
        <w:t>income or</w:t>
      </w:r>
      <w:r w:rsidRPr="003375A6">
        <w:rPr>
          <w:rFonts w:eastAsiaTheme="minorEastAsia"/>
          <w:sz w:val="20"/>
          <w:szCs w:val="20"/>
        </w:rPr>
        <w:t xml:space="preserve"> wealth groups within a given race and ethnicity.</w:t>
      </w:r>
    </w:p>
    <w:p w14:paraId="06E7FFDB" w14:textId="33C7ECAC" w:rsidR="00CB1C26" w:rsidRPr="003375A6" w:rsidRDefault="00CB1C26" w:rsidP="00FB60EF">
      <w:pPr>
        <w:pStyle w:val="NoSpacing"/>
        <w:numPr>
          <w:ilvl w:val="0"/>
          <w:numId w:val="6"/>
        </w:numPr>
        <w:ind w:left="524"/>
        <w:rPr>
          <w:rFonts w:eastAsiaTheme="minorEastAsia"/>
          <w:sz w:val="20"/>
          <w:szCs w:val="20"/>
        </w:rPr>
      </w:pPr>
      <w:r w:rsidRPr="003375A6">
        <w:rPr>
          <w:rFonts w:eastAsiaTheme="minorEastAsia"/>
          <w:sz w:val="20"/>
          <w:szCs w:val="20"/>
        </w:rPr>
        <w:t xml:space="preserve">Bolded </w:t>
      </w:r>
      <w:r>
        <w:rPr>
          <w:rFonts w:eastAsiaTheme="minorEastAsia"/>
          <w:sz w:val="20"/>
          <w:szCs w:val="20"/>
        </w:rPr>
        <w:t>estimates</w:t>
      </w:r>
      <w:r w:rsidRPr="003375A6">
        <w:rPr>
          <w:rFonts w:eastAsiaTheme="minorEastAsia"/>
          <w:sz w:val="20"/>
          <w:szCs w:val="20"/>
        </w:rPr>
        <w:t xml:space="preserve">: </w:t>
      </w:r>
      <w:r>
        <w:rPr>
          <w:rFonts w:eastAsiaTheme="minorEastAsia"/>
          <w:sz w:val="20"/>
          <w:szCs w:val="20"/>
        </w:rPr>
        <w:t>differences are significant at p &lt; .05 b</w:t>
      </w:r>
      <w:r w:rsidRPr="003375A6">
        <w:rPr>
          <w:rFonts w:eastAsiaTheme="minorEastAsia"/>
          <w:sz w:val="20"/>
          <w:szCs w:val="20"/>
        </w:rPr>
        <w:t xml:space="preserve">etween </w:t>
      </w:r>
      <w:r w:rsidR="00905CFB">
        <w:rPr>
          <w:rFonts w:eastAsiaTheme="minorEastAsia"/>
          <w:sz w:val="20"/>
          <w:szCs w:val="20"/>
        </w:rPr>
        <w:t>race and ethnicity</w:t>
      </w:r>
      <w:r w:rsidRPr="003375A6">
        <w:rPr>
          <w:rFonts w:eastAsiaTheme="minorEastAsia"/>
          <w:sz w:val="20"/>
          <w:szCs w:val="20"/>
        </w:rPr>
        <w:t xml:space="preserve"> groups of the same income </w:t>
      </w:r>
      <w:r>
        <w:rPr>
          <w:rFonts w:eastAsiaTheme="minorEastAsia"/>
          <w:sz w:val="20"/>
          <w:szCs w:val="20"/>
        </w:rPr>
        <w:t>or</w:t>
      </w:r>
      <w:r w:rsidRPr="003375A6">
        <w:rPr>
          <w:rFonts w:eastAsiaTheme="minorEastAsia"/>
          <w:sz w:val="20"/>
          <w:szCs w:val="20"/>
        </w:rPr>
        <w:t xml:space="preserve"> wealth.</w:t>
      </w:r>
    </w:p>
    <w:p w14:paraId="0D4F35C0" w14:textId="77777777" w:rsidR="00CB1C26" w:rsidRDefault="00CB1C26" w:rsidP="00FB60EF">
      <w:pPr>
        <w:pStyle w:val="NoSpacing"/>
        <w:numPr>
          <w:ilvl w:val="0"/>
          <w:numId w:val="6"/>
        </w:numPr>
        <w:ind w:left="524"/>
        <w:rPr>
          <w:rFonts w:eastAsiaTheme="minorEastAsia"/>
          <w:sz w:val="20"/>
          <w:szCs w:val="20"/>
        </w:rPr>
      </w:pPr>
      <w:r w:rsidRPr="6A9E2235">
        <w:rPr>
          <w:rFonts w:eastAsiaTheme="minorEastAsia"/>
          <w:sz w:val="20"/>
          <w:szCs w:val="20"/>
        </w:rPr>
        <w:t>Income and wealth are divided into terciles, with all racial and ethnic groups using the same cut</w:t>
      </w:r>
      <w:r>
        <w:rPr>
          <w:rFonts w:eastAsiaTheme="minorEastAsia"/>
          <w:sz w:val="20"/>
          <w:szCs w:val="20"/>
        </w:rPr>
        <w:t xml:space="preserve"> </w:t>
      </w:r>
      <w:r w:rsidRPr="6A9E2235">
        <w:rPr>
          <w:rFonts w:eastAsiaTheme="minorEastAsia"/>
          <w:sz w:val="20"/>
          <w:szCs w:val="20"/>
        </w:rPr>
        <w:t xml:space="preserve">points. </w:t>
      </w:r>
    </w:p>
    <w:p w14:paraId="32CDBB47" w14:textId="77777777" w:rsidR="00CB1C26" w:rsidRPr="00D42D74" w:rsidRDefault="00CB1C26" w:rsidP="00FB60EF">
      <w:pPr>
        <w:pStyle w:val="NoSpacing"/>
        <w:numPr>
          <w:ilvl w:val="0"/>
          <w:numId w:val="6"/>
        </w:numPr>
        <w:ind w:left="524"/>
        <w:rPr>
          <w:rFonts w:eastAsiaTheme="minorEastAsia"/>
          <w:sz w:val="20"/>
          <w:szCs w:val="20"/>
        </w:rPr>
      </w:pPr>
      <w:r w:rsidRPr="6A9E2235">
        <w:rPr>
          <w:i/>
          <w:iCs/>
          <w:sz w:val="20"/>
          <w:szCs w:val="20"/>
        </w:rPr>
        <w:t>Another race</w:t>
      </w:r>
      <w:r w:rsidRPr="6A9E2235">
        <w:rPr>
          <w:sz w:val="20"/>
          <w:szCs w:val="20"/>
        </w:rPr>
        <w:t xml:space="preserve"> represents individuals who are American Indian or Alaska Native, Asian, Middle Eastern or North African, Native Hawaiian or </w:t>
      </w:r>
      <w:r>
        <w:rPr>
          <w:sz w:val="20"/>
          <w:szCs w:val="20"/>
        </w:rPr>
        <w:t>o</w:t>
      </w:r>
      <w:r w:rsidRPr="6A9E2235">
        <w:rPr>
          <w:sz w:val="20"/>
          <w:szCs w:val="20"/>
        </w:rPr>
        <w:t>ther Pacific Islander, or who are two or more races.</w:t>
      </w:r>
    </w:p>
    <w:p w14:paraId="199652EF" w14:textId="77777777" w:rsidR="00CB1C26" w:rsidRDefault="00CB1C26" w:rsidP="00FB60EF">
      <w:pPr>
        <w:pStyle w:val="NoSpacing"/>
        <w:numPr>
          <w:ilvl w:val="0"/>
          <w:numId w:val="6"/>
        </w:numPr>
        <w:ind w:left="524"/>
        <w:rPr>
          <w:rFonts w:eastAsiaTheme="minorEastAsia"/>
          <w:sz w:val="20"/>
          <w:szCs w:val="20"/>
        </w:rPr>
      </w:pPr>
      <w:r>
        <w:rPr>
          <w:rFonts w:eastAsiaTheme="minorEastAsia"/>
          <w:sz w:val="20"/>
          <w:szCs w:val="20"/>
        </w:rPr>
        <w:t>The degree completion outcome identifies those who attended college and completed at least an associate’s degree.</w:t>
      </w:r>
    </w:p>
    <w:p w14:paraId="36F860E2" w14:textId="77777777" w:rsidR="00CB1C26" w:rsidRPr="007B3F3C" w:rsidRDefault="00CB1C26" w:rsidP="00FB60EF">
      <w:pPr>
        <w:pStyle w:val="NoSpacing"/>
        <w:numPr>
          <w:ilvl w:val="0"/>
          <w:numId w:val="6"/>
        </w:numPr>
        <w:ind w:left="524"/>
        <w:rPr>
          <w:rFonts w:eastAsiaTheme="minorEastAsia"/>
          <w:sz w:val="20"/>
          <w:szCs w:val="20"/>
        </w:rPr>
      </w:pPr>
      <w:r w:rsidRPr="003375A6">
        <w:rPr>
          <w:rFonts w:eastAsiaTheme="minorEastAsia"/>
          <w:sz w:val="20"/>
          <w:szCs w:val="20"/>
        </w:rPr>
        <w:t>Estimates are suppressed when sample sizes are smaller than 30.</w:t>
      </w:r>
    </w:p>
    <w:p w14:paraId="71A99192" w14:textId="77777777" w:rsidR="00CB1C26" w:rsidRPr="00650CBE" w:rsidRDefault="00CB1C26" w:rsidP="00FB60EF">
      <w:pPr>
        <w:pStyle w:val="NoSpacing"/>
        <w:numPr>
          <w:ilvl w:val="0"/>
          <w:numId w:val="6"/>
        </w:numPr>
        <w:ind w:left="524"/>
        <w:rPr>
          <w:rFonts w:eastAsiaTheme="minorEastAsia"/>
          <w:sz w:val="20"/>
          <w:szCs w:val="20"/>
        </w:rPr>
      </w:pPr>
      <w:r w:rsidRPr="6A9E2235">
        <w:rPr>
          <w:rFonts w:eastAsiaTheme="minorEastAsia"/>
          <w:sz w:val="20"/>
          <w:szCs w:val="20"/>
        </w:rPr>
        <w:t>N sizes</w:t>
      </w:r>
      <w:r>
        <w:rPr>
          <w:rFonts w:eastAsiaTheme="minorEastAsia"/>
          <w:sz w:val="20"/>
          <w:szCs w:val="20"/>
        </w:rPr>
        <w:t xml:space="preserve"> for tables 4 and 5 are</w:t>
      </w:r>
      <w:r w:rsidRPr="6A9E2235">
        <w:rPr>
          <w:rFonts w:eastAsiaTheme="minorEastAsia"/>
          <w:sz w:val="20"/>
          <w:szCs w:val="20"/>
        </w:rPr>
        <w:t xml:space="preserve"> shown </w:t>
      </w:r>
      <w:r>
        <w:rPr>
          <w:rFonts w:eastAsiaTheme="minorEastAsia"/>
          <w:sz w:val="20"/>
          <w:szCs w:val="20"/>
        </w:rPr>
        <w:t>appendix</w:t>
      </w:r>
      <w:r w:rsidRPr="6A9E2235">
        <w:rPr>
          <w:rFonts w:eastAsiaTheme="minorEastAsia"/>
          <w:sz w:val="20"/>
          <w:szCs w:val="20"/>
        </w:rPr>
        <w:t xml:space="preserve"> table</w:t>
      </w:r>
      <w:r>
        <w:rPr>
          <w:rFonts w:eastAsiaTheme="minorEastAsia"/>
          <w:sz w:val="20"/>
          <w:szCs w:val="20"/>
        </w:rPr>
        <w:t>s A-2 and</w:t>
      </w:r>
      <w:r w:rsidRPr="6A9E2235">
        <w:rPr>
          <w:rFonts w:eastAsiaTheme="minorEastAsia"/>
          <w:sz w:val="20"/>
          <w:szCs w:val="20"/>
        </w:rPr>
        <w:t xml:space="preserve"> A-</w:t>
      </w:r>
      <w:r>
        <w:rPr>
          <w:rFonts w:eastAsiaTheme="minorEastAsia"/>
          <w:sz w:val="20"/>
          <w:szCs w:val="20"/>
        </w:rPr>
        <w:t>3, respectively.</w:t>
      </w:r>
    </w:p>
    <w:p w14:paraId="11427538" w14:textId="77777777" w:rsidR="00CB1C26" w:rsidRDefault="00CB1C26" w:rsidP="00FB60EF">
      <w:pPr>
        <w:pStyle w:val="NoSpacing"/>
        <w:numPr>
          <w:ilvl w:val="0"/>
          <w:numId w:val="6"/>
        </w:numPr>
        <w:ind w:left="524"/>
        <w:rPr>
          <w:rFonts w:eastAsiaTheme="minorEastAsia"/>
          <w:sz w:val="20"/>
          <w:szCs w:val="20"/>
        </w:rPr>
      </w:pPr>
      <w:r w:rsidRPr="6A9E2235">
        <w:rPr>
          <w:rFonts w:eastAsiaTheme="minorEastAsia"/>
          <w:sz w:val="20"/>
          <w:szCs w:val="20"/>
        </w:rPr>
        <w:t>Data are weighted using the most recent individual longitudinal weight</w:t>
      </w:r>
      <w:r>
        <w:rPr>
          <w:rFonts w:eastAsiaTheme="minorEastAsia"/>
          <w:sz w:val="20"/>
          <w:szCs w:val="20"/>
        </w:rPr>
        <w:t>.</w:t>
      </w:r>
      <w:r w:rsidRPr="6A9E2235">
        <w:rPr>
          <w:rFonts w:eastAsiaTheme="minorEastAsia"/>
          <w:sz w:val="20"/>
          <w:szCs w:val="20"/>
        </w:rPr>
        <w:t xml:space="preserve"> </w:t>
      </w:r>
    </w:p>
    <w:p w14:paraId="3D979D77" w14:textId="77777777" w:rsidR="00CB1C26" w:rsidRDefault="00CB1C26" w:rsidP="00CB1C26">
      <w:r w:rsidRPr="00BE7CA5">
        <w:rPr>
          <w:rFonts w:eastAsiaTheme="minorEastAsia"/>
          <w:sz w:val="20"/>
          <w:szCs w:val="20"/>
        </w:rPr>
        <w:t>Source: IHEP analysis of PSID-TAS data (2005–2019).</w:t>
      </w:r>
    </w:p>
    <w:p w14:paraId="214D32D9" w14:textId="77777777" w:rsidR="00CB1C26" w:rsidRPr="005C7014" w:rsidRDefault="00CB1C26" w:rsidP="00CB1C26">
      <w:pPr>
        <w:sectPr w:rsidR="00CB1C26" w:rsidRPr="005C7014" w:rsidSect="001A7A59">
          <w:footnotePr>
            <w:numFmt w:val="lowerRoman"/>
          </w:footnotePr>
          <w:endnotePr>
            <w:numFmt w:val="decimal"/>
          </w:endnotePr>
          <w:pgSz w:w="12240" w:h="15840"/>
          <w:pgMar w:top="1440" w:right="1440" w:bottom="1440" w:left="1440" w:header="720" w:footer="720" w:gutter="0"/>
          <w:cols w:space="720"/>
          <w:docGrid w:linePitch="360"/>
        </w:sectPr>
      </w:pPr>
    </w:p>
    <w:p w14:paraId="2D9657EC" w14:textId="07C27D17" w:rsidR="00E277E4" w:rsidRDefault="00E77C2B" w:rsidP="004B1105">
      <w:pPr>
        <w:pStyle w:val="Heading1"/>
        <w:spacing w:before="0"/>
      </w:pPr>
      <w:bookmarkStart w:id="37" w:name="_Toc167901754"/>
      <w:r>
        <w:lastRenderedPageBreak/>
        <w:t>Recommend</w:t>
      </w:r>
      <w:r w:rsidR="27BF0F08">
        <w:t xml:space="preserve">ations </w:t>
      </w:r>
      <w:r w:rsidR="00A578C9">
        <w:t xml:space="preserve">And </w:t>
      </w:r>
      <w:r w:rsidR="0040183E">
        <w:t>Needed</w:t>
      </w:r>
      <w:r>
        <w:t xml:space="preserve"> </w:t>
      </w:r>
      <w:r w:rsidR="003B769F">
        <w:t xml:space="preserve">Data </w:t>
      </w:r>
      <w:r>
        <w:t>Improvements</w:t>
      </w:r>
      <w:bookmarkEnd w:id="37"/>
      <w:r w:rsidR="00602125">
        <w:t xml:space="preserve"> </w:t>
      </w:r>
    </w:p>
    <w:p w14:paraId="0FD95AD5" w14:textId="77777777" w:rsidR="006D321C" w:rsidRDefault="006D321C" w:rsidP="004B1105"/>
    <w:p w14:paraId="687A0EB4" w14:textId="11C8D5FA" w:rsidR="00310038" w:rsidRDefault="1143CA51" w:rsidP="004B1105">
      <w:pPr>
        <w:rPr>
          <w:color w:val="000000" w:themeColor="text1"/>
        </w:rPr>
      </w:pPr>
      <w:r>
        <w:t>The racial w</w:t>
      </w:r>
      <w:r w:rsidR="009337F3">
        <w:t>ealth</w:t>
      </w:r>
      <w:r w:rsidR="556353D6">
        <w:t xml:space="preserve"> </w:t>
      </w:r>
      <w:r w:rsidR="71ABD76C">
        <w:t xml:space="preserve">gap </w:t>
      </w:r>
      <w:r w:rsidR="556353D6">
        <w:t xml:space="preserve">and </w:t>
      </w:r>
      <w:r w:rsidR="00656E12">
        <w:t xml:space="preserve">higher education </w:t>
      </w:r>
      <w:r w:rsidR="244BF16B">
        <w:t>a</w:t>
      </w:r>
      <w:r w:rsidR="5989ADA5">
        <w:t>re</w:t>
      </w:r>
      <w:r w:rsidR="244BF16B">
        <w:t xml:space="preserve"> intertwined. </w:t>
      </w:r>
      <w:r w:rsidR="00FD66A0" w:rsidRPr="5E154477">
        <w:rPr>
          <w:color w:val="000000" w:themeColor="text1"/>
        </w:rPr>
        <w:t>Th</w:t>
      </w:r>
      <w:r w:rsidR="00A609EA" w:rsidRPr="5E154477">
        <w:rPr>
          <w:color w:val="000000" w:themeColor="text1"/>
        </w:rPr>
        <w:t xml:space="preserve">is </w:t>
      </w:r>
      <w:r w:rsidR="00FD66A0" w:rsidRPr="5E154477">
        <w:rPr>
          <w:color w:val="000000" w:themeColor="text1"/>
        </w:rPr>
        <w:t xml:space="preserve">analysis </w:t>
      </w:r>
      <w:r w:rsidR="00463A73">
        <w:rPr>
          <w:color w:val="000000" w:themeColor="text1"/>
        </w:rPr>
        <w:t>clarifies</w:t>
      </w:r>
      <w:r w:rsidR="00A609EA" w:rsidRPr="5E154477">
        <w:rPr>
          <w:color w:val="000000" w:themeColor="text1"/>
        </w:rPr>
        <w:t xml:space="preserve"> </w:t>
      </w:r>
      <w:r w:rsidR="00757D6B">
        <w:rPr>
          <w:color w:val="000000" w:themeColor="text1"/>
        </w:rPr>
        <w:t>that</w:t>
      </w:r>
      <w:r w:rsidR="00B81D4E">
        <w:rPr>
          <w:color w:val="000000" w:themeColor="text1"/>
        </w:rPr>
        <w:t xml:space="preserve"> </w:t>
      </w:r>
      <w:r w:rsidR="00FD66A0" w:rsidRPr="5E154477">
        <w:rPr>
          <w:color w:val="000000" w:themeColor="text1"/>
        </w:rPr>
        <w:t xml:space="preserve">the racial wealth gap </w:t>
      </w:r>
      <w:r w:rsidR="00D72AE2">
        <w:rPr>
          <w:color w:val="000000" w:themeColor="text1"/>
        </w:rPr>
        <w:t>contributes</w:t>
      </w:r>
      <w:r w:rsidR="00FD66A0" w:rsidRPr="5E154477">
        <w:rPr>
          <w:color w:val="000000" w:themeColor="text1"/>
        </w:rPr>
        <w:t xml:space="preserve"> to</w:t>
      </w:r>
      <w:r w:rsidR="00ED2188" w:rsidRPr="5E154477">
        <w:rPr>
          <w:color w:val="000000" w:themeColor="text1"/>
        </w:rPr>
        <w:t xml:space="preserve"> </w:t>
      </w:r>
      <w:r w:rsidR="0043361A">
        <w:rPr>
          <w:color w:val="000000" w:themeColor="text1"/>
        </w:rPr>
        <w:t>disparit</w:t>
      </w:r>
      <w:r w:rsidR="00005BAE">
        <w:rPr>
          <w:color w:val="000000" w:themeColor="text1"/>
        </w:rPr>
        <w:t>ies</w:t>
      </w:r>
      <w:r w:rsidR="0043361A" w:rsidRPr="5E154477">
        <w:rPr>
          <w:color w:val="000000" w:themeColor="text1"/>
        </w:rPr>
        <w:t xml:space="preserve"> </w:t>
      </w:r>
      <w:r w:rsidR="00FD66A0" w:rsidRPr="5E154477">
        <w:rPr>
          <w:color w:val="000000" w:themeColor="text1"/>
        </w:rPr>
        <w:t xml:space="preserve">in higher education outcomes between racial and ethnic groups. Given the cyclical relationship between higher education and wealth, </w:t>
      </w:r>
      <w:r w:rsidR="0009697F" w:rsidRPr="5E154477">
        <w:rPr>
          <w:color w:val="000000" w:themeColor="text1"/>
        </w:rPr>
        <w:t xml:space="preserve">reducing </w:t>
      </w:r>
      <w:r w:rsidR="00FD66A0" w:rsidRPr="5E154477">
        <w:rPr>
          <w:color w:val="000000" w:themeColor="text1"/>
        </w:rPr>
        <w:t xml:space="preserve">the racial wealth gap </w:t>
      </w:r>
      <w:r w:rsidR="00B13A1C" w:rsidRPr="5E154477">
        <w:rPr>
          <w:color w:val="000000" w:themeColor="text1"/>
        </w:rPr>
        <w:t xml:space="preserve">would </w:t>
      </w:r>
      <w:r w:rsidR="003D587F">
        <w:rPr>
          <w:color w:val="000000" w:themeColor="text1"/>
        </w:rPr>
        <w:t>narrow</w:t>
      </w:r>
      <w:r w:rsidR="00B13A1C" w:rsidRPr="5E154477">
        <w:rPr>
          <w:color w:val="000000" w:themeColor="text1"/>
        </w:rPr>
        <w:t xml:space="preserve"> the inequities in </w:t>
      </w:r>
      <w:r w:rsidR="00FD66A0" w:rsidRPr="5E154477">
        <w:rPr>
          <w:color w:val="000000" w:themeColor="text1"/>
        </w:rPr>
        <w:t>higher education outcomes</w:t>
      </w:r>
      <w:r w:rsidR="001373C3">
        <w:rPr>
          <w:color w:val="000000" w:themeColor="text1"/>
        </w:rPr>
        <w:t xml:space="preserve"> </w:t>
      </w:r>
      <w:r w:rsidR="001207FE">
        <w:rPr>
          <w:color w:val="000000" w:themeColor="text1"/>
        </w:rPr>
        <w:t>that in turn</w:t>
      </w:r>
      <w:r w:rsidR="008303E7">
        <w:rPr>
          <w:color w:val="000000" w:themeColor="text1"/>
        </w:rPr>
        <w:t xml:space="preserve"> </w:t>
      </w:r>
      <w:r w:rsidR="008E6F63" w:rsidRPr="5E154477">
        <w:rPr>
          <w:color w:val="000000" w:themeColor="text1"/>
        </w:rPr>
        <w:t>could</w:t>
      </w:r>
      <w:r w:rsidR="00FD66A0" w:rsidRPr="5E154477">
        <w:rPr>
          <w:color w:val="000000" w:themeColor="text1"/>
        </w:rPr>
        <w:t xml:space="preserve"> reduce the racial wealth gap</w:t>
      </w:r>
      <w:r w:rsidR="00BE192A" w:rsidRPr="5E154477">
        <w:rPr>
          <w:color w:val="000000" w:themeColor="text1"/>
        </w:rPr>
        <w:t xml:space="preserve"> </w:t>
      </w:r>
      <w:r w:rsidR="008E6F63" w:rsidRPr="5E154477">
        <w:rPr>
          <w:color w:val="000000" w:themeColor="text1"/>
        </w:rPr>
        <w:t xml:space="preserve">even </w:t>
      </w:r>
      <w:r w:rsidR="00BE192A" w:rsidRPr="5E154477">
        <w:rPr>
          <w:color w:val="000000" w:themeColor="text1"/>
        </w:rPr>
        <w:t>further</w:t>
      </w:r>
      <w:r w:rsidR="00FD66A0" w:rsidRPr="5E154477">
        <w:rPr>
          <w:color w:val="000000" w:themeColor="text1"/>
        </w:rPr>
        <w:t>.</w:t>
      </w:r>
    </w:p>
    <w:p w14:paraId="21F0AE96" w14:textId="77777777" w:rsidR="00310038" w:rsidRDefault="00310038" w:rsidP="004B1105">
      <w:pPr>
        <w:rPr>
          <w:color w:val="000000" w:themeColor="text1"/>
        </w:rPr>
      </w:pPr>
    </w:p>
    <w:p w14:paraId="47A4D721" w14:textId="7C9DEE96" w:rsidR="00FD66A0" w:rsidRDefault="00310038" w:rsidP="004B1105">
      <w:pPr>
        <w:pStyle w:val="Heading3"/>
      </w:pPr>
      <w:bookmarkStart w:id="38" w:name="_Toc167901755"/>
      <w:r>
        <w:t>Recommendations for Policymakers</w:t>
      </w:r>
      <w:r w:rsidR="004C2E3D">
        <w:t xml:space="preserve">, Researchers, and </w:t>
      </w:r>
      <w:r w:rsidR="000A34FB">
        <w:t xml:space="preserve">Other </w:t>
      </w:r>
      <w:r w:rsidR="004C2E3D">
        <w:t>Stakeholders</w:t>
      </w:r>
      <w:bookmarkEnd w:id="38"/>
    </w:p>
    <w:p w14:paraId="455AC525" w14:textId="77777777" w:rsidR="00BE192A" w:rsidRPr="001B55EF" w:rsidRDefault="00BE192A" w:rsidP="004B1105">
      <w:pPr>
        <w:rPr>
          <w:color w:val="000000"/>
        </w:rPr>
      </w:pPr>
    </w:p>
    <w:p w14:paraId="36C3199B" w14:textId="576964D5" w:rsidR="00C615A0" w:rsidDel="00B3214C" w:rsidRDefault="60BC7A38" w:rsidP="004B1105">
      <w:r>
        <w:t>P</w:t>
      </w:r>
      <w:r w:rsidR="092F6294">
        <w:t>olicymakers</w:t>
      </w:r>
      <w:r w:rsidR="004649CB">
        <w:t>—alongside researchers and other higher education stakeholders—</w:t>
      </w:r>
      <w:r w:rsidR="092F6294">
        <w:t xml:space="preserve">should </w:t>
      </w:r>
      <w:r w:rsidR="004A199A">
        <w:t>do</w:t>
      </w:r>
      <w:r w:rsidR="092F6294">
        <w:t xml:space="preserve"> </w:t>
      </w:r>
      <w:r w:rsidR="39521946">
        <w:t xml:space="preserve">the following to </w:t>
      </w:r>
      <w:r w:rsidR="007C138A">
        <w:t>ensure</w:t>
      </w:r>
      <w:r w:rsidR="00D96B87">
        <w:t xml:space="preserve"> that</w:t>
      </w:r>
      <w:r w:rsidR="007C138A">
        <w:t xml:space="preserve"> </w:t>
      </w:r>
      <w:r w:rsidR="00B94572">
        <w:t>a person</w:t>
      </w:r>
      <w:r w:rsidR="00EE1A24">
        <w:t xml:space="preserve">’s </w:t>
      </w:r>
      <w:r w:rsidR="0067589A">
        <w:t xml:space="preserve">wealth </w:t>
      </w:r>
      <w:r w:rsidR="007C138A">
        <w:t>does not determine their postsecondary outcomes and that</w:t>
      </w:r>
      <w:r w:rsidR="0067589A">
        <w:t xml:space="preserve"> </w:t>
      </w:r>
      <w:r w:rsidR="00A01317">
        <w:t>earning a postsecondary credential</w:t>
      </w:r>
      <w:r w:rsidR="00F8736A">
        <w:t xml:space="preserve"> </w:t>
      </w:r>
      <w:r w:rsidR="001C629E">
        <w:t xml:space="preserve">can </w:t>
      </w:r>
      <w:r w:rsidR="00A01317">
        <w:t xml:space="preserve">help all students </w:t>
      </w:r>
      <w:r w:rsidR="001C629E">
        <w:t>build wealth</w:t>
      </w:r>
      <w:r w:rsidR="3ECF2E5B">
        <w:t>:</w:t>
      </w:r>
    </w:p>
    <w:p w14:paraId="78E6E312" w14:textId="6F7E8F32" w:rsidR="00C615A0" w:rsidDel="00B3214C" w:rsidRDefault="00C615A0" w:rsidP="004B1105"/>
    <w:p w14:paraId="326BF32D" w14:textId="3E740083" w:rsidR="00C615A0" w:rsidDel="00B3214C" w:rsidRDefault="09FCFF33" w:rsidP="00FB60EF">
      <w:pPr>
        <w:pStyle w:val="ListParagraph"/>
        <w:numPr>
          <w:ilvl w:val="0"/>
          <w:numId w:val="8"/>
        </w:numPr>
      </w:pPr>
      <w:r w:rsidRPr="00BC6C15">
        <w:rPr>
          <w:b/>
          <w:i/>
        </w:rPr>
        <w:t>Center racial equity in policymaking</w:t>
      </w:r>
      <w:r w:rsidR="0B69198F" w:rsidRPr="5E154477">
        <w:rPr>
          <w:b/>
          <w:bCs/>
          <w:i/>
          <w:iCs/>
        </w:rPr>
        <w:t>.</w:t>
      </w:r>
      <w:r>
        <w:t xml:space="preserve"> </w:t>
      </w:r>
      <w:r w:rsidR="6D75CB9A">
        <w:t>Narrowing the racial wealth gap</w:t>
      </w:r>
      <w:r>
        <w:t xml:space="preserve"> requires being explicit about inequities and </w:t>
      </w:r>
      <w:r w:rsidRPr="5E154477">
        <w:t>identifying the root or historical causes</w:t>
      </w:r>
      <w:r w:rsidR="69CC9B31" w:rsidRPr="5E154477">
        <w:t xml:space="preserve"> of the inequities the</w:t>
      </w:r>
      <w:r w:rsidRPr="5E154477">
        <w:t xml:space="preserve"> policy or program aims to solve. </w:t>
      </w:r>
      <w:r w:rsidR="3FBA3CD0" w:rsidRPr="5E154477">
        <w:t xml:space="preserve">Many policies at institutions of higher education and at the local, state, and federal level have created </w:t>
      </w:r>
      <w:proofErr w:type="gramStart"/>
      <w:r w:rsidR="3FBA3CD0" w:rsidRPr="5E154477">
        <w:t>the inequitable</w:t>
      </w:r>
      <w:proofErr w:type="gramEnd"/>
      <w:r w:rsidR="7607351B" w:rsidRPr="5E154477">
        <w:t xml:space="preserve"> </w:t>
      </w:r>
      <w:r w:rsidR="3FBA3CD0" w:rsidRPr="5E154477">
        <w:t>outcomes we see today.</w:t>
      </w:r>
      <w:r w:rsidR="06009089" w:rsidRPr="5E154477">
        <w:t xml:space="preserve"> </w:t>
      </w:r>
      <w:r w:rsidR="3FBA3CD0" w:rsidRPr="5E154477">
        <w:t>White Americans for centuries have had disproportionate access to the economic and noneconomic benefits of higher</w:t>
      </w:r>
      <w:r w:rsidR="6572DEFC" w:rsidRPr="5E154477">
        <w:t xml:space="preserve"> </w:t>
      </w:r>
      <w:r w:rsidR="3FBA3CD0" w:rsidRPr="5E154477">
        <w:t xml:space="preserve">education </w:t>
      </w:r>
      <w:r w:rsidR="00305CAF">
        <w:t>when</w:t>
      </w:r>
      <w:r w:rsidR="3FBA3CD0" w:rsidRPr="5E154477">
        <w:t xml:space="preserve"> compared </w:t>
      </w:r>
      <w:r w:rsidR="001301B2">
        <w:t>with</w:t>
      </w:r>
      <w:r w:rsidR="3FBA3CD0" w:rsidRPr="5E154477">
        <w:t xml:space="preserve"> their Black, Latinx, Indigenous, and underrepresented Asian American</w:t>
      </w:r>
      <w:r w:rsidR="007F2BA3">
        <w:t>,</w:t>
      </w:r>
      <w:r w:rsidR="3FBA3CD0" w:rsidRPr="5E154477">
        <w:t xml:space="preserve"> Native Hawaiian</w:t>
      </w:r>
      <w:r w:rsidR="007F2BA3">
        <w:t>,</w:t>
      </w:r>
      <w:r w:rsidR="3FBA3CD0" w:rsidRPr="5E154477">
        <w:t xml:space="preserve"> and Pacific</w:t>
      </w:r>
      <w:r w:rsidR="5DB6B62E" w:rsidRPr="5E154477">
        <w:t xml:space="preserve"> </w:t>
      </w:r>
      <w:r w:rsidR="3FBA3CD0" w:rsidRPr="5E154477">
        <w:t>Islander peers. These multigenerational injustices reverberate within the postsecondary education system</w:t>
      </w:r>
      <w:r w:rsidR="7AFDCEEF" w:rsidRPr="5E154477">
        <w:t xml:space="preserve"> </w:t>
      </w:r>
      <w:r w:rsidR="3FBA3CD0" w:rsidRPr="5E154477">
        <w:t>and beyond</w:t>
      </w:r>
      <w:r w:rsidR="0D2A94CB" w:rsidRPr="5E154477">
        <w:t xml:space="preserve">. Only when an issue is seen through an equity lens can policymakers </w:t>
      </w:r>
      <w:r w:rsidR="000200D4">
        <w:t>design</w:t>
      </w:r>
      <w:r w:rsidR="000200D4" w:rsidRPr="5E154477">
        <w:t xml:space="preserve"> </w:t>
      </w:r>
      <w:r w:rsidR="0D2A94CB" w:rsidRPr="5E154477">
        <w:t>strategies and solutions.</w:t>
      </w:r>
    </w:p>
    <w:p w14:paraId="6F44EEAD" w14:textId="7B2805B6" w:rsidR="003A25F1" w:rsidRDefault="003A25F1" w:rsidP="004B1105">
      <w:pPr>
        <w:rPr>
          <w:color w:val="000000"/>
        </w:rPr>
      </w:pPr>
    </w:p>
    <w:p w14:paraId="2E46E932" w14:textId="041D5A98" w:rsidR="008912F9" w:rsidRDefault="00E64AE8" w:rsidP="00FB60EF">
      <w:pPr>
        <w:pStyle w:val="ListParagraph"/>
        <w:numPr>
          <w:ilvl w:val="0"/>
          <w:numId w:val="4"/>
        </w:numPr>
      </w:pPr>
      <w:r w:rsidRPr="5E154477">
        <w:rPr>
          <w:b/>
          <w:bCs/>
          <w:i/>
          <w:iCs/>
        </w:rPr>
        <w:t>C</w:t>
      </w:r>
      <w:r w:rsidR="00F95EAA" w:rsidRPr="5E154477">
        <w:rPr>
          <w:b/>
          <w:bCs/>
          <w:i/>
          <w:iCs/>
        </w:rPr>
        <w:t>onsider</w:t>
      </w:r>
      <w:r w:rsidRPr="5E154477">
        <w:rPr>
          <w:b/>
          <w:bCs/>
          <w:i/>
          <w:iCs/>
        </w:rPr>
        <w:t xml:space="preserve"> whether and how wealth should be used</w:t>
      </w:r>
      <w:r w:rsidR="00F95EAA" w:rsidRPr="00F95EAA">
        <w:rPr>
          <w:b/>
          <w:bCs/>
          <w:i/>
          <w:iCs/>
        </w:rPr>
        <w:t xml:space="preserve"> in </w:t>
      </w:r>
      <w:r w:rsidR="00F95EAA">
        <w:rPr>
          <w:b/>
          <w:bCs/>
          <w:i/>
          <w:iCs/>
        </w:rPr>
        <w:t xml:space="preserve">the disbursement of </w:t>
      </w:r>
      <w:r w:rsidR="00F95EAA" w:rsidRPr="00F95EAA">
        <w:rPr>
          <w:b/>
          <w:bCs/>
          <w:i/>
          <w:iCs/>
        </w:rPr>
        <w:t>need-based</w:t>
      </w:r>
      <w:r w:rsidR="00F95EAA">
        <w:rPr>
          <w:b/>
          <w:bCs/>
          <w:i/>
          <w:iCs/>
        </w:rPr>
        <w:t xml:space="preserve"> financial</w:t>
      </w:r>
      <w:r w:rsidR="00F95EAA" w:rsidRPr="00F95EAA">
        <w:rPr>
          <w:b/>
          <w:bCs/>
          <w:i/>
          <w:iCs/>
        </w:rPr>
        <w:t xml:space="preserve"> aid</w:t>
      </w:r>
      <w:r w:rsidR="00120FD0" w:rsidRPr="5E154477">
        <w:rPr>
          <w:b/>
          <w:bCs/>
          <w:i/>
          <w:iCs/>
        </w:rPr>
        <w:t>.</w:t>
      </w:r>
      <w:r w:rsidR="00D40AD1">
        <w:rPr>
          <w:b/>
          <w:bCs/>
          <w:i/>
          <w:iCs/>
        </w:rPr>
        <w:t xml:space="preserve"> </w:t>
      </w:r>
      <w:r w:rsidR="003A16B1">
        <w:t xml:space="preserve">More research is needed to understand whether </w:t>
      </w:r>
      <w:r w:rsidR="00A75C66">
        <w:t xml:space="preserve">and how </w:t>
      </w:r>
      <w:r w:rsidR="00216697">
        <w:t>accounting for wealth in the distribution of need-based financial aid</w:t>
      </w:r>
      <w:r w:rsidR="005771D9">
        <w:t xml:space="preserve"> </w:t>
      </w:r>
      <w:r w:rsidR="00216697">
        <w:t xml:space="preserve">would </w:t>
      </w:r>
      <w:r w:rsidR="00F10D6C">
        <w:t xml:space="preserve">promote equitable </w:t>
      </w:r>
      <w:r w:rsidR="00296C9E">
        <w:t xml:space="preserve">postsecondary access, success, and </w:t>
      </w:r>
      <w:r w:rsidR="00633922">
        <w:t>postcollege outcomes</w:t>
      </w:r>
      <w:r w:rsidR="00E74852">
        <w:t xml:space="preserve">, </w:t>
      </w:r>
      <w:r w:rsidR="0014510E">
        <w:t>compared</w:t>
      </w:r>
      <w:r w:rsidR="00E74852">
        <w:t xml:space="preserve"> </w:t>
      </w:r>
      <w:r w:rsidR="00E003B1">
        <w:t>with</w:t>
      </w:r>
      <w:r w:rsidR="00E74852">
        <w:t xml:space="preserve"> </w:t>
      </w:r>
      <w:r w:rsidR="0014510E">
        <w:t>approach</w:t>
      </w:r>
      <w:r w:rsidR="0068238A">
        <w:t>es</w:t>
      </w:r>
      <w:r w:rsidR="0014510E">
        <w:t xml:space="preserve"> that do not consider </w:t>
      </w:r>
      <w:r w:rsidR="00E74852">
        <w:t>wealth</w:t>
      </w:r>
      <w:r w:rsidR="008C2033">
        <w:t xml:space="preserve">. </w:t>
      </w:r>
      <w:r w:rsidR="00B76350">
        <w:t>R</w:t>
      </w:r>
      <w:r w:rsidR="0011310A">
        <w:t xml:space="preserve">esearchers and policymakers should explore </w:t>
      </w:r>
      <w:r w:rsidR="00C224B0">
        <w:t xml:space="preserve">which policy designs would best </w:t>
      </w:r>
      <w:r w:rsidR="008A78C2">
        <w:t xml:space="preserve">support more equitable outcomes </w:t>
      </w:r>
      <w:r w:rsidR="00BA171D">
        <w:t xml:space="preserve">while minimizing </w:t>
      </w:r>
      <w:r w:rsidR="00F12EAB">
        <w:t>unintended consequences like</w:t>
      </w:r>
      <w:r w:rsidR="005C5887">
        <w:t xml:space="preserve"> increasing </w:t>
      </w:r>
      <w:r w:rsidR="006B511F">
        <w:t>administrative</w:t>
      </w:r>
      <w:r w:rsidR="005C5887" w:rsidRPr="00083434">
        <w:t xml:space="preserve"> </w:t>
      </w:r>
      <w:r w:rsidR="005C5887">
        <w:t>burden for students from low-wealth backgrounds</w:t>
      </w:r>
      <w:r w:rsidR="00666971">
        <w:t xml:space="preserve"> when </w:t>
      </w:r>
      <w:r w:rsidR="008E65D3">
        <w:t xml:space="preserve">they are </w:t>
      </w:r>
      <w:r w:rsidR="00666971">
        <w:t>applying for aid</w:t>
      </w:r>
      <w:r w:rsidR="00426856">
        <w:t xml:space="preserve"> or </w:t>
      </w:r>
      <w:r w:rsidR="00000576">
        <w:t>advantaging</w:t>
      </w:r>
      <w:r w:rsidR="00426856">
        <w:t xml:space="preserve"> families with </w:t>
      </w:r>
      <w:proofErr w:type="gramStart"/>
      <w:r w:rsidR="00000576">
        <w:t>particular types</w:t>
      </w:r>
      <w:proofErr w:type="gramEnd"/>
      <w:r w:rsidR="00000576">
        <w:t xml:space="preserve"> of assets</w:t>
      </w:r>
      <w:r w:rsidR="005C5887">
        <w:t xml:space="preserve">. </w:t>
      </w:r>
      <w:r w:rsidR="005E2E2B">
        <w:t>Definitions of wealth affect which students benefit from financial aid policies and how much they benefit. For example, recent research</w:t>
      </w:r>
      <w:r w:rsidR="005E2E2B">
        <w:rPr>
          <w:rStyle w:val="EndnoteReference"/>
        </w:rPr>
        <w:endnoteReference w:id="64"/>
      </w:r>
      <w:r w:rsidR="005E2E2B">
        <w:t xml:space="preserve"> has found that the exclusion of retirement savings and home equity from the federal financial aid formula creates a larger implicit subsidy for White students ($2,200) than their Black ($800) and Latinx ($800) peers. </w:t>
      </w:r>
      <w:r w:rsidR="00B37631" w:rsidRPr="00113FCD">
        <w:t>Po</w:t>
      </w:r>
      <w:r w:rsidR="00F92770" w:rsidRPr="00113FCD">
        <w:t>licymakers should consider</w:t>
      </w:r>
      <w:r w:rsidR="00F5423C" w:rsidRPr="00113FCD">
        <w:t xml:space="preserve"> these </w:t>
      </w:r>
      <w:r w:rsidR="00B5727B">
        <w:t>potential</w:t>
      </w:r>
      <w:r w:rsidR="00B5727B" w:rsidRPr="00026773">
        <w:t xml:space="preserve"> </w:t>
      </w:r>
      <w:r w:rsidR="00F5423C" w:rsidRPr="00026773">
        <w:t>appro</w:t>
      </w:r>
      <w:r w:rsidR="002C036B" w:rsidRPr="00026773">
        <w:t xml:space="preserve">aches: </w:t>
      </w:r>
      <w:r w:rsidR="005D68AD" w:rsidRPr="00026773">
        <w:t>us</w:t>
      </w:r>
      <w:r w:rsidR="002C036B" w:rsidRPr="00026773">
        <w:t>ing</w:t>
      </w:r>
      <w:r w:rsidR="005D68AD" w:rsidRPr="00593586">
        <w:t xml:space="preserve"> </w:t>
      </w:r>
      <w:r w:rsidR="0015214A">
        <w:t xml:space="preserve">data from </w:t>
      </w:r>
      <w:r w:rsidR="00935693" w:rsidRPr="00593586">
        <w:t xml:space="preserve">existing asset </w:t>
      </w:r>
      <w:r w:rsidR="00DF03DE" w:rsidRPr="00593586">
        <w:t>questions</w:t>
      </w:r>
      <w:r w:rsidR="00935693" w:rsidRPr="00593586">
        <w:t xml:space="preserve"> </w:t>
      </w:r>
      <w:r w:rsidR="00C71F58" w:rsidRPr="00593586">
        <w:t>in the FAFSA</w:t>
      </w:r>
      <w:r w:rsidR="00F64EAD">
        <w:t xml:space="preserve"> or</w:t>
      </w:r>
      <w:r w:rsidR="00F64EAD" w:rsidRPr="00026773">
        <w:t xml:space="preserve"> </w:t>
      </w:r>
      <w:r w:rsidR="0076283D" w:rsidRPr="00026773">
        <w:t>us</w:t>
      </w:r>
      <w:r w:rsidR="00AF53B0" w:rsidRPr="00026773">
        <w:t>ing</w:t>
      </w:r>
      <w:r w:rsidR="0076283D" w:rsidRPr="00026773">
        <w:t xml:space="preserve"> </w:t>
      </w:r>
      <w:r w:rsidR="00657267" w:rsidRPr="00026773">
        <w:t xml:space="preserve">other </w:t>
      </w:r>
      <w:r w:rsidR="0076283D" w:rsidRPr="00026773">
        <w:t xml:space="preserve">administrative data to </w:t>
      </w:r>
      <w:r w:rsidR="00B15587" w:rsidRPr="00026773">
        <w:t xml:space="preserve">assess wealth without asking </w:t>
      </w:r>
      <w:proofErr w:type="gramStart"/>
      <w:r w:rsidR="00B15587" w:rsidRPr="00026773">
        <w:t>more of</w:t>
      </w:r>
      <w:proofErr w:type="gramEnd"/>
      <w:r w:rsidR="00B15587" w:rsidRPr="00026773">
        <w:t xml:space="preserve"> families</w:t>
      </w:r>
      <w:r w:rsidR="00657267">
        <w:t xml:space="preserve">. </w:t>
      </w:r>
    </w:p>
    <w:p w14:paraId="5FEF940C" w14:textId="77777777" w:rsidR="003A25F1" w:rsidRPr="003A25F1" w:rsidRDefault="003A25F1" w:rsidP="004B1105">
      <w:pPr>
        <w:ind w:left="720"/>
        <w:contextualSpacing/>
        <w:rPr>
          <w:color w:val="000000"/>
        </w:rPr>
      </w:pPr>
    </w:p>
    <w:p w14:paraId="40A13208" w14:textId="6E1C47AB" w:rsidR="00C615A0" w:rsidRPr="006C1BFC" w:rsidRDefault="04113B57" w:rsidP="00FB60EF">
      <w:pPr>
        <w:numPr>
          <w:ilvl w:val="0"/>
          <w:numId w:val="2"/>
        </w:numPr>
        <w:contextualSpacing/>
        <w:rPr>
          <w:color w:val="000000"/>
        </w:rPr>
      </w:pPr>
      <w:r w:rsidRPr="2C82BC26">
        <w:rPr>
          <w:b/>
          <w:bCs/>
          <w:i/>
          <w:iCs/>
          <w:color w:val="000000" w:themeColor="text1"/>
        </w:rPr>
        <w:t>Consider d</w:t>
      </w:r>
      <w:r w:rsidR="006A7682" w:rsidRPr="2C82BC26">
        <w:rPr>
          <w:b/>
          <w:bCs/>
          <w:i/>
          <w:iCs/>
          <w:color w:val="000000" w:themeColor="text1"/>
        </w:rPr>
        <w:t>esign</w:t>
      </w:r>
      <w:r w:rsidR="16F23C9D" w:rsidRPr="2C82BC26">
        <w:rPr>
          <w:b/>
          <w:bCs/>
          <w:i/>
          <w:iCs/>
          <w:color w:val="000000" w:themeColor="text1"/>
        </w:rPr>
        <w:t>ing</w:t>
      </w:r>
      <w:r w:rsidR="006A7682" w:rsidRPr="5E154477">
        <w:rPr>
          <w:b/>
          <w:bCs/>
          <w:i/>
          <w:iCs/>
          <w:color w:val="000000" w:themeColor="text1"/>
        </w:rPr>
        <w:t xml:space="preserve"> </w:t>
      </w:r>
      <w:r w:rsidR="00C615A0" w:rsidRPr="5AF86A77">
        <w:rPr>
          <w:b/>
          <w:i/>
          <w:color w:val="000000" w:themeColor="text1"/>
        </w:rPr>
        <w:t xml:space="preserve">recruitment, outreach, </w:t>
      </w:r>
      <w:r w:rsidR="0095464B" w:rsidRPr="5E154477">
        <w:rPr>
          <w:b/>
          <w:bCs/>
          <w:i/>
          <w:iCs/>
          <w:color w:val="000000" w:themeColor="text1"/>
        </w:rPr>
        <w:t xml:space="preserve">and </w:t>
      </w:r>
      <w:r w:rsidR="00C615A0" w:rsidRPr="5AF86A77">
        <w:rPr>
          <w:b/>
          <w:i/>
          <w:color w:val="000000" w:themeColor="text1"/>
        </w:rPr>
        <w:t xml:space="preserve">admissions policies </w:t>
      </w:r>
      <w:r w:rsidR="009960B0" w:rsidRPr="5E154477">
        <w:rPr>
          <w:b/>
          <w:bCs/>
          <w:i/>
          <w:iCs/>
          <w:color w:val="000000" w:themeColor="text1"/>
        </w:rPr>
        <w:t xml:space="preserve">that </w:t>
      </w:r>
      <w:r w:rsidR="00C615A0" w:rsidRPr="5AF86A77">
        <w:rPr>
          <w:b/>
          <w:i/>
          <w:color w:val="000000" w:themeColor="text1"/>
        </w:rPr>
        <w:t>increase access for students from low-wealth backgrounds</w:t>
      </w:r>
      <w:r w:rsidR="009960B0" w:rsidRPr="5E154477">
        <w:rPr>
          <w:b/>
          <w:bCs/>
          <w:i/>
          <w:iCs/>
          <w:color w:val="000000" w:themeColor="text1"/>
        </w:rPr>
        <w:t>.</w:t>
      </w:r>
      <w:r w:rsidR="00C615A0" w:rsidRPr="5E154477">
        <w:rPr>
          <w:b/>
          <w:bCs/>
          <w:i/>
          <w:iCs/>
          <w:color w:val="000000" w:themeColor="text1"/>
        </w:rPr>
        <w:t xml:space="preserve"> </w:t>
      </w:r>
      <w:r w:rsidR="001536D0" w:rsidRPr="5E154477">
        <w:rPr>
          <w:color w:val="000000" w:themeColor="text1"/>
        </w:rPr>
        <w:t>This</w:t>
      </w:r>
      <w:r w:rsidR="001536D0" w:rsidRPr="5E154477" w:rsidDel="0065490C">
        <w:rPr>
          <w:color w:val="000000" w:themeColor="text1"/>
        </w:rPr>
        <w:t xml:space="preserve"> </w:t>
      </w:r>
      <w:r w:rsidR="008F753F" w:rsidRPr="5E154477">
        <w:rPr>
          <w:color w:val="000000" w:themeColor="text1"/>
        </w:rPr>
        <w:t>analysis</w:t>
      </w:r>
      <w:r w:rsidR="001536D0" w:rsidRPr="5E154477">
        <w:rPr>
          <w:color w:val="000000" w:themeColor="text1"/>
        </w:rPr>
        <w:t xml:space="preserve"> shows a measurable impact of wealth on college </w:t>
      </w:r>
      <w:r w:rsidR="502E9B0A" w:rsidRPr="5E154477">
        <w:rPr>
          <w:color w:val="000000" w:themeColor="text1"/>
        </w:rPr>
        <w:t>enrollment</w:t>
      </w:r>
      <w:r w:rsidR="001536D0" w:rsidRPr="5E154477">
        <w:rPr>
          <w:color w:val="000000" w:themeColor="text1"/>
        </w:rPr>
        <w:t xml:space="preserve">. </w:t>
      </w:r>
      <w:r w:rsidR="001626DF">
        <w:rPr>
          <w:color w:val="000000" w:themeColor="text1"/>
        </w:rPr>
        <w:t>W</w:t>
      </w:r>
      <w:r w:rsidR="00F02499" w:rsidRPr="00487E05">
        <w:rPr>
          <w:color w:val="000000" w:themeColor="text1"/>
        </w:rPr>
        <w:t>hi</w:t>
      </w:r>
      <w:r w:rsidR="00F02499" w:rsidRPr="5E154477">
        <w:rPr>
          <w:color w:val="000000" w:themeColor="text1"/>
        </w:rPr>
        <w:t>le much attention has been given to recruitment</w:t>
      </w:r>
      <w:r w:rsidR="00055CE1" w:rsidRPr="5E154477">
        <w:rPr>
          <w:color w:val="000000" w:themeColor="text1"/>
        </w:rPr>
        <w:t xml:space="preserve">, outreach, and admissions policies that increase opportunity for students from low-income backgrounds, </w:t>
      </w:r>
      <w:r w:rsidR="008F753F" w:rsidRPr="5E154477">
        <w:rPr>
          <w:color w:val="000000" w:themeColor="text1"/>
        </w:rPr>
        <w:t xml:space="preserve">very little </w:t>
      </w:r>
      <w:r w:rsidR="00055CE1" w:rsidRPr="5E154477">
        <w:rPr>
          <w:color w:val="000000" w:themeColor="text1"/>
        </w:rPr>
        <w:t xml:space="preserve">attention has been devoted to </w:t>
      </w:r>
      <w:r w:rsidR="008F753F" w:rsidRPr="5E154477">
        <w:rPr>
          <w:color w:val="000000" w:themeColor="text1"/>
        </w:rPr>
        <w:t xml:space="preserve">increasing </w:t>
      </w:r>
      <w:r w:rsidR="004D5F2C" w:rsidRPr="5E154477">
        <w:rPr>
          <w:color w:val="000000" w:themeColor="text1"/>
        </w:rPr>
        <w:t>college access</w:t>
      </w:r>
      <w:r w:rsidR="008F753F" w:rsidRPr="5E154477">
        <w:rPr>
          <w:color w:val="000000" w:themeColor="text1"/>
        </w:rPr>
        <w:t xml:space="preserve"> for </w:t>
      </w:r>
      <w:r w:rsidR="0038039A" w:rsidRPr="5E154477">
        <w:rPr>
          <w:color w:val="000000" w:themeColor="text1"/>
        </w:rPr>
        <w:t>students from low-wealth backgrounds.</w:t>
      </w:r>
      <w:r w:rsidR="008931CE" w:rsidRPr="5E154477">
        <w:rPr>
          <w:color w:val="000000" w:themeColor="text1"/>
        </w:rPr>
        <w:t xml:space="preserve"> </w:t>
      </w:r>
      <w:r w:rsidR="00B96D68">
        <w:rPr>
          <w:color w:val="000000" w:themeColor="text1"/>
        </w:rPr>
        <w:t>In addition to supporting students from low-income backgrounds, p</w:t>
      </w:r>
      <w:r w:rsidR="00E271ED" w:rsidRPr="5E154477">
        <w:rPr>
          <w:color w:val="000000" w:themeColor="text1"/>
        </w:rPr>
        <w:t xml:space="preserve">olicymakers and practitioners should </w:t>
      </w:r>
      <w:r w:rsidR="00B32FED" w:rsidRPr="5E154477">
        <w:rPr>
          <w:color w:val="000000" w:themeColor="text1"/>
        </w:rPr>
        <w:t xml:space="preserve">identify effective ways to build pathways </w:t>
      </w:r>
      <w:r w:rsidR="004C4EA0" w:rsidRPr="5E154477">
        <w:rPr>
          <w:color w:val="000000" w:themeColor="text1"/>
        </w:rPr>
        <w:t>in</w:t>
      </w:r>
      <w:r w:rsidR="00B32FED" w:rsidRPr="5E154477">
        <w:rPr>
          <w:color w:val="000000" w:themeColor="text1"/>
        </w:rPr>
        <w:t>to higher education for students with low wealth</w:t>
      </w:r>
      <w:r w:rsidR="004A728D" w:rsidRPr="5E154477">
        <w:rPr>
          <w:color w:val="000000" w:themeColor="text1"/>
        </w:rPr>
        <w:t>, which can spur intergenerational mobility</w:t>
      </w:r>
      <w:r w:rsidR="00B32FED" w:rsidRPr="5E154477">
        <w:rPr>
          <w:color w:val="000000" w:themeColor="text1"/>
        </w:rPr>
        <w:t>.</w:t>
      </w:r>
      <w:r w:rsidR="00C615A0" w:rsidRPr="5E154477">
        <w:rPr>
          <w:color w:val="000000" w:themeColor="text1"/>
        </w:rPr>
        <w:t xml:space="preserve"> </w:t>
      </w:r>
    </w:p>
    <w:p w14:paraId="2DDAAE88" w14:textId="77777777" w:rsidR="003A25F1" w:rsidRPr="003A25F1" w:rsidRDefault="003A25F1" w:rsidP="004B1105">
      <w:pPr>
        <w:ind w:left="720"/>
        <w:contextualSpacing/>
        <w:rPr>
          <w:color w:val="000000"/>
        </w:rPr>
      </w:pPr>
    </w:p>
    <w:p w14:paraId="3DE15E63" w14:textId="2058753B" w:rsidR="006C1BFC" w:rsidRDefault="008B616C" w:rsidP="00FB60EF">
      <w:pPr>
        <w:numPr>
          <w:ilvl w:val="0"/>
          <w:numId w:val="3"/>
        </w:numPr>
        <w:contextualSpacing/>
        <w:rPr>
          <w:color w:val="000000"/>
        </w:rPr>
      </w:pPr>
      <w:r w:rsidRPr="5E154477">
        <w:rPr>
          <w:b/>
          <w:bCs/>
          <w:i/>
          <w:iCs/>
          <w:color w:val="000000" w:themeColor="text1"/>
        </w:rPr>
        <w:lastRenderedPageBreak/>
        <w:t>Identify</w:t>
      </w:r>
      <w:r w:rsidR="002733D0" w:rsidRPr="5E154477">
        <w:rPr>
          <w:b/>
          <w:i/>
          <w:color w:val="000000" w:themeColor="text1"/>
        </w:rPr>
        <w:t xml:space="preserve"> </w:t>
      </w:r>
      <w:r w:rsidR="00C615A0" w:rsidRPr="5E154477">
        <w:rPr>
          <w:b/>
          <w:i/>
          <w:color w:val="000000" w:themeColor="text1"/>
        </w:rPr>
        <w:t xml:space="preserve">student support </w:t>
      </w:r>
      <w:r w:rsidR="00CD4BEF" w:rsidRPr="5E154477">
        <w:rPr>
          <w:b/>
          <w:bCs/>
          <w:i/>
          <w:iCs/>
          <w:color w:val="000000" w:themeColor="text1"/>
        </w:rPr>
        <w:t xml:space="preserve">practices that </w:t>
      </w:r>
      <w:r w:rsidR="00C615A0" w:rsidRPr="5E154477">
        <w:rPr>
          <w:b/>
          <w:i/>
          <w:color w:val="000000" w:themeColor="text1"/>
        </w:rPr>
        <w:t xml:space="preserve">address </w:t>
      </w:r>
      <w:r w:rsidR="004E105C" w:rsidRPr="5E154477">
        <w:rPr>
          <w:b/>
          <w:bCs/>
          <w:i/>
          <w:iCs/>
          <w:color w:val="000000" w:themeColor="text1"/>
        </w:rPr>
        <w:t xml:space="preserve">completion </w:t>
      </w:r>
      <w:r w:rsidR="00C615A0" w:rsidRPr="5E154477">
        <w:rPr>
          <w:b/>
          <w:i/>
          <w:color w:val="000000" w:themeColor="text1"/>
        </w:rPr>
        <w:t xml:space="preserve">disparities </w:t>
      </w:r>
      <w:r w:rsidR="004E105C" w:rsidRPr="5E154477">
        <w:rPr>
          <w:b/>
          <w:bCs/>
          <w:i/>
          <w:iCs/>
          <w:color w:val="000000" w:themeColor="text1"/>
        </w:rPr>
        <w:t xml:space="preserve">by wealth. </w:t>
      </w:r>
      <w:r w:rsidR="00C615A0" w:rsidRPr="5E154477">
        <w:rPr>
          <w:color w:val="000000" w:themeColor="text1"/>
        </w:rPr>
        <w:t>For</w:t>
      </w:r>
      <w:r w:rsidR="00C615A0" w:rsidRPr="5E154477" w:rsidDel="00737820">
        <w:rPr>
          <w:color w:val="000000" w:themeColor="text1"/>
        </w:rPr>
        <w:t xml:space="preserve"> </w:t>
      </w:r>
      <w:r w:rsidR="00C615A0" w:rsidRPr="5E154477">
        <w:rPr>
          <w:color w:val="000000" w:themeColor="text1"/>
        </w:rPr>
        <w:t>some student</w:t>
      </w:r>
      <w:r w:rsidR="00737820" w:rsidRPr="5E154477">
        <w:rPr>
          <w:color w:val="000000" w:themeColor="text1"/>
        </w:rPr>
        <w:t>s</w:t>
      </w:r>
      <w:r w:rsidR="00C615A0" w:rsidRPr="5E154477">
        <w:rPr>
          <w:color w:val="000000" w:themeColor="text1"/>
        </w:rPr>
        <w:t xml:space="preserve">, </w:t>
      </w:r>
      <w:r w:rsidR="00A15611" w:rsidRPr="5E154477">
        <w:rPr>
          <w:color w:val="000000" w:themeColor="text1"/>
        </w:rPr>
        <w:t xml:space="preserve">higher levels of wealth </w:t>
      </w:r>
      <w:r w:rsidRPr="5E154477">
        <w:rPr>
          <w:color w:val="000000" w:themeColor="text1"/>
        </w:rPr>
        <w:t xml:space="preserve">are </w:t>
      </w:r>
      <w:r w:rsidR="00A15611" w:rsidRPr="5E154477">
        <w:rPr>
          <w:color w:val="000000" w:themeColor="text1"/>
        </w:rPr>
        <w:t xml:space="preserve">associated with a higher </w:t>
      </w:r>
      <w:r w:rsidR="00C615A0" w:rsidRPr="5E154477">
        <w:rPr>
          <w:color w:val="000000" w:themeColor="text1"/>
        </w:rPr>
        <w:t>likelihood of completing college</w:t>
      </w:r>
      <w:r w:rsidR="00BC1D5D">
        <w:rPr>
          <w:color w:val="000000" w:themeColor="text1"/>
        </w:rPr>
        <w:t xml:space="preserve">, </w:t>
      </w:r>
      <w:r w:rsidR="00321235" w:rsidRPr="5E154477">
        <w:rPr>
          <w:color w:val="000000" w:themeColor="text1"/>
        </w:rPr>
        <w:t>yet most student success interventions and supports center on students with low</w:t>
      </w:r>
      <w:r w:rsidR="29607159" w:rsidRPr="5E154477">
        <w:rPr>
          <w:color w:val="000000" w:themeColor="text1"/>
        </w:rPr>
        <w:t xml:space="preserve"> </w:t>
      </w:r>
      <w:r w:rsidR="00321235" w:rsidRPr="5E154477">
        <w:rPr>
          <w:color w:val="000000" w:themeColor="text1"/>
        </w:rPr>
        <w:t>incomes</w:t>
      </w:r>
      <w:r w:rsidR="00C615A0" w:rsidRPr="5E154477">
        <w:rPr>
          <w:color w:val="000000" w:themeColor="text1"/>
        </w:rPr>
        <w:t xml:space="preserve">. </w:t>
      </w:r>
      <w:r w:rsidR="00F571ED" w:rsidRPr="5E154477">
        <w:rPr>
          <w:color w:val="000000" w:themeColor="text1"/>
        </w:rPr>
        <w:t>Students with low wealth may have distinct needs</w:t>
      </w:r>
      <w:r w:rsidR="00592472">
        <w:rPr>
          <w:color w:val="000000" w:themeColor="text1"/>
        </w:rPr>
        <w:t xml:space="preserve"> that could be best addressed through targeted </w:t>
      </w:r>
      <w:r w:rsidR="00EF6FC4">
        <w:rPr>
          <w:color w:val="000000" w:themeColor="text1"/>
        </w:rPr>
        <w:t>interventions or programs.</w:t>
      </w:r>
      <w:r w:rsidR="00381AC3" w:rsidRPr="5E154477">
        <w:rPr>
          <w:color w:val="000000" w:themeColor="text1"/>
        </w:rPr>
        <w:t xml:space="preserve"> </w:t>
      </w:r>
      <w:r w:rsidR="001046E3" w:rsidRPr="5E154477">
        <w:rPr>
          <w:color w:val="000000" w:themeColor="text1"/>
        </w:rPr>
        <w:t>I</w:t>
      </w:r>
      <w:r w:rsidR="00B1264A" w:rsidRPr="5E154477">
        <w:rPr>
          <w:color w:val="000000" w:themeColor="text1"/>
        </w:rPr>
        <w:t>nstitutions</w:t>
      </w:r>
      <w:r w:rsidR="00FA32B3" w:rsidRPr="5E154477">
        <w:rPr>
          <w:color w:val="000000" w:themeColor="text1"/>
        </w:rPr>
        <w:t xml:space="preserve"> and</w:t>
      </w:r>
      <w:r w:rsidR="00B1264A" w:rsidRPr="5E154477">
        <w:rPr>
          <w:color w:val="000000" w:themeColor="text1"/>
        </w:rPr>
        <w:t xml:space="preserve"> researchers</w:t>
      </w:r>
      <w:r w:rsidR="00FA32B3" w:rsidRPr="5E154477">
        <w:rPr>
          <w:color w:val="000000" w:themeColor="text1"/>
        </w:rPr>
        <w:t xml:space="preserve"> should investigate</w:t>
      </w:r>
      <w:r w:rsidR="00381AC3" w:rsidRPr="5E154477">
        <w:rPr>
          <w:color w:val="000000" w:themeColor="text1"/>
        </w:rPr>
        <w:t xml:space="preserve"> </w:t>
      </w:r>
      <w:r w:rsidR="00E96847" w:rsidRPr="5E154477">
        <w:rPr>
          <w:color w:val="000000" w:themeColor="text1"/>
        </w:rPr>
        <w:t xml:space="preserve">the impact of </w:t>
      </w:r>
      <w:r w:rsidR="00381AC3" w:rsidRPr="5E154477">
        <w:rPr>
          <w:color w:val="000000" w:themeColor="text1"/>
        </w:rPr>
        <w:t>s</w:t>
      </w:r>
      <w:r w:rsidR="00C615A0" w:rsidRPr="5E154477">
        <w:rPr>
          <w:color w:val="000000" w:themeColor="text1"/>
        </w:rPr>
        <w:t xml:space="preserve">tudent support programs </w:t>
      </w:r>
      <w:r w:rsidR="00E01EEE" w:rsidRPr="5E154477">
        <w:rPr>
          <w:color w:val="000000" w:themeColor="text1"/>
        </w:rPr>
        <w:t>on outcomes for</w:t>
      </w:r>
      <w:r w:rsidR="00E96847" w:rsidRPr="5E154477">
        <w:rPr>
          <w:color w:val="000000" w:themeColor="text1"/>
        </w:rPr>
        <w:t xml:space="preserve"> </w:t>
      </w:r>
      <w:r w:rsidR="00C615A0" w:rsidRPr="5E154477">
        <w:rPr>
          <w:color w:val="000000" w:themeColor="text1"/>
        </w:rPr>
        <w:t xml:space="preserve">students from low-wealth backgrounds (in addition to low-income backgrounds) </w:t>
      </w:r>
      <w:r w:rsidR="00FA32B3" w:rsidRPr="5E154477">
        <w:rPr>
          <w:color w:val="000000" w:themeColor="text1"/>
        </w:rPr>
        <w:t xml:space="preserve">to </w:t>
      </w:r>
      <w:r w:rsidR="00B57089" w:rsidRPr="5E154477">
        <w:rPr>
          <w:color w:val="000000" w:themeColor="text1"/>
        </w:rPr>
        <w:t xml:space="preserve">reveal policy opportunities for </w:t>
      </w:r>
      <w:r w:rsidR="00DF3F39" w:rsidRPr="5E154477">
        <w:rPr>
          <w:color w:val="000000" w:themeColor="text1"/>
        </w:rPr>
        <w:t xml:space="preserve">reducing </w:t>
      </w:r>
      <w:r w:rsidR="001C4130">
        <w:rPr>
          <w:color w:val="000000" w:themeColor="text1"/>
        </w:rPr>
        <w:t xml:space="preserve">income and wealth </w:t>
      </w:r>
      <w:r w:rsidR="00A13B69" w:rsidRPr="5E154477">
        <w:rPr>
          <w:color w:val="000000" w:themeColor="text1"/>
        </w:rPr>
        <w:t>disparities</w:t>
      </w:r>
      <w:r w:rsidR="00DF3F39" w:rsidRPr="5E154477">
        <w:rPr>
          <w:color w:val="000000" w:themeColor="text1"/>
        </w:rPr>
        <w:t xml:space="preserve"> in completion</w:t>
      </w:r>
      <w:r w:rsidR="00C615A0" w:rsidRPr="5E154477">
        <w:rPr>
          <w:color w:val="000000" w:themeColor="text1"/>
        </w:rPr>
        <w:t>.</w:t>
      </w:r>
      <w:r w:rsidR="00C37C6E" w:rsidRPr="5E154477">
        <w:rPr>
          <w:color w:val="000000" w:themeColor="text1"/>
        </w:rPr>
        <w:t xml:space="preserve"> </w:t>
      </w:r>
    </w:p>
    <w:p w14:paraId="29F0E033" w14:textId="77777777" w:rsidR="003A25F1" w:rsidRDefault="003A25F1" w:rsidP="004B1105">
      <w:pPr>
        <w:ind w:left="720"/>
        <w:contextualSpacing/>
        <w:rPr>
          <w:b/>
          <w:i/>
          <w:color w:val="000000"/>
        </w:rPr>
      </w:pPr>
    </w:p>
    <w:p w14:paraId="677E192C" w14:textId="6CF09930" w:rsidR="006D2EEB" w:rsidRPr="00232475" w:rsidRDefault="002D44FE" w:rsidP="00FB60EF">
      <w:pPr>
        <w:numPr>
          <w:ilvl w:val="0"/>
          <w:numId w:val="3"/>
        </w:numPr>
        <w:contextualSpacing/>
        <w:rPr>
          <w:b/>
          <w:i/>
          <w:color w:val="000000"/>
        </w:rPr>
      </w:pPr>
      <w:r>
        <w:rPr>
          <w:b/>
          <w:bCs/>
          <w:i/>
          <w:iCs/>
          <w:color w:val="000000" w:themeColor="text1"/>
        </w:rPr>
        <w:t>Assess</w:t>
      </w:r>
      <w:r w:rsidR="004367A7">
        <w:rPr>
          <w:b/>
          <w:bCs/>
          <w:i/>
          <w:iCs/>
          <w:color w:val="000000" w:themeColor="text1"/>
        </w:rPr>
        <w:t xml:space="preserve"> </w:t>
      </w:r>
      <w:r w:rsidR="00F210ED">
        <w:rPr>
          <w:b/>
          <w:bCs/>
          <w:i/>
          <w:iCs/>
          <w:color w:val="000000" w:themeColor="text1"/>
        </w:rPr>
        <w:t xml:space="preserve">whether </w:t>
      </w:r>
      <w:r w:rsidR="004367A7">
        <w:rPr>
          <w:b/>
          <w:bCs/>
          <w:i/>
          <w:iCs/>
          <w:color w:val="000000" w:themeColor="text1"/>
        </w:rPr>
        <w:t>an</w:t>
      </w:r>
      <w:r>
        <w:rPr>
          <w:b/>
          <w:bCs/>
          <w:i/>
          <w:iCs/>
          <w:color w:val="000000" w:themeColor="text1"/>
        </w:rPr>
        <w:t>d</w:t>
      </w:r>
      <w:r w:rsidR="004367A7">
        <w:rPr>
          <w:b/>
          <w:bCs/>
          <w:i/>
          <w:iCs/>
          <w:color w:val="000000" w:themeColor="text1"/>
        </w:rPr>
        <w:t xml:space="preserve"> how </w:t>
      </w:r>
      <w:r w:rsidR="00D67EFD">
        <w:rPr>
          <w:b/>
          <w:bCs/>
          <w:i/>
          <w:iCs/>
          <w:color w:val="000000" w:themeColor="text1"/>
        </w:rPr>
        <w:t xml:space="preserve">policies related to </w:t>
      </w:r>
      <w:r w:rsidR="006A0008">
        <w:rPr>
          <w:b/>
          <w:bCs/>
          <w:i/>
          <w:iCs/>
          <w:color w:val="000000" w:themeColor="text1"/>
        </w:rPr>
        <w:t>student loan</w:t>
      </w:r>
      <w:r w:rsidR="00D67EFD">
        <w:rPr>
          <w:b/>
          <w:bCs/>
          <w:i/>
          <w:iCs/>
          <w:color w:val="000000" w:themeColor="text1"/>
        </w:rPr>
        <w:t>s can be improved to foster opportunities for wealth</w:t>
      </w:r>
      <w:r w:rsidR="00624733">
        <w:rPr>
          <w:b/>
          <w:bCs/>
          <w:i/>
          <w:iCs/>
          <w:color w:val="000000" w:themeColor="text1"/>
        </w:rPr>
        <w:t>-</w:t>
      </w:r>
      <w:r w:rsidR="00D67EFD">
        <w:rPr>
          <w:b/>
          <w:bCs/>
          <w:i/>
          <w:iCs/>
          <w:color w:val="000000" w:themeColor="text1"/>
        </w:rPr>
        <w:t xml:space="preserve">building. </w:t>
      </w:r>
      <w:r w:rsidR="00BA7DD3" w:rsidRPr="5E154477">
        <w:rPr>
          <w:color w:val="000000" w:themeColor="text1"/>
        </w:rPr>
        <w:t>A wide body of</w:t>
      </w:r>
      <w:r w:rsidR="00556EED" w:rsidRPr="5E154477">
        <w:rPr>
          <w:color w:val="000000" w:themeColor="text1"/>
        </w:rPr>
        <w:t xml:space="preserve"> research has found differences in borrowing </w:t>
      </w:r>
      <w:r w:rsidR="00015B95" w:rsidRPr="5E154477">
        <w:rPr>
          <w:color w:val="000000" w:themeColor="text1"/>
        </w:rPr>
        <w:t xml:space="preserve">by race and ethnicity, and </w:t>
      </w:r>
      <w:r w:rsidR="407E5E70" w:rsidRPr="5E154477">
        <w:rPr>
          <w:color w:val="000000" w:themeColor="text1"/>
        </w:rPr>
        <w:t>this</w:t>
      </w:r>
      <w:r w:rsidR="00015B95" w:rsidRPr="5E154477">
        <w:rPr>
          <w:color w:val="000000" w:themeColor="text1"/>
        </w:rPr>
        <w:t xml:space="preserve"> analysis </w:t>
      </w:r>
      <w:r w:rsidR="000350E1" w:rsidRPr="5E154477">
        <w:rPr>
          <w:color w:val="000000" w:themeColor="text1"/>
        </w:rPr>
        <w:t>show</w:t>
      </w:r>
      <w:r w:rsidR="007531E2">
        <w:rPr>
          <w:color w:val="000000" w:themeColor="text1"/>
        </w:rPr>
        <w:t>s</w:t>
      </w:r>
      <w:r w:rsidR="0077378A" w:rsidRPr="5E154477">
        <w:rPr>
          <w:color w:val="000000" w:themeColor="text1"/>
        </w:rPr>
        <w:t xml:space="preserve"> students </w:t>
      </w:r>
      <w:r w:rsidR="63A6B24D" w:rsidRPr="5E154477">
        <w:rPr>
          <w:color w:val="000000" w:themeColor="text1"/>
        </w:rPr>
        <w:t xml:space="preserve">with higher wealth </w:t>
      </w:r>
      <w:r w:rsidR="0077378A" w:rsidRPr="5E154477">
        <w:rPr>
          <w:color w:val="000000" w:themeColor="text1"/>
        </w:rPr>
        <w:t xml:space="preserve">from </w:t>
      </w:r>
      <w:r w:rsidR="008C4221" w:rsidRPr="5E154477">
        <w:rPr>
          <w:color w:val="000000" w:themeColor="text1"/>
        </w:rPr>
        <w:t>certain</w:t>
      </w:r>
      <w:r w:rsidR="0077378A" w:rsidRPr="5E154477">
        <w:rPr>
          <w:color w:val="000000" w:themeColor="text1"/>
        </w:rPr>
        <w:t xml:space="preserve"> </w:t>
      </w:r>
      <w:r w:rsidR="008C4221" w:rsidRPr="5E154477">
        <w:rPr>
          <w:color w:val="000000" w:themeColor="text1"/>
        </w:rPr>
        <w:t xml:space="preserve">racial and ethnic groups </w:t>
      </w:r>
      <w:r w:rsidR="00FB588D">
        <w:rPr>
          <w:color w:val="000000" w:themeColor="text1"/>
        </w:rPr>
        <w:t>a</w:t>
      </w:r>
      <w:r w:rsidR="008C4221" w:rsidRPr="5E154477">
        <w:rPr>
          <w:color w:val="000000" w:themeColor="text1"/>
        </w:rPr>
        <w:t>re less likely to borrow than their peers</w:t>
      </w:r>
      <w:r w:rsidR="46E1D01B" w:rsidRPr="5E154477">
        <w:rPr>
          <w:color w:val="000000" w:themeColor="text1"/>
        </w:rPr>
        <w:t xml:space="preserve"> with lower wealth</w:t>
      </w:r>
      <w:r w:rsidR="008C4221" w:rsidRPr="5E154477">
        <w:rPr>
          <w:color w:val="000000" w:themeColor="text1"/>
        </w:rPr>
        <w:t>.</w:t>
      </w:r>
      <w:r w:rsidR="000350E1" w:rsidRPr="5E154477">
        <w:rPr>
          <w:color w:val="000000" w:themeColor="text1"/>
        </w:rPr>
        <w:t xml:space="preserve"> </w:t>
      </w:r>
      <w:r w:rsidR="00C615A0" w:rsidRPr="5E154477">
        <w:rPr>
          <w:color w:val="000000" w:themeColor="text1"/>
        </w:rPr>
        <w:t xml:space="preserve">More research is needed to understand how </w:t>
      </w:r>
      <w:r w:rsidR="006C6C38" w:rsidRPr="5E154477">
        <w:rPr>
          <w:color w:val="000000" w:themeColor="text1"/>
        </w:rPr>
        <w:t xml:space="preserve">an individual’s </w:t>
      </w:r>
      <w:r w:rsidR="00C615A0" w:rsidRPr="5E154477">
        <w:rPr>
          <w:color w:val="000000" w:themeColor="text1"/>
        </w:rPr>
        <w:t xml:space="preserve">wealth affects the amount </w:t>
      </w:r>
      <w:r w:rsidR="006C6C38" w:rsidRPr="5E154477">
        <w:rPr>
          <w:color w:val="000000" w:themeColor="text1"/>
        </w:rPr>
        <w:t>they borrow</w:t>
      </w:r>
      <w:r w:rsidR="000A5334" w:rsidRPr="000A5334">
        <w:rPr>
          <w:color w:val="000000" w:themeColor="text1"/>
        </w:rPr>
        <w:t xml:space="preserve"> </w:t>
      </w:r>
      <w:r w:rsidR="000A5334">
        <w:rPr>
          <w:color w:val="000000" w:themeColor="text1"/>
        </w:rPr>
        <w:t>in</w:t>
      </w:r>
      <w:r w:rsidR="000A5334" w:rsidRPr="5E154477">
        <w:rPr>
          <w:color w:val="000000" w:themeColor="text1"/>
        </w:rPr>
        <w:t xml:space="preserve"> student loans</w:t>
      </w:r>
      <w:r w:rsidR="00D67EFD">
        <w:rPr>
          <w:color w:val="000000" w:themeColor="text1"/>
        </w:rPr>
        <w:t xml:space="preserve">, </w:t>
      </w:r>
      <w:r w:rsidR="008C4221" w:rsidRPr="5E154477">
        <w:rPr>
          <w:color w:val="000000" w:themeColor="text1"/>
        </w:rPr>
        <w:t xml:space="preserve">their success in repayment (e.g., </w:t>
      </w:r>
      <w:r w:rsidR="00313AFA">
        <w:rPr>
          <w:color w:val="000000" w:themeColor="text1"/>
        </w:rPr>
        <w:t>length of time</w:t>
      </w:r>
      <w:r w:rsidR="008C4221" w:rsidRPr="5E154477">
        <w:rPr>
          <w:color w:val="000000" w:themeColor="text1"/>
        </w:rPr>
        <w:t xml:space="preserve"> in repayment, delinquen</w:t>
      </w:r>
      <w:r w:rsidR="00313AFA">
        <w:rPr>
          <w:color w:val="000000" w:themeColor="text1"/>
        </w:rPr>
        <w:t>cy</w:t>
      </w:r>
      <w:r w:rsidR="008C4221" w:rsidRPr="5E154477">
        <w:rPr>
          <w:color w:val="000000" w:themeColor="text1"/>
        </w:rPr>
        <w:t xml:space="preserve"> or default on loans</w:t>
      </w:r>
      <w:r w:rsidR="005E5636" w:rsidRPr="5E154477">
        <w:rPr>
          <w:color w:val="000000" w:themeColor="text1"/>
        </w:rPr>
        <w:t>)</w:t>
      </w:r>
      <w:r w:rsidR="00D67EFD">
        <w:rPr>
          <w:color w:val="000000" w:themeColor="text1"/>
        </w:rPr>
        <w:t xml:space="preserve">, and their ability to </w:t>
      </w:r>
      <w:r w:rsidR="00495877">
        <w:rPr>
          <w:color w:val="000000" w:themeColor="text1"/>
        </w:rPr>
        <w:t xml:space="preserve">build wealth through homeownership and </w:t>
      </w:r>
      <w:r w:rsidR="005C4FFB">
        <w:rPr>
          <w:color w:val="000000" w:themeColor="text1"/>
        </w:rPr>
        <w:t xml:space="preserve">other financial </w:t>
      </w:r>
      <w:r w:rsidR="00B71559">
        <w:rPr>
          <w:color w:val="000000" w:themeColor="text1"/>
        </w:rPr>
        <w:t>investments</w:t>
      </w:r>
      <w:r w:rsidR="005E5636" w:rsidRPr="5E154477">
        <w:rPr>
          <w:color w:val="000000" w:themeColor="text1"/>
        </w:rPr>
        <w:t>. A deeper understanding of those dynamics</w:t>
      </w:r>
      <w:r w:rsidR="00210693" w:rsidRPr="5E154477">
        <w:rPr>
          <w:color w:val="000000" w:themeColor="text1"/>
        </w:rPr>
        <w:t xml:space="preserve"> </w:t>
      </w:r>
      <w:r w:rsidR="005F7457">
        <w:rPr>
          <w:color w:val="000000" w:themeColor="text1"/>
        </w:rPr>
        <w:t>w</w:t>
      </w:r>
      <w:r w:rsidR="00210693" w:rsidRPr="5E154477">
        <w:rPr>
          <w:color w:val="000000" w:themeColor="text1"/>
        </w:rPr>
        <w:t xml:space="preserve">ould help policymakers determine whether </w:t>
      </w:r>
      <w:r w:rsidR="003C736D" w:rsidRPr="5E154477">
        <w:rPr>
          <w:color w:val="000000" w:themeColor="text1"/>
        </w:rPr>
        <w:t xml:space="preserve">policies that reduce students’ need to borrow or help support borrowers in repayment should be targeted toward </w:t>
      </w:r>
      <w:r w:rsidR="00C615A0" w:rsidRPr="5E154477">
        <w:rPr>
          <w:color w:val="000000" w:themeColor="text1"/>
        </w:rPr>
        <w:t>students from low-wealth backgrounds</w:t>
      </w:r>
      <w:r w:rsidR="00030262" w:rsidRPr="5E154477">
        <w:rPr>
          <w:color w:val="000000" w:themeColor="text1"/>
        </w:rPr>
        <w:t xml:space="preserve"> and </w:t>
      </w:r>
      <w:r w:rsidR="00C84D94">
        <w:rPr>
          <w:color w:val="000000" w:themeColor="text1"/>
        </w:rPr>
        <w:t>how to design such policies in a way that</w:t>
      </w:r>
      <w:r w:rsidR="00030262" w:rsidRPr="5E154477" w:rsidDel="00C84D94">
        <w:rPr>
          <w:color w:val="000000" w:themeColor="text1"/>
        </w:rPr>
        <w:t xml:space="preserve"> </w:t>
      </w:r>
      <w:r w:rsidR="00C252F4" w:rsidRPr="5E154477">
        <w:rPr>
          <w:color w:val="000000" w:themeColor="text1"/>
        </w:rPr>
        <w:t xml:space="preserve">would reduce </w:t>
      </w:r>
      <w:r w:rsidR="00FE6C78" w:rsidRPr="5E154477">
        <w:rPr>
          <w:color w:val="000000" w:themeColor="text1"/>
        </w:rPr>
        <w:t>dispari</w:t>
      </w:r>
      <w:r w:rsidR="00635B36" w:rsidRPr="5E154477">
        <w:rPr>
          <w:color w:val="000000" w:themeColor="text1"/>
        </w:rPr>
        <w:t xml:space="preserve">ties in borrowing </w:t>
      </w:r>
      <w:r w:rsidR="00F13267">
        <w:rPr>
          <w:color w:val="000000" w:themeColor="text1"/>
        </w:rPr>
        <w:t xml:space="preserve">and repayment </w:t>
      </w:r>
      <w:r w:rsidR="00635B36" w:rsidRPr="5E154477">
        <w:rPr>
          <w:color w:val="000000" w:themeColor="text1"/>
        </w:rPr>
        <w:t>by race and ethnicity</w:t>
      </w:r>
      <w:r w:rsidR="00C615A0" w:rsidRPr="5E154477">
        <w:rPr>
          <w:color w:val="000000" w:themeColor="text1"/>
        </w:rPr>
        <w:t>.</w:t>
      </w:r>
      <w:r w:rsidR="007272D7">
        <w:rPr>
          <w:color w:val="000000" w:themeColor="text1"/>
        </w:rPr>
        <w:t xml:space="preserve"> Additionally, </w:t>
      </w:r>
      <w:r w:rsidR="00395416">
        <w:rPr>
          <w:color w:val="000000" w:themeColor="text1"/>
        </w:rPr>
        <w:t>stakeholders</w:t>
      </w:r>
      <w:r w:rsidR="007F1DDB">
        <w:rPr>
          <w:color w:val="000000" w:themeColor="text1"/>
        </w:rPr>
        <w:t xml:space="preserve"> in the f</w:t>
      </w:r>
      <w:r w:rsidR="00CD5E31">
        <w:rPr>
          <w:color w:val="000000" w:themeColor="text1"/>
        </w:rPr>
        <w:t xml:space="preserve">inancial sector should </w:t>
      </w:r>
      <w:r w:rsidR="00432A56">
        <w:rPr>
          <w:color w:val="000000" w:themeColor="text1"/>
        </w:rPr>
        <w:t>assess</w:t>
      </w:r>
      <w:r w:rsidR="007F1DDB">
        <w:rPr>
          <w:color w:val="000000" w:themeColor="text1"/>
        </w:rPr>
        <w:t xml:space="preserve"> whether the treatment of student loan</w:t>
      </w:r>
      <w:r w:rsidR="00DF39C9">
        <w:rPr>
          <w:color w:val="000000" w:themeColor="text1"/>
        </w:rPr>
        <w:t xml:space="preserve">s </w:t>
      </w:r>
      <w:r w:rsidR="007F1DDB">
        <w:rPr>
          <w:color w:val="000000" w:themeColor="text1"/>
        </w:rPr>
        <w:t>in credit reports</w:t>
      </w:r>
      <w:r w:rsidR="00DF39C9">
        <w:rPr>
          <w:color w:val="000000" w:themeColor="text1"/>
        </w:rPr>
        <w:t xml:space="preserve">, debt-to-income calculations, or other financial </w:t>
      </w:r>
      <w:r w:rsidR="00432A56">
        <w:rPr>
          <w:color w:val="000000" w:themeColor="text1"/>
        </w:rPr>
        <w:t>practices</w:t>
      </w:r>
      <w:r w:rsidR="00DF39C9">
        <w:rPr>
          <w:color w:val="000000" w:themeColor="text1"/>
        </w:rPr>
        <w:t xml:space="preserve"> </w:t>
      </w:r>
      <w:r w:rsidR="00F65AC2">
        <w:rPr>
          <w:color w:val="000000" w:themeColor="text1"/>
        </w:rPr>
        <w:t>can be improved to facilitate wealth-building by student loan borrowers.</w:t>
      </w:r>
      <w:r w:rsidR="00432A56">
        <w:rPr>
          <w:color w:val="000000" w:themeColor="text1"/>
        </w:rPr>
        <w:t xml:space="preserve"> </w:t>
      </w:r>
    </w:p>
    <w:p w14:paraId="64722673" w14:textId="41FAEF5D" w:rsidR="00573C65" w:rsidRPr="00232475" w:rsidRDefault="00573C65" w:rsidP="004B1105">
      <w:pPr>
        <w:rPr>
          <w:b/>
          <w:i/>
          <w:color w:val="000000"/>
        </w:rPr>
      </w:pPr>
    </w:p>
    <w:p w14:paraId="6D108829" w14:textId="6C605A9D" w:rsidR="00AD53B7" w:rsidRDefault="002444DA" w:rsidP="00FB60EF">
      <w:pPr>
        <w:numPr>
          <w:ilvl w:val="0"/>
          <w:numId w:val="3"/>
        </w:numPr>
        <w:contextualSpacing/>
        <w:rPr>
          <w:b/>
          <w:i/>
          <w:color w:val="000000"/>
        </w:rPr>
      </w:pPr>
      <w:bookmarkStart w:id="39" w:name="OLE_LINK7"/>
      <w:bookmarkStart w:id="40" w:name="OLE_LINK8"/>
      <w:r w:rsidRPr="5E154477">
        <w:rPr>
          <w:b/>
          <w:bCs/>
          <w:i/>
          <w:iCs/>
          <w:color w:val="000000" w:themeColor="text1"/>
        </w:rPr>
        <w:t xml:space="preserve">Address wealth </w:t>
      </w:r>
      <w:r w:rsidR="001D08BE" w:rsidRPr="5E154477">
        <w:rPr>
          <w:b/>
          <w:bCs/>
          <w:i/>
          <w:iCs/>
          <w:color w:val="000000" w:themeColor="text1"/>
        </w:rPr>
        <w:t xml:space="preserve">disparities by investing in historically underfunded higher education institutions. </w:t>
      </w:r>
      <w:r w:rsidR="004C4B9B" w:rsidRPr="001F51DB">
        <w:rPr>
          <w:bCs/>
          <w:iCs/>
          <w:color w:val="000000" w:themeColor="text1"/>
        </w:rPr>
        <w:t>H</w:t>
      </w:r>
      <w:r w:rsidR="009941A5">
        <w:rPr>
          <w:bCs/>
          <w:iCs/>
          <w:color w:val="000000" w:themeColor="text1"/>
        </w:rPr>
        <w:t xml:space="preserve">istorically Black </w:t>
      </w:r>
      <w:r w:rsidR="00F210ED">
        <w:rPr>
          <w:bCs/>
          <w:iCs/>
          <w:color w:val="000000" w:themeColor="text1"/>
        </w:rPr>
        <w:t xml:space="preserve">colleges and universities </w:t>
      </w:r>
      <w:r w:rsidR="009941A5">
        <w:rPr>
          <w:bCs/>
          <w:iCs/>
          <w:color w:val="000000" w:themeColor="text1"/>
        </w:rPr>
        <w:t xml:space="preserve">(HBCUs) </w:t>
      </w:r>
      <w:r w:rsidR="0039096F">
        <w:rPr>
          <w:bCs/>
          <w:iCs/>
          <w:color w:val="000000" w:themeColor="text1"/>
        </w:rPr>
        <w:t xml:space="preserve">and minority-serving institutions (MSIs) </w:t>
      </w:r>
      <w:r w:rsidR="00EA177E">
        <w:rPr>
          <w:bCs/>
          <w:iCs/>
          <w:color w:val="000000" w:themeColor="text1"/>
        </w:rPr>
        <w:t>are chronically underfunded yet</w:t>
      </w:r>
      <w:r w:rsidR="0039096F">
        <w:rPr>
          <w:bCs/>
          <w:iCs/>
          <w:color w:val="000000" w:themeColor="text1"/>
        </w:rPr>
        <w:t xml:space="preserve"> play a crucial role in our higher education system</w:t>
      </w:r>
      <w:r w:rsidR="00225060">
        <w:rPr>
          <w:bCs/>
          <w:iCs/>
          <w:color w:val="000000" w:themeColor="text1"/>
        </w:rPr>
        <w:t>, enrolling and graduating</w:t>
      </w:r>
      <w:r w:rsidR="0039096F">
        <w:rPr>
          <w:bCs/>
          <w:iCs/>
          <w:color w:val="000000" w:themeColor="text1"/>
        </w:rPr>
        <w:t xml:space="preserve"> </w:t>
      </w:r>
      <w:r w:rsidR="00DA08EA">
        <w:rPr>
          <w:bCs/>
          <w:iCs/>
          <w:color w:val="000000" w:themeColor="text1"/>
        </w:rPr>
        <w:t>high shares of students of color</w:t>
      </w:r>
      <w:r w:rsidR="00225060">
        <w:rPr>
          <w:bCs/>
          <w:iCs/>
          <w:color w:val="000000" w:themeColor="text1"/>
        </w:rPr>
        <w:t>. HBCUs</w:t>
      </w:r>
      <w:r w:rsidR="00012CA7">
        <w:rPr>
          <w:bCs/>
          <w:iCs/>
          <w:color w:val="000000" w:themeColor="text1"/>
        </w:rPr>
        <w:t>, for</w:t>
      </w:r>
      <w:r w:rsidR="00225060">
        <w:rPr>
          <w:bCs/>
          <w:iCs/>
          <w:color w:val="000000" w:themeColor="text1"/>
        </w:rPr>
        <w:t xml:space="preserve"> example,</w:t>
      </w:r>
      <w:r w:rsidR="00DA08EA">
        <w:rPr>
          <w:bCs/>
          <w:iCs/>
          <w:color w:val="000000" w:themeColor="text1"/>
        </w:rPr>
        <w:t xml:space="preserve"> </w:t>
      </w:r>
      <w:r w:rsidR="00EE2D39">
        <w:rPr>
          <w:bCs/>
          <w:iCs/>
          <w:color w:val="000000" w:themeColor="text1"/>
        </w:rPr>
        <w:t>serve 10 percent of all Black college students</w:t>
      </w:r>
      <w:r w:rsidR="00225060">
        <w:rPr>
          <w:bCs/>
          <w:iCs/>
          <w:color w:val="000000" w:themeColor="text1"/>
        </w:rPr>
        <w:t xml:space="preserve">, </w:t>
      </w:r>
      <w:r w:rsidR="0009231A">
        <w:rPr>
          <w:bCs/>
          <w:iCs/>
          <w:color w:val="000000" w:themeColor="text1"/>
        </w:rPr>
        <w:t xml:space="preserve">award nearly </w:t>
      </w:r>
      <w:r w:rsidR="00F210ED">
        <w:rPr>
          <w:bCs/>
          <w:iCs/>
          <w:color w:val="000000" w:themeColor="text1"/>
        </w:rPr>
        <w:t xml:space="preserve">one </w:t>
      </w:r>
      <w:r w:rsidR="0009231A">
        <w:rPr>
          <w:bCs/>
          <w:iCs/>
          <w:color w:val="000000" w:themeColor="text1"/>
        </w:rPr>
        <w:t xml:space="preserve">in </w:t>
      </w:r>
      <w:r w:rsidR="00F210ED">
        <w:rPr>
          <w:bCs/>
          <w:iCs/>
          <w:color w:val="000000" w:themeColor="text1"/>
        </w:rPr>
        <w:t xml:space="preserve">four </w:t>
      </w:r>
      <w:r w:rsidR="0054562E">
        <w:rPr>
          <w:bCs/>
          <w:iCs/>
          <w:color w:val="000000" w:themeColor="text1"/>
        </w:rPr>
        <w:t xml:space="preserve">STEM degrees received by Black students, and </w:t>
      </w:r>
      <w:r w:rsidR="00282A54">
        <w:rPr>
          <w:bCs/>
          <w:iCs/>
          <w:color w:val="000000" w:themeColor="text1"/>
        </w:rPr>
        <w:t>graduate half of Black doctors and</w:t>
      </w:r>
      <w:r w:rsidR="00EE2D39">
        <w:rPr>
          <w:bCs/>
          <w:iCs/>
          <w:color w:val="000000" w:themeColor="text1"/>
        </w:rPr>
        <w:t xml:space="preserve"> </w:t>
      </w:r>
      <w:r w:rsidR="0054562E">
        <w:rPr>
          <w:bCs/>
          <w:iCs/>
          <w:color w:val="000000" w:themeColor="text1"/>
        </w:rPr>
        <w:t>Black lawyers.</w:t>
      </w:r>
      <w:r w:rsidR="00A122F0">
        <w:rPr>
          <w:rStyle w:val="EndnoteReference"/>
          <w:bCs/>
          <w:iCs/>
          <w:color w:val="000000" w:themeColor="text1"/>
        </w:rPr>
        <w:endnoteReference w:id="65"/>
      </w:r>
      <w:r w:rsidR="00E22BF5">
        <w:rPr>
          <w:bCs/>
          <w:iCs/>
          <w:color w:val="000000" w:themeColor="text1"/>
        </w:rPr>
        <w:t xml:space="preserve"> </w:t>
      </w:r>
      <w:r w:rsidR="00B32DEF">
        <w:rPr>
          <w:bCs/>
          <w:iCs/>
          <w:color w:val="000000" w:themeColor="text1"/>
        </w:rPr>
        <w:t xml:space="preserve">Increasing </w:t>
      </w:r>
      <w:r w:rsidR="00EA567B">
        <w:rPr>
          <w:bCs/>
          <w:iCs/>
          <w:color w:val="000000" w:themeColor="text1"/>
        </w:rPr>
        <w:t>state and</w:t>
      </w:r>
      <w:r w:rsidR="00B32DEF">
        <w:rPr>
          <w:bCs/>
          <w:iCs/>
          <w:color w:val="000000" w:themeColor="text1"/>
        </w:rPr>
        <w:t xml:space="preserve"> federal investments in </w:t>
      </w:r>
      <w:r w:rsidR="0053117F">
        <w:rPr>
          <w:bCs/>
          <w:iCs/>
          <w:color w:val="000000" w:themeColor="text1"/>
        </w:rPr>
        <w:t xml:space="preserve">HBCUs and MSIs </w:t>
      </w:r>
      <w:r w:rsidR="00BF636D">
        <w:rPr>
          <w:bCs/>
          <w:iCs/>
          <w:color w:val="000000" w:themeColor="text1"/>
        </w:rPr>
        <w:t>w</w:t>
      </w:r>
      <w:r w:rsidR="00EA2D46">
        <w:rPr>
          <w:bCs/>
          <w:iCs/>
          <w:color w:val="000000" w:themeColor="text1"/>
        </w:rPr>
        <w:t>ould</w:t>
      </w:r>
      <w:r w:rsidR="005E256B">
        <w:rPr>
          <w:bCs/>
          <w:iCs/>
          <w:color w:val="000000" w:themeColor="text1"/>
        </w:rPr>
        <w:t xml:space="preserve"> </w:t>
      </w:r>
      <w:r w:rsidR="00BF636D">
        <w:rPr>
          <w:bCs/>
          <w:iCs/>
          <w:color w:val="000000" w:themeColor="text1"/>
        </w:rPr>
        <w:t>expand the</w:t>
      </w:r>
      <w:r w:rsidR="00126753">
        <w:rPr>
          <w:bCs/>
          <w:iCs/>
          <w:color w:val="000000" w:themeColor="text1"/>
        </w:rPr>
        <w:t>ir</w:t>
      </w:r>
      <w:r w:rsidR="00BF636D">
        <w:rPr>
          <w:bCs/>
          <w:iCs/>
          <w:color w:val="000000" w:themeColor="text1"/>
        </w:rPr>
        <w:t xml:space="preserve"> capacity to</w:t>
      </w:r>
      <w:r w:rsidR="00EA2D46">
        <w:rPr>
          <w:bCs/>
          <w:iCs/>
          <w:color w:val="000000" w:themeColor="text1"/>
        </w:rPr>
        <w:t xml:space="preserve"> </w:t>
      </w:r>
      <w:r w:rsidR="00B97C2B">
        <w:rPr>
          <w:bCs/>
          <w:iCs/>
          <w:color w:val="000000" w:themeColor="text1"/>
        </w:rPr>
        <w:t>serve</w:t>
      </w:r>
      <w:r w:rsidR="00EA2D46">
        <w:rPr>
          <w:bCs/>
          <w:iCs/>
          <w:color w:val="000000" w:themeColor="text1"/>
        </w:rPr>
        <w:t xml:space="preserve"> students of color</w:t>
      </w:r>
      <w:r w:rsidR="00092452">
        <w:rPr>
          <w:bCs/>
          <w:iCs/>
          <w:color w:val="000000" w:themeColor="text1"/>
        </w:rPr>
        <w:t>, including those</w:t>
      </w:r>
      <w:r w:rsidR="00EA2D46">
        <w:rPr>
          <w:bCs/>
          <w:iCs/>
          <w:color w:val="000000" w:themeColor="text1"/>
        </w:rPr>
        <w:t xml:space="preserve"> </w:t>
      </w:r>
      <w:r w:rsidR="00CB7C77">
        <w:rPr>
          <w:bCs/>
          <w:iCs/>
          <w:color w:val="000000" w:themeColor="text1"/>
        </w:rPr>
        <w:t>from</w:t>
      </w:r>
      <w:r w:rsidR="00EA2D46">
        <w:rPr>
          <w:bCs/>
          <w:iCs/>
          <w:color w:val="000000" w:themeColor="text1"/>
        </w:rPr>
        <w:t xml:space="preserve"> low-wealth and </w:t>
      </w:r>
      <w:r w:rsidR="00CB7C77">
        <w:rPr>
          <w:bCs/>
          <w:iCs/>
          <w:color w:val="000000" w:themeColor="text1"/>
        </w:rPr>
        <w:t>low-income backgrounds</w:t>
      </w:r>
      <w:r w:rsidR="00092452">
        <w:rPr>
          <w:bCs/>
          <w:iCs/>
          <w:color w:val="000000" w:themeColor="text1"/>
        </w:rPr>
        <w:t>,</w:t>
      </w:r>
      <w:r w:rsidR="00EA2D46">
        <w:rPr>
          <w:bCs/>
          <w:iCs/>
          <w:color w:val="000000" w:themeColor="text1"/>
        </w:rPr>
        <w:t xml:space="preserve"> </w:t>
      </w:r>
      <w:r w:rsidR="00126753">
        <w:rPr>
          <w:bCs/>
          <w:iCs/>
          <w:color w:val="000000" w:themeColor="text1"/>
        </w:rPr>
        <w:t xml:space="preserve">and support them through </w:t>
      </w:r>
      <w:r w:rsidR="00521927">
        <w:rPr>
          <w:bCs/>
          <w:iCs/>
          <w:color w:val="000000" w:themeColor="text1"/>
        </w:rPr>
        <w:t xml:space="preserve">to </w:t>
      </w:r>
      <w:r w:rsidR="0096386F">
        <w:rPr>
          <w:bCs/>
          <w:iCs/>
          <w:color w:val="000000" w:themeColor="text1"/>
        </w:rPr>
        <w:t xml:space="preserve">graduation. </w:t>
      </w:r>
      <w:r w:rsidR="002F4BCC">
        <w:rPr>
          <w:bCs/>
          <w:iCs/>
          <w:color w:val="000000" w:themeColor="text1"/>
        </w:rPr>
        <w:t>Policymakers shoul</w:t>
      </w:r>
      <w:r w:rsidR="001C2A6C">
        <w:rPr>
          <w:bCs/>
          <w:iCs/>
          <w:color w:val="000000" w:themeColor="text1"/>
        </w:rPr>
        <w:t xml:space="preserve">d </w:t>
      </w:r>
      <w:r w:rsidR="00AB125C">
        <w:rPr>
          <w:bCs/>
          <w:iCs/>
          <w:color w:val="000000" w:themeColor="text1"/>
        </w:rPr>
        <w:t xml:space="preserve">prioritize such investments and consider </w:t>
      </w:r>
      <w:r w:rsidR="00B1271C">
        <w:rPr>
          <w:bCs/>
          <w:iCs/>
          <w:color w:val="000000" w:themeColor="text1"/>
        </w:rPr>
        <w:t xml:space="preserve">investment </w:t>
      </w:r>
      <w:r w:rsidR="00AB125C">
        <w:rPr>
          <w:bCs/>
          <w:iCs/>
          <w:color w:val="000000" w:themeColor="text1"/>
        </w:rPr>
        <w:t xml:space="preserve">strategies that would </w:t>
      </w:r>
      <w:r w:rsidR="00952480">
        <w:rPr>
          <w:bCs/>
          <w:iCs/>
          <w:color w:val="000000" w:themeColor="text1"/>
        </w:rPr>
        <w:t xml:space="preserve">best support </w:t>
      </w:r>
      <w:r w:rsidR="00AD0A1E">
        <w:rPr>
          <w:bCs/>
          <w:iCs/>
          <w:color w:val="000000" w:themeColor="text1"/>
        </w:rPr>
        <w:t xml:space="preserve">outcomes for </w:t>
      </w:r>
      <w:r w:rsidR="00735E4A">
        <w:rPr>
          <w:bCs/>
          <w:iCs/>
          <w:color w:val="000000" w:themeColor="text1"/>
        </w:rPr>
        <w:t>students from low-</w:t>
      </w:r>
      <w:r w:rsidR="00375F34">
        <w:rPr>
          <w:bCs/>
          <w:iCs/>
          <w:color w:val="000000" w:themeColor="text1"/>
        </w:rPr>
        <w:t>wealth</w:t>
      </w:r>
      <w:r w:rsidR="00735E4A">
        <w:rPr>
          <w:bCs/>
          <w:iCs/>
          <w:color w:val="000000" w:themeColor="text1"/>
        </w:rPr>
        <w:t xml:space="preserve"> and low-</w:t>
      </w:r>
      <w:r w:rsidR="00375F34">
        <w:rPr>
          <w:bCs/>
          <w:iCs/>
          <w:color w:val="000000" w:themeColor="text1"/>
        </w:rPr>
        <w:t>income</w:t>
      </w:r>
      <w:r w:rsidR="00735E4A">
        <w:rPr>
          <w:bCs/>
          <w:iCs/>
          <w:color w:val="000000" w:themeColor="text1"/>
        </w:rPr>
        <w:t xml:space="preserve"> backgrounds.</w:t>
      </w:r>
      <w:r w:rsidR="009912A3">
        <w:rPr>
          <w:bCs/>
          <w:iCs/>
          <w:color w:val="000000" w:themeColor="text1"/>
        </w:rPr>
        <w:t xml:space="preserve"> </w:t>
      </w:r>
      <w:r w:rsidR="001C2A6C">
        <w:rPr>
          <w:bCs/>
          <w:iCs/>
          <w:color w:val="000000" w:themeColor="text1"/>
        </w:rPr>
        <w:t xml:space="preserve"> </w:t>
      </w:r>
      <w:r w:rsidR="0051142A">
        <w:rPr>
          <w:bCs/>
          <w:iCs/>
          <w:color w:val="000000" w:themeColor="text1"/>
        </w:rPr>
        <w:t xml:space="preserve">  </w:t>
      </w:r>
      <w:r w:rsidR="005205A2">
        <w:rPr>
          <w:bCs/>
          <w:iCs/>
          <w:color w:val="000000" w:themeColor="text1"/>
        </w:rPr>
        <w:t xml:space="preserve"> </w:t>
      </w:r>
      <w:r w:rsidR="00626179">
        <w:rPr>
          <w:bCs/>
          <w:iCs/>
          <w:color w:val="000000" w:themeColor="text1"/>
        </w:rPr>
        <w:t xml:space="preserve"> </w:t>
      </w:r>
    </w:p>
    <w:bookmarkEnd w:id="39"/>
    <w:bookmarkEnd w:id="40"/>
    <w:p w14:paraId="46E436AD" w14:textId="77777777" w:rsidR="00F5747C" w:rsidRDefault="00F5747C" w:rsidP="004B1105"/>
    <w:p w14:paraId="39BB4EA1" w14:textId="64BD33DE" w:rsidR="0040183E" w:rsidRDefault="0040183E" w:rsidP="004B1105">
      <w:pPr>
        <w:pStyle w:val="Heading3"/>
      </w:pPr>
      <w:bookmarkStart w:id="41" w:name="_Toc167901756"/>
      <w:r>
        <w:t>Recommend</w:t>
      </w:r>
      <w:r w:rsidR="00306E30">
        <w:t xml:space="preserve">ations to Improve </w:t>
      </w:r>
      <w:r w:rsidR="004C5EF6">
        <w:t xml:space="preserve">and Expand Available </w:t>
      </w:r>
      <w:r>
        <w:t>Data</w:t>
      </w:r>
      <w:bookmarkEnd w:id="41"/>
      <w:r>
        <w:t xml:space="preserve"> </w:t>
      </w:r>
    </w:p>
    <w:p w14:paraId="6961365D" w14:textId="77777777" w:rsidR="0040183E" w:rsidRDefault="0040183E" w:rsidP="004B1105"/>
    <w:p w14:paraId="4A8AEA28" w14:textId="660B8427" w:rsidR="005C51B1" w:rsidRPr="005C51B1" w:rsidRDefault="53B005FB" w:rsidP="004B1105">
      <w:r>
        <w:t xml:space="preserve">Understanding the relationship between wealth and higher education requires </w:t>
      </w:r>
      <w:r w:rsidR="00A20A2E">
        <w:t>access to</w:t>
      </w:r>
      <w:r w:rsidR="00BB664B">
        <w:t xml:space="preserve"> </w:t>
      </w:r>
      <w:r w:rsidR="00BB664B" w:rsidRPr="5E154477">
        <w:rPr>
          <w:rFonts w:cstheme="minorBidi"/>
        </w:rPr>
        <w:t>high</w:t>
      </w:r>
      <w:r w:rsidR="00C21B72" w:rsidRPr="5E154477">
        <w:rPr>
          <w:rFonts w:cstheme="minorBidi"/>
        </w:rPr>
        <w:t>-</w:t>
      </w:r>
      <w:r w:rsidR="00BB664B" w:rsidRPr="5E154477">
        <w:rPr>
          <w:rFonts w:cstheme="minorBidi"/>
        </w:rPr>
        <w:t xml:space="preserve">quality and robust data </w:t>
      </w:r>
      <w:r w:rsidR="00C21B72" w:rsidRPr="5E154477">
        <w:rPr>
          <w:rFonts w:cstheme="minorBidi"/>
        </w:rPr>
        <w:t xml:space="preserve">on </w:t>
      </w:r>
      <w:r w:rsidR="00BB664B" w:rsidRPr="5E154477">
        <w:rPr>
          <w:rFonts w:cstheme="minorBidi"/>
        </w:rPr>
        <w:t>wealth and higher education</w:t>
      </w:r>
      <w:r w:rsidR="008D06DC">
        <w:t xml:space="preserve">. </w:t>
      </w:r>
      <w:r w:rsidR="002550EA">
        <w:t>M</w:t>
      </w:r>
      <w:r w:rsidR="00564142">
        <w:t xml:space="preserve">ost existing datasets capture detailed information on either higher education or wealth, not both. </w:t>
      </w:r>
      <w:r w:rsidR="004D17E4" w:rsidRPr="004D17E4">
        <w:rPr>
          <w:szCs w:val="22"/>
        </w:rPr>
        <w:fldChar w:fldCharType="begin"/>
      </w:r>
      <w:r w:rsidR="004D17E4" w:rsidRPr="004D17E4">
        <w:rPr>
          <w:szCs w:val="22"/>
        </w:rPr>
        <w:instrText xml:space="preserve"> REF _Ref160095743 \h </w:instrText>
      </w:r>
      <w:r w:rsidR="004D17E4">
        <w:rPr>
          <w:szCs w:val="22"/>
        </w:rPr>
        <w:instrText xml:space="preserve"> \* MERGEFORMAT </w:instrText>
      </w:r>
      <w:r w:rsidR="004D17E4" w:rsidRPr="004D17E4">
        <w:rPr>
          <w:szCs w:val="22"/>
        </w:rPr>
      </w:r>
      <w:r w:rsidR="004D17E4" w:rsidRPr="004D17E4">
        <w:rPr>
          <w:szCs w:val="22"/>
        </w:rPr>
        <w:fldChar w:fldCharType="separate"/>
      </w:r>
      <w:r w:rsidR="004D17E4" w:rsidRPr="00F12147">
        <w:rPr>
          <w:rFonts w:cstheme="minorBidi"/>
          <w:b/>
          <w:szCs w:val="22"/>
        </w:rPr>
        <w:t xml:space="preserve">Table </w:t>
      </w:r>
      <w:r w:rsidR="004D17E4" w:rsidRPr="00F12147">
        <w:rPr>
          <w:rFonts w:cstheme="minorBidi"/>
          <w:b/>
          <w:noProof/>
          <w:szCs w:val="22"/>
        </w:rPr>
        <w:t>2</w:t>
      </w:r>
      <w:r w:rsidR="004D17E4" w:rsidRPr="004D17E4">
        <w:rPr>
          <w:szCs w:val="22"/>
        </w:rPr>
        <w:fldChar w:fldCharType="end"/>
      </w:r>
      <w:r w:rsidR="004D17E4">
        <w:t xml:space="preserve"> </w:t>
      </w:r>
      <w:r w:rsidR="00C379AB">
        <w:t xml:space="preserve">provides a detailed inventory of </w:t>
      </w:r>
      <w:r w:rsidR="00AB2D07">
        <w:t xml:space="preserve">select </w:t>
      </w:r>
      <w:r w:rsidR="00DB33E2">
        <w:t xml:space="preserve">sample </w:t>
      </w:r>
      <w:r w:rsidR="00E25109">
        <w:t xml:space="preserve">studies with data on </w:t>
      </w:r>
      <w:r w:rsidR="00DB33E2">
        <w:t>higher education and wealth</w:t>
      </w:r>
      <w:r w:rsidR="00633853">
        <w:t>,</w:t>
      </w:r>
      <w:r w:rsidR="27367FB2">
        <w:t xml:space="preserve"> </w:t>
      </w:r>
      <w:r w:rsidR="00AB3F76">
        <w:t xml:space="preserve">although even these data sources </w:t>
      </w:r>
      <w:r w:rsidR="005A1241">
        <w:t xml:space="preserve">still </w:t>
      </w:r>
      <w:r w:rsidR="00B436F3">
        <w:t>have</w:t>
      </w:r>
      <w:r w:rsidR="005F693A">
        <w:t xml:space="preserve"> limitations. </w:t>
      </w:r>
      <w:r w:rsidR="00F93A7E">
        <w:t xml:space="preserve">To </w:t>
      </w:r>
      <w:r w:rsidR="001E5AC4">
        <w:t>address these limitations</w:t>
      </w:r>
      <w:r w:rsidR="00B66C98">
        <w:t xml:space="preserve">, </w:t>
      </w:r>
      <w:r w:rsidR="004C4DD4">
        <w:t xml:space="preserve">IHEP recommends </w:t>
      </w:r>
      <w:r w:rsidR="009668C2">
        <w:t xml:space="preserve">the following </w:t>
      </w:r>
      <w:r w:rsidR="0029617C">
        <w:t>data</w:t>
      </w:r>
      <w:r w:rsidR="009668C2">
        <w:t xml:space="preserve"> improvements: </w:t>
      </w:r>
      <w:r w:rsidR="00FC6383">
        <w:t xml:space="preserve"> </w:t>
      </w:r>
    </w:p>
    <w:p w14:paraId="1B4B26A6" w14:textId="77777777" w:rsidR="00D216EA" w:rsidRDefault="00D216EA" w:rsidP="004B1105">
      <w:pPr>
        <w:pStyle w:val="NoSpacing"/>
      </w:pPr>
    </w:p>
    <w:p w14:paraId="788EB6F9" w14:textId="730B7970" w:rsidR="004C7166" w:rsidRDefault="004C7166" w:rsidP="00FB60EF">
      <w:pPr>
        <w:pStyle w:val="ListParagraph"/>
        <w:numPr>
          <w:ilvl w:val="0"/>
          <w:numId w:val="4"/>
        </w:numPr>
      </w:pPr>
      <w:r w:rsidRPr="00E327F7">
        <w:rPr>
          <w:b/>
          <w:i/>
        </w:rPr>
        <w:t xml:space="preserve">Publish </w:t>
      </w:r>
      <w:r w:rsidR="00400119" w:rsidRPr="00E327F7">
        <w:rPr>
          <w:b/>
          <w:i/>
        </w:rPr>
        <w:t>summative wealth measures for public</w:t>
      </w:r>
      <w:r w:rsidR="00BC3DE6">
        <w:rPr>
          <w:b/>
          <w:i/>
        </w:rPr>
        <w:t xml:space="preserve"> National Center for Education Statistics</w:t>
      </w:r>
      <w:r w:rsidR="00400119" w:rsidRPr="00E327F7">
        <w:rPr>
          <w:b/>
          <w:i/>
        </w:rPr>
        <w:t xml:space="preserve"> </w:t>
      </w:r>
      <w:r w:rsidR="00BC3DE6">
        <w:rPr>
          <w:b/>
          <w:i/>
        </w:rPr>
        <w:t>(</w:t>
      </w:r>
      <w:r w:rsidRPr="00E327F7">
        <w:rPr>
          <w:b/>
          <w:i/>
        </w:rPr>
        <w:t>NCES</w:t>
      </w:r>
      <w:r w:rsidR="00BC3DE6">
        <w:rPr>
          <w:b/>
          <w:i/>
        </w:rPr>
        <w:t>)</w:t>
      </w:r>
      <w:r w:rsidRPr="00E327F7">
        <w:rPr>
          <w:b/>
          <w:i/>
        </w:rPr>
        <w:t xml:space="preserve"> </w:t>
      </w:r>
      <w:r w:rsidR="00400119">
        <w:rPr>
          <w:b/>
          <w:i/>
        </w:rPr>
        <w:t>d</w:t>
      </w:r>
      <w:r w:rsidR="00400119" w:rsidRPr="00E327F7">
        <w:rPr>
          <w:b/>
          <w:i/>
        </w:rPr>
        <w:t>atasets</w:t>
      </w:r>
      <w:r w:rsidR="002A0193" w:rsidRPr="00E327F7">
        <w:rPr>
          <w:b/>
          <w:i/>
        </w:rPr>
        <w:t xml:space="preserve">. </w:t>
      </w:r>
      <w:r>
        <w:t xml:space="preserve">Currently, researchers with restricted-use data licenses </w:t>
      </w:r>
      <w:r w:rsidR="00D1046F">
        <w:t>can</w:t>
      </w:r>
      <w:r>
        <w:t xml:space="preserve"> link student-level data captured in NCES longitudinal datasets to FAFSA submission data for each sample respondent who submitted a FAFSA, including several measures of assets and variations of net worth.</w:t>
      </w:r>
      <w:r w:rsidRPr="00DD31C6">
        <w:t xml:space="preserve"> </w:t>
      </w:r>
      <w:r>
        <w:t xml:space="preserve">To </w:t>
      </w:r>
      <w:r>
        <w:lastRenderedPageBreak/>
        <w:t xml:space="preserve">strengthen the field’s understanding of the relationship between higher education and the racial wealth gap while maintaining student privacy, NCES should publish summative wealth measures from FAFSA submissions in publicly available datasets (e.g., </w:t>
      </w:r>
      <w:r w:rsidR="00FF1015">
        <w:t xml:space="preserve">ELS2002, </w:t>
      </w:r>
      <w:r w:rsidR="00173F7D">
        <w:t>HSLS09,</w:t>
      </w:r>
      <w:r>
        <w:t xml:space="preserve"> B&amp;B, BPS, and </w:t>
      </w:r>
      <w:r w:rsidR="007D0865">
        <w:t>NPSAS</w:t>
      </w:r>
      <w:r>
        <w:t>)</w:t>
      </w:r>
      <w:r w:rsidR="0026280B">
        <w:t>, in the following ways:</w:t>
      </w:r>
    </w:p>
    <w:p w14:paraId="23A88430" w14:textId="77777777" w:rsidR="00293ACB" w:rsidRDefault="00293ACB" w:rsidP="004B1105">
      <w:pPr>
        <w:pStyle w:val="ListParagraph"/>
      </w:pPr>
    </w:p>
    <w:p w14:paraId="249A9DE8" w14:textId="3FCE98EC" w:rsidR="005A4DE3" w:rsidRDefault="00DD653D" w:rsidP="00FB60EF">
      <w:pPr>
        <w:pStyle w:val="ListParagraph"/>
        <w:numPr>
          <w:ilvl w:val="1"/>
          <w:numId w:val="4"/>
        </w:numPr>
      </w:pPr>
      <w:r>
        <w:t xml:space="preserve">Add </w:t>
      </w:r>
      <w:r w:rsidR="0094554E">
        <w:t xml:space="preserve">student </w:t>
      </w:r>
      <w:proofErr w:type="gramStart"/>
      <w:r w:rsidR="369DF881">
        <w:t>asset</w:t>
      </w:r>
      <w:proofErr w:type="gramEnd"/>
      <w:r w:rsidR="4DF52FED">
        <w:t>, student spouse</w:t>
      </w:r>
      <w:r w:rsidR="676117EC">
        <w:t xml:space="preserve"> asset</w:t>
      </w:r>
      <w:r w:rsidR="4DF52FED">
        <w:t>,</w:t>
      </w:r>
      <w:r w:rsidR="0094554E">
        <w:t xml:space="preserve"> and parent </w:t>
      </w:r>
      <w:r w:rsidR="399E2A4F">
        <w:t>asset</w:t>
      </w:r>
      <w:r w:rsidR="0094554E">
        <w:t xml:space="preserve"> </w:t>
      </w:r>
      <w:r w:rsidR="00130A37">
        <w:t>variables</w:t>
      </w:r>
      <w:r w:rsidR="0094554E">
        <w:t xml:space="preserve"> to datasets </w:t>
      </w:r>
      <w:r w:rsidR="00EC1468">
        <w:t xml:space="preserve">publicly </w:t>
      </w:r>
      <w:r w:rsidR="0094554E">
        <w:t xml:space="preserve">available through the NCES </w:t>
      </w:r>
      <w:r w:rsidR="17C6F75C">
        <w:t>Data</w:t>
      </w:r>
      <w:r w:rsidR="5016CADF">
        <w:t>L</w:t>
      </w:r>
      <w:r w:rsidR="17C6F75C">
        <w:t>ab</w:t>
      </w:r>
      <w:r w:rsidR="00130A37">
        <w:t>.</w:t>
      </w:r>
    </w:p>
    <w:p w14:paraId="271C0DF9" w14:textId="707E23B2" w:rsidR="00835C74" w:rsidRDefault="00835C74" w:rsidP="00FB60EF">
      <w:pPr>
        <w:pStyle w:val="ListParagraph"/>
        <w:numPr>
          <w:ilvl w:val="1"/>
          <w:numId w:val="4"/>
        </w:numPr>
      </w:pPr>
      <w:r>
        <w:t>Includ</w:t>
      </w:r>
      <w:r w:rsidR="007002A3">
        <w:t>e</w:t>
      </w:r>
      <w:r>
        <w:t xml:space="preserve"> </w:t>
      </w:r>
      <w:r w:rsidR="00624AF7">
        <w:t xml:space="preserve">available </w:t>
      </w:r>
      <w:r>
        <w:t xml:space="preserve">student </w:t>
      </w:r>
      <w:proofErr w:type="gramStart"/>
      <w:r w:rsidR="49AF7E9F">
        <w:t>asset</w:t>
      </w:r>
      <w:proofErr w:type="gramEnd"/>
      <w:r w:rsidR="3E5D2ACD">
        <w:t xml:space="preserve">, student spouse </w:t>
      </w:r>
      <w:r w:rsidR="600511CB">
        <w:t>asset</w:t>
      </w:r>
      <w:r w:rsidR="3E5D2ACD">
        <w:t>,</w:t>
      </w:r>
      <w:r>
        <w:t xml:space="preserve"> and parent </w:t>
      </w:r>
      <w:r w:rsidR="2BF0F742">
        <w:t>asset</w:t>
      </w:r>
      <w:r>
        <w:t xml:space="preserve"> variables </w:t>
      </w:r>
      <w:r w:rsidR="000C11B8">
        <w:t xml:space="preserve">in </w:t>
      </w:r>
      <w:r w:rsidR="00697233">
        <w:t xml:space="preserve">public-use microdata </w:t>
      </w:r>
      <w:r w:rsidR="001C001C">
        <w:t xml:space="preserve">files such as </w:t>
      </w:r>
      <w:r w:rsidR="00BB693D">
        <w:t>ELS</w:t>
      </w:r>
      <w:r w:rsidR="00136FBC">
        <w:t>20</w:t>
      </w:r>
      <w:r w:rsidR="00BB693D">
        <w:t xml:space="preserve">02 and </w:t>
      </w:r>
      <w:r w:rsidR="00136FBC">
        <w:t>HSLS09.</w:t>
      </w:r>
      <w:r w:rsidR="001F019F">
        <w:t xml:space="preserve"> </w:t>
      </w:r>
      <w:r w:rsidR="5D3F751B">
        <w:t>T</w:t>
      </w:r>
      <w:r w:rsidR="00F069DA">
        <w:t>h</w:t>
      </w:r>
      <w:r w:rsidR="575D10D9">
        <w:t>e</w:t>
      </w:r>
      <w:r w:rsidR="00F069DA">
        <w:t xml:space="preserve">se data could be made available </w:t>
      </w:r>
      <w:r w:rsidR="001E37BF">
        <w:t>as</w:t>
      </w:r>
      <w:r w:rsidR="00F069DA">
        <w:t xml:space="preserve"> categorical variables rather than continuous variables</w:t>
      </w:r>
      <w:r w:rsidR="008E15F5">
        <w:t>,</w:t>
      </w:r>
      <w:r w:rsidR="558F2C4C">
        <w:t xml:space="preserve"> to protect privacy</w:t>
      </w:r>
      <w:r w:rsidR="00F069DA">
        <w:t>.</w:t>
      </w:r>
    </w:p>
    <w:p w14:paraId="2577BAE2" w14:textId="617908FD" w:rsidR="00136FBC" w:rsidRDefault="7ABCF968" w:rsidP="00FB60EF">
      <w:pPr>
        <w:pStyle w:val="ListParagraph"/>
        <w:numPr>
          <w:ilvl w:val="1"/>
          <w:numId w:val="4"/>
        </w:numPr>
      </w:pPr>
      <w:r>
        <w:t>A</w:t>
      </w:r>
      <w:r w:rsidR="00926DD0">
        <w:t>dd median asset</w:t>
      </w:r>
      <w:r w:rsidR="00926DD0" w:rsidDel="00926DD0">
        <w:t xml:space="preserve"> </w:t>
      </w:r>
      <w:r w:rsidR="00926DD0">
        <w:t xml:space="preserve">variables </w:t>
      </w:r>
      <w:r w:rsidR="00483454">
        <w:t xml:space="preserve">disaggregated </w:t>
      </w:r>
      <w:r w:rsidR="00926DD0">
        <w:t xml:space="preserve">by race and ethnicity to </w:t>
      </w:r>
      <w:r w:rsidR="00E84326">
        <w:t xml:space="preserve">future </w:t>
      </w:r>
      <w:r w:rsidR="00483454">
        <w:t>releases</w:t>
      </w:r>
      <w:r w:rsidR="00E84326">
        <w:t xml:space="preserve"> of College Scorecar</w:t>
      </w:r>
      <w:r w:rsidR="0035750F">
        <w:t>d data.</w:t>
      </w:r>
    </w:p>
    <w:p w14:paraId="019C969F" w14:textId="695527FD" w:rsidR="00E84326" w:rsidRPr="00867C6C" w:rsidRDefault="00E84326" w:rsidP="00FB60EF">
      <w:pPr>
        <w:pStyle w:val="ListParagraph"/>
        <w:numPr>
          <w:ilvl w:val="1"/>
          <w:numId w:val="4"/>
        </w:numPr>
      </w:pPr>
      <w:r>
        <w:t xml:space="preserve">Publish </w:t>
      </w:r>
      <w:r w:rsidR="00FF1CE8">
        <w:t xml:space="preserve">aggregate statistics on the percentage of students with certain asset types and </w:t>
      </w:r>
      <w:r w:rsidR="00293ACB">
        <w:t>amounts</w:t>
      </w:r>
      <w:r w:rsidR="00F3514C">
        <w:t xml:space="preserve"> across institutional types </w:t>
      </w:r>
      <w:proofErr w:type="gramStart"/>
      <w:r w:rsidR="00D85FDD">
        <w:t xml:space="preserve">in order </w:t>
      </w:r>
      <w:r w:rsidR="00FF1CE8">
        <w:t>to</w:t>
      </w:r>
      <w:proofErr w:type="gramEnd"/>
      <w:r w:rsidR="00FF1CE8">
        <w:t xml:space="preserve"> provide a profile of wealth stratification across higher education.</w:t>
      </w:r>
      <w:r w:rsidR="001D4A67">
        <w:t xml:space="preserve"> For example, these </w:t>
      </w:r>
      <w:r w:rsidR="00536838">
        <w:t xml:space="preserve">asset data could be included in </w:t>
      </w:r>
      <w:r w:rsidR="007571BA">
        <w:t>the U.S. Department of Education’s Federal Student Aid Data Center</w:t>
      </w:r>
      <w:r w:rsidR="0059200E">
        <w:t xml:space="preserve"> reports on FAFSA submissions and Pell Grant recipients. </w:t>
      </w:r>
    </w:p>
    <w:p w14:paraId="160E63A6" w14:textId="77777777" w:rsidR="004C7166" w:rsidRDefault="004C7166" w:rsidP="004B1105">
      <w:pPr>
        <w:pStyle w:val="NoSpacing"/>
      </w:pPr>
    </w:p>
    <w:p w14:paraId="41118E14" w14:textId="70981A29" w:rsidR="004C7166" w:rsidRDefault="004C7166" w:rsidP="004B1105">
      <w:pPr>
        <w:pStyle w:val="NoSpacing"/>
        <w:ind w:left="720"/>
      </w:pPr>
      <w:r>
        <w:t xml:space="preserve">While limitations with these measures of wealth would still exist (e.g., the FAFSA does not collect information on retirement savings </w:t>
      </w:r>
      <w:r w:rsidR="30CF9421">
        <w:t>or</w:t>
      </w:r>
      <w:r>
        <w:t xml:space="preserve"> home equity</w:t>
      </w:r>
      <w:r w:rsidR="0037204A">
        <w:t>, nor on debt</w:t>
      </w:r>
      <w:r w:rsidR="000C09A4">
        <w:t xml:space="preserve"> or liabilities</w:t>
      </w:r>
      <w:r>
        <w:t xml:space="preserve">) and the sample is limited to those who submit a FAFSA, wider access to summative wealth measures would open opportunities for further inquiry and deepen </w:t>
      </w:r>
      <w:r w:rsidR="00184527">
        <w:t xml:space="preserve">the ability of </w:t>
      </w:r>
      <w:r>
        <w:t>researchers, policymakers, and other decision</w:t>
      </w:r>
      <w:r w:rsidR="00184527">
        <w:t>-</w:t>
      </w:r>
      <w:r>
        <w:t>makers to make evidence-based decisions</w:t>
      </w:r>
      <w:r w:rsidR="00EF27F0">
        <w:t xml:space="preserve"> </w:t>
      </w:r>
      <w:r w:rsidR="003C24FD">
        <w:t xml:space="preserve">on how to improve equity in </w:t>
      </w:r>
      <w:r w:rsidR="00E44B1C">
        <w:t>postsecondary access and outcomes</w:t>
      </w:r>
      <w:r>
        <w:t xml:space="preserve">. </w:t>
      </w:r>
    </w:p>
    <w:p w14:paraId="1C4AF5D5" w14:textId="77777777" w:rsidR="004C7166" w:rsidRDefault="004C7166" w:rsidP="004B1105">
      <w:pPr>
        <w:pStyle w:val="ListParagraph"/>
        <w:rPr>
          <w:b/>
        </w:rPr>
      </w:pPr>
    </w:p>
    <w:p w14:paraId="179FA48F" w14:textId="7DD2FE15" w:rsidR="003C4A4B" w:rsidRDefault="00AD12C1" w:rsidP="00FB60EF">
      <w:pPr>
        <w:pStyle w:val="ListParagraph"/>
        <w:numPr>
          <w:ilvl w:val="0"/>
          <w:numId w:val="4"/>
        </w:numPr>
        <w:rPr>
          <w:rFonts w:cstheme="minorBidi"/>
        </w:rPr>
      </w:pPr>
      <w:r w:rsidRPr="00161B05">
        <w:rPr>
          <w:b/>
          <w:i/>
        </w:rPr>
        <w:t xml:space="preserve">Collect </w:t>
      </w:r>
      <w:r w:rsidR="00400119" w:rsidRPr="00161B05">
        <w:rPr>
          <w:b/>
          <w:i/>
        </w:rPr>
        <w:t xml:space="preserve">more granular data on the wealth of students and their parents </w:t>
      </w:r>
      <w:r w:rsidR="009D4B0E" w:rsidRPr="00161B05">
        <w:rPr>
          <w:b/>
          <w:i/>
        </w:rPr>
        <w:t>in</w:t>
      </w:r>
      <w:r w:rsidR="00AF3D1E">
        <w:rPr>
          <w:b/>
          <w:i/>
        </w:rPr>
        <w:t xml:space="preserve"> NCES</w:t>
      </w:r>
      <w:r w:rsidR="009D4B0E" w:rsidRPr="00161B05">
        <w:rPr>
          <w:b/>
          <w:i/>
        </w:rPr>
        <w:t xml:space="preserve"> </w:t>
      </w:r>
      <w:r w:rsidR="00FA0015">
        <w:rPr>
          <w:b/>
          <w:i/>
        </w:rPr>
        <w:t>l</w:t>
      </w:r>
      <w:r w:rsidR="00FA0015" w:rsidRPr="00161B05">
        <w:rPr>
          <w:b/>
          <w:i/>
        </w:rPr>
        <w:t xml:space="preserve">ongitudinal </w:t>
      </w:r>
      <w:r w:rsidR="00FA0015">
        <w:rPr>
          <w:b/>
          <w:i/>
        </w:rPr>
        <w:t>s</w:t>
      </w:r>
      <w:r w:rsidR="00FA0015" w:rsidRPr="00161B05">
        <w:rPr>
          <w:b/>
          <w:i/>
        </w:rPr>
        <w:t>tudies</w:t>
      </w:r>
      <w:r w:rsidR="002A0193" w:rsidRPr="00161B05">
        <w:rPr>
          <w:b/>
          <w:i/>
        </w:rPr>
        <w:t>.</w:t>
      </w:r>
      <w:r w:rsidR="00251FE9">
        <w:rPr>
          <w:b/>
          <w:i/>
          <w:iCs/>
        </w:rPr>
        <w:t xml:space="preserve"> </w:t>
      </w:r>
      <w:r w:rsidR="00292760" w:rsidRPr="5E154477">
        <w:rPr>
          <w:rFonts w:cstheme="minorBidi"/>
        </w:rPr>
        <w:t>L</w:t>
      </w:r>
      <w:r w:rsidR="00451206" w:rsidRPr="5E154477">
        <w:rPr>
          <w:rFonts w:cstheme="minorBidi"/>
        </w:rPr>
        <w:t>ongitudinal</w:t>
      </w:r>
      <w:r w:rsidR="00E51835" w:rsidRPr="5E154477">
        <w:rPr>
          <w:rFonts w:cstheme="minorBidi"/>
        </w:rPr>
        <w:t xml:space="preserve"> studies</w:t>
      </w:r>
      <w:r w:rsidR="00451206" w:rsidRPr="5E154477">
        <w:rPr>
          <w:rFonts w:cstheme="minorBidi"/>
        </w:rPr>
        <w:t xml:space="preserve">, </w:t>
      </w:r>
      <w:r w:rsidR="00DB456B">
        <w:rPr>
          <w:rFonts w:cstheme="minorBidi"/>
        </w:rPr>
        <w:t>which follow</w:t>
      </w:r>
      <w:r w:rsidR="00451206" w:rsidRPr="5E154477">
        <w:rPr>
          <w:rFonts w:cstheme="minorBidi"/>
        </w:rPr>
        <w:t xml:space="preserve"> the same </w:t>
      </w:r>
      <w:r w:rsidR="00A4239E">
        <w:rPr>
          <w:rFonts w:cstheme="minorBidi"/>
        </w:rPr>
        <w:t>individuals and families</w:t>
      </w:r>
      <w:r w:rsidR="00A4239E" w:rsidRPr="5E154477">
        <w:rPr>
          <w:rFonts w:cstheme="minorBidi"/>
        </w:rPr>
        <w:t xml:space="preserve"> </w:t>
      </w:r>
      <w:r w:rsidR="00451206" w:rsidRPr="5E154477">
        <w:rPr>
          <w:rFonts w:cstheme="minorBidi"/>
        </w:rPr>
        <w:t>over time</w:t>
      </w:r>
      <w:r w:rsidR="00292760" w:rsidRPr="5E154477">
        <w:rPr>
          <w:rFonts w:cstheme="minorBidi"/>
        </w:rPr>
        <w:t xml:space="preserve">, are the most helpful data sources for understanding </w:t>
      </w:r>
      <w:r w:rsidR="006D1608">
        <w:rPr>
          <w:rFonts w:cstheme="minorBidi"/>
        </w:rPr>
        <w:t xml:space="preserve">intergenerational wealth patterns. </w:t>
      </w:r>
      <w:r w:rsidR="00F27091">
        <w:rPr>
          <w:rFonts w:cstheme="minorBidi"/>
        </w:rPr>
        <w:t xml:space="preserve">The addition of wealth data </w:t>
      </w:r>
      <w:r w:rsidR="002622FC">
        <w:rPr>
          <w:rFonts w:cstheme="minorBidi"/>
        </w:rPr>
        <w:t>to NCES longitudinal studies</w:t>
      </w:r>
      <w:r w:rsidR="00CB2434">
        <w:rPr>
          <w:rFonts w:cstheme="minorBidi"/>
        </w:rPr>
        <w:t>,</w:t>
      </w:r>
      <w:r w:rsidR="002622FC">
        <w:rPr>
          <w:rFonts w:cstheme="minorBidi"/>
        </w:rPr>
        <w:t xml:space="preserve"> </w:t>
      </w:r>
      <w:r w:rsidR="0085177A">
        <w:rPr>
          <w:rFonts w:cstheme="minorBidi"/>
        </w:rPr>
        <w:t xml:space="preserve">which </w:t>
      </w:r>
      <w:r w:rsidR="00100624">
        <w:rPr>
          <w:rFonts w:cstheme="minorBidi"/>
        </w:rPr>
        <w:t xml:space="preserve">already </w:t>
      </w:r>
      <w:r w:rsidR="0085177A">
        <w:rPr>
          <w:rFonts w:cstheme="minorBidi"/>
        </w:rPr>
        <w:t>collect the most comprehensive data on higher education enrollment, experiences, and outcomes</w:t>
      </w:r>
      <w:r w:rsidR="00CB2434">
        <w:rPr>
          <w:rFonts w:cstheme="minorBidi"/>
        </w:rPr>
        <w:t>,</w:t>
      </w:r>
      <w:r w:rsidR="0085177A">
        <w:rPr>
          <w:rFonts w:cstheme="minorBidi"/>
        </w:rPr>
        <w:t xml:space="preserve"> would </w:t>
      </w:r>
      <w:r w:rsidR="006F0CF8">
        <w:rPr>
          <w:rFonts w:cstheme="minorBidi"/>
        </w:rPr>
        <w:t>enable</w:t>
      </w:r>
      <w:r w:rsidR="0085177A">
        <w:rPr>
          <w:rFonts w:cstheme="minorBidi"/>
        </w:rPr>
        <w:t xml:space="preserve"> these datasets to strengthen studies of </w:t>
      </w:r>
      <w:r w:rsidR="00F55103" w:rsidRPr="0085177A">
        <w:rPr>
          <w:rFonts w:cstheme="minorBidi"/>
        </w:rPr>
        <w:t xml:space="preserve">the </w:t>
      </w:r>
      <w:r w:rsidR="00EF51F2" w:rsidRPr="0085177A">
        <w:rPr>
          <w:rFonts w:cstheme="minorBidi"/>
        </w:rPr>
        <w:t>cyclical relationship between higher education and the racial wealth gap</w:t>
      </w:r>
      <w:r w:rsidR="00BC04DE" w:rsidRPr="0085177A">
        <w:rPr>
          <w:rFonts w:cstheme="minorBidi"/>
        </w:rPr>
        <w:t xml:space="preserve">. </w:t>
      </w:r>
      <w:r w:rsidR="003E045E">
        <w:rPr>
          <w:rFonts w:cstheme="minorBidi"/>
        </w:rPr>
        <w:t xml:space="preserve">To </w:t>
      </w:r>
      <w:r w:rsidR="0064132B">
        <w:rPr>
          <w:rFonts w:cstheme="minorBidi"/>
        </w:rPr>
        <w:t xml:space="preserve">enable deeper study of this relationship, </w:t>
      </w:r>
      <w:r w:rsidR="003C4A4B">
        <w:rPr>
          <w:rFonts w:cstheme="minorBidi"/>
        </w:rPr>
        <w:t xml:space="preserve">IHEP recommends </w:t>
      </w:r>
      <w:r w:rsidR="003E045E">
        <w:rPr>
          <w:rFonts w:cstheme="minorBidi"/>
        </w:rPr>
        <w:t>the following:</w:t>
      </w:r>
    </w:p>
    <w:p w14:paraId="7706A46D" w14:textId="77777777" w:rsidR="008C5931" w:rsidRDefault="008C5931" w:rsidP="004B1105">
      <w:pPr>
        <w:pStyle w:val="ListParagraph"/>
        <w:rPr>
          <w:rFonts w:cstheme="minorBidi"/>
        </w:rPr>
      </w:pPr>
    </w:p>
    <w:p w14:paraId="25DAE46B" w14:textId="522C3362" w:rsidR="004241AB" w:rsidRDefault="00580F76" w:rsidP="00FB60EF">
      <w:pPr>
        <w:pStyle w:val="ListParagraph"/>
        <w:numPr>
          <w:ilvl w:val="1"/>
          <w:numId w:val="4"/>
        </w:numPr>
      </w:pPr>
      <w:r>
        <w:rPr>
          <w:rFonts w:cstheme="minorBidi"/>
          <w:b/>
          <w:bCs/>
        </w:rPr>
        <w:t>Before</w:t>
      </w:r>
      <w:r w:rsidR="00CA132F">
        <w:rPr>
          <w:rFonts w:cstheme="minorBidi"/>
          <w:b/>
          <w:bCs/>
        </w:rPr>
        <w:t xml:space="preserve"> </w:t>
      </w:r>
      <w:r w:rsidR="0A2B87B4" w:rsidRPr="00F12147">
        <w:rPr>
          <w:rFonts w:cstheme="minorBidi"/>
          <w:b/>
          <w:bCs/>
        </w:rPr>
        <w:t>college:</w:t>
      </w:r>
      <w:r w:rsidR="0A2B87B4" w:rsidRPr="471A8B02">
        <w:rPr>
          <w:rFonts w:cstheme="minorBidi"/>
        </w:rPr>
        <w:t xml:space="preserve"> </w:t>
      </w:r>
      <w:r w:rsidR="2D0C40C2" w:rsidRPr="00F12147">
        <w:rPr>
          <w:rFonts w:cstheme="minorBidi"/>
        </w:rPr>
        <w:t>Incorporate</w:t>
      </w:r>
      <w:r w:rsidR="00B952F9">
        <w:t xml:space="preserve"> wealth data </w:t>
      </w:r>
      <w:r w:rsidR="6D683481">
        <w:t xml:space="preserve">collection </w:t>
      </w:r>
      <w:r w:rsidR="00B2079A">
        <w:t xml:space="preserve">in a pre-college </w:t>
      </w:r>
      <w:proofErr w:type="gramStart"/>
      <w:r w:rsidR="00B2079A">
        <w:t>time period</w:t>
      </w:r>
      <w:proofErr w:type="gramEnd"/>
      <w:r w:rsidR="683F5AE6">
        <w:t xml:space="preserve"> into future NCES secondary studies </w:t>
      </w:r>
      <w:r w:rsidR="144DACB7">
        <w:t xml:space="preserve">designed to follow students through their postsecondary transitions </w:t>
      </w:r>
      <w:r w:rsidR="683F5AE6">
        <w:t xml:space="preserve">by prompting </w:t>
      </w:r>
      <w:proofErr w:type="spellStart"/>
      <w:r w:rsidR="683F5AE6">
        <w:t>respondants</w:t>
      </w:r>
      <w:proofErr w:type="spellEnd"/>
      <w:r w:rsidR="683F5AE6">
        <w:t xml:space="preserve"> </w:t>
      </w:r>
      <w:r w:rsidR="0EE95D4A">
        <w:t>(e.g., when students are between 16 and 18 years of ages, and/or enrolled in high school)</w:t>
      </w:r>
      <w:r w:rsidR="74222E70">
        <w:t xml:space="preserve"> to report it</w:t>
      </w:r>
      <w:r w:rsidR="0EE95D4A">
        <w:t>.</w:t>
      </w:r>
      <w:r w:rsidR="00B952F9">
        <w:t xml:space="preserve"> </w:t>
      </w:r>
      <w:r w:rsidR="0083083F">
        <w:t>S</w:t>
      </w:r>
      <w:r w:rsidR="00B952F9">
        <w:t>uch wealth questions on assets</w:t>
      </w:r>
      <w:r w:rsidR="003D022C">
        <w:t xml:space="preserve"> and </w:t>
      </w:r>
      <w:r w:rsidR="00B952F9">
        <w:t>debts or overall wealth could be included in parent questionnaires</w:t>
      </w:r>
      <w:r w:rsidR="00423685">
        <w:t>, which are typically included in these studies (e.g., ELS2002, HSLS09)</w:t>
      </w:r>
      <w:r w:rsidR="47B388A8">
        <w:t xml:space="preserve"> as students are unlikely to be intimately familiar with family finances</w:t>
      </w:r>
      <w:r w:rsidR="00423685">
        <w:t xml:space="preserve">. </w:t>
      </w:r>
      <w:proofErr w:type="gramStart"/>
      <w:r w:rsidR="009E7365">
        <w:t>These</w:t>
      </w:r>
      <w:proofErr w:type="gramEnd"/>
      <w:r w:rsidR="009E7365">
        <w:t xml:space="preserve"> </w:t>
      </w:r>
      <w:r w:rsidR="00761EE2">
        <w:t xml:space="preserve">data would </w:t>
      </w:r>
      <w:r w:rsidR="00E81CA2">
        <w:t xml:space="preserve">ensure </w:t>
      </w:r>
      <w:r w:rsidR="00E90396">
        <w:t xml:space="preserve">the </w:t>
      </w:r>
      <w:r w:rsidR="00E81CA2">
        <w:t>availab</w:t>
      </w:r>
      <w:r w:rsidR="00E90396">
        <w:t>ility of more comprehensive wealth data prior to potential college enrollment</w:t>
      </w:r>
      <w:r w:rsidR="00E81CA2">
        <w:t xml:space="preserve"> for </w:t>
      </w:r>
      <w:proofErr w:type="gramStart"/>
      <w:r w:rsidR="00E81CA2">
        <w:t>the majority of</w:t>
      </w:r>
      <w:proofErr w:type="gramEnd"/>
      <w:r w:rsidR="00E81CA2">
        <w:t xml:space="preserve"> study participants</w:t>
      </w:r>
      <w:r w:rsidR="00E90396">
        <w:t>, as opposed to only for certain FAFSA applicants.</w:t>
      </w:r>
      <w:r w:rsidR="00E81CA2">
        <w:t xml:space="preserve"> </w:t>
      </w:r>
      <w:r w:rsidR="006D5526">
        <w:t xml:space="preserve">While </w:t>
      </w:r>
      <w:r w:rsidR="00F55929">
        <w:t xml:space="preserve">the </w:t>
      </w:r>
      <w:r w:rsidR="006D5526">
        <w:t xml:space="preserve">wealth of students and parents </w:t>
      </w:r>
      <w:r w:rsidR="00F55929">
        <w:t xml:space="preserve">is </w:t>
      </w:r>
      <w:r w:rsidR="006D5526">
        <w:t>likely to be similar in pre-college periods, wealth data for students and parents should be collected separately.</w:t>
      </w:r>
    </w:p>
    <w:p w14:paraId="54719F0E" w14:textId="60C284D4" w:rsidR="00FC53F4" w:rsidRDefault="07E80E8C" w:rsidP="00FB60EF">
      <w:pPr>
        <w:pStyle w:val="ListParagraph"/>
        <w:numPr>
          <w:ilvl w:val="1"/>
          <w:numId w:val="4"/>
        </w:numPr>
      </w:pPr>
      <w:r w:rsidRPr="00246BF7">
        <w:rPr>
          <w:b/>
        </w:rPr>
        <w:t xml:space="preserve">During college: </w:t>
      </w:r>
      <w:r w:rsidR="6882F514" w:rsidRPr="00246BF7">
        <w:t xml:space="preserve">Incorporate wealth data collection, at least once but ideally during each survey iteration, </w:t>
      </w:r>
      <w:r w:rsidR="1BFAE499" w:rsidRPr="00246BF7">
        <w:t>into f</w:t>
      </w:r>
      <w:r w:rsidR="00676E95">
        <w:t xml:space="preserve">uture </w:t>
      </w:r>
      <w:r w:rsidR="00C95731">
        <w:t xml:space="preserve">and ongoing </w:t>
      </w:r>
      <w:r w:rsidR="00676E95">
        <w:t>NCES secondary studies</w:t>
      </w:r>
      <w:r w:rsidR="00C95731">
        <w:t xml:space="preserve"> like High School and Beyond 2022 (HS&amp;B22)</w:t>
      </w:r>
      <w:r w:rsidR="00CB7C33">
        <w:t>,</w:t>
      </w:r>
      <w:r w:rsidR="00676E95">
        <w:t xml:space="preserve"> as well as BPS and NPSAS, </w:t>
      </w:r>
      <w:r w:rsidR="00F03FF0">
        <w:t>by</w:t>
      </w:r>
      <w:r w:rsidR="00676E95">
        <w:t xml:space="preserve"> prompt</w:t>
      </w:r>
      <w:r w:rsidR="0A70B079">
        <w:t>ing</w:t>
      </w:r>
      <w:r w:rsidR="00676E95">
        <w:t xml:space="preserve"> respondents to report </w:t>
      </w:r>
      <w:r w:rsidR="00E7095B">
        <w:t>wealth data while enrolled in coll</w:t>
      </w:r>
      <w:r w:rsidR="00762AC1">
        <w:t>ege</w:t>
      </w:r>
      <w:r w:rsidR="00097202">
        <w:t>.</w:t>
      </w:r>
      <w:r w:rsidR="00FC53F4">
        <w:t xml:space="preserve"> </w:t>
      </w:r>
    </w:p>
    <w:p w14:paraId="77C89EEA" w14:textId="3E2174B2" w:rsidR="00B21546" w:rsidRDefault="33EB18D7" w:rsidP="00FB60EF">
      <w:pPr>
        <w:pStyle w:val="ListParagraph"/>
        <w:numPr>
          <w:ilvl w:val="1"/>
          <w:numId w:val="4"/>
        </w:numPr>
        <w:rPr>
          <w:rFonts w:cstheme="minorBidi"/>
        </w:rPr>
      </w:pPr>
      <w:r w:rsidRPr="00F12147">
        <w:rPr>
          <w:b/>
          <w:bCs/>
        </w:rPr>
        <w:lastRenderedPageBreak/>
        <w:t>After college</w:t>
      </w:r>
      <w:r>
        <w:t>: Incorporate wealth data collection</w:t>
      </w:r>
      <w:r w:rsidR="1B3E89EC">
        <w:t>, at least once but ideally over time,</w:t>
      </w:r>
      <w:r>
        <w:t xml:space="preserve"> in f</w:t>
      </w:r>
      <w:r w:rsidR="005B0DAA">
        <w:t>uture NCES secondary studies</w:t>
      </w:r>
      <w:r w:rsidR="00416797">
        <w:t>,</w:t>
      </w:r>
      <w:r w:rsidR="00DA1ADE">
        <w:t xml:space="preserve"> </w:t>
      </w:r>
      <w:r w:rsidR="005B0DAA">
        <w:t>BPS</w:t>
      </w:r>
      <w:r w:rsidR="00416797">
        <w:t>,</w:t>
      </w:r>
      <w:r w:rsidR="00B70077">
        <w:t xml:space="preserve"> and HS&amp;B22</w:t>
      </w:r>
      <w:r w:rsidR="005B0DAA">
        <w:t xml:space="preserve"> </w:t>
      </w:r>
      <w:r w:rsidR="44E0A3F1">
        <w:t>by</w:t>
      </w:r>
      <w:r w:rsidR="2F1D4A1A">
        <w:t xml:space="preserve"> prompt</w:t>
      </w:r>
      <w:r w:rsidR="33BF6E66">
        <w:t>ing</w:t>
      </w:r>
      <w:r w:rsidR="002D0404">
        <w:t xml:space="preserve"> respondents to report wealth data </w:t>
      </w:r>
      <w:r w:rsidR="009466FE">
        <w:t xml:space="preserve">after </w:t>
      </w:r>
      <w:r w:rsidR="00912027">
        <w:t>college</w:t>
      </w:r>
      <w:r w:rsidR="009208BC">
        <w:t>.</w:t>
      </w:r>
      <w:r w:rsidR="006950C4">
        <w:t xml:space="preserve"> </w:t>
      </w:r>
      <w:r w:rsidR="00DC1DA2" w:rsidRPr="6A9E2235">
        <w:rPr>
          <w:rFonts w:cstheme="minorBidi"/>
        </w:rPr>
        <w:t>For example, the</w:t>
      </w:r>
      <w:r w:rsidR="004839C9" w:rsidRPr="6A9E2235">
        <w:rPr>
          <w:rFonts w:cstheme="minorBidi"/>
        </w:rPr>
        <w:t xml:space="preserve"> </w:t>
      </w:r>
      <w:r w:rsidR="009208BC" w:rsidRPr="6A9E2235">
        <w:rPr>
          <w:rFonts w:cstheme="minorBidi"/>
        </w:rPr>
        <w:t>NLSY97</w:t>
      </w:r>
      <w:r w:rsidR="004839C9" w:rsidRPr="6A9E2235">
        <w:rPr>
          <w:rFonts w:cstheme="minorBidi"/>
        </w:rPr>
        <w:t xml:space="preserve"> </w:t>
      </w:r>
      <w:r w:rsidR="009208BC" w:rsidRPr="6A9E2235">
        <w:rPr>
          <w:rFonts w:cstheme="minorBidi"/>
        </w:rPr>
        <w:t>c</w:t>
      </w:r>
      <w:r w:rsidR="004839C9" w:rsidRPr="6A9E2235">
        <w:rPr>
          <w:rFonts w:cstheme="minorBidi"/>
        </w:rPr>
        <w:t xml:space="preserve">ohort </w:t>
      </w:r>
      <w:r w:rsidR="009208BC" w:rsidRPr="6A9E2235">
        <w:rPr>
          <w:rFonts w:cstheme="minorBidi"/>
        </w:rPr>
        <w:t xml:space="preserve">data </w:t>
      </w:r>
      <w:proofErr w:type="gramStart"/>
      <w:r w:rsidR="00DC1DA2" w:rsidRPr="6A9E2235">
        <w:rPr>
          <w:rFonts w:cstheme="minorBidi"/>
        </w:rPr>
        <w:t>capture</w:t>
      </w:r>
      <w:proofErr w:type="gramEnd"/>
      <w:r w:rsidR="00DC1DA2" w:rsidRPr="6A9E2235">
        <w:rPr>
          <w:rFonts w:cstheme="minorBidi"/>
        </w:rPr>
        <w:t xml:space="preserve"> the</w:t>
      </w:r>
      <w:r w:rsidR="004839C9" w:rsidRPr="6A9E2235">
        <w:rPr>
          <w:rFonts w:cstheme="minorBidi"/>
        </w:rPr>
        <w:t xml:space="preserve"> net worth of </w:t>
      </w:r>
      <w:r w:rsidR="009646FE" w:rsidRPr="6A9E2235">
        <w:rPr>
          <w:rFonts w:cstheme="minorBidi"/>
        </w:rPr>
        <w:t>respondent</w:t>
      </w:r>
      <w:r w:rsidR="000D5FED">
        <w:rPr>
          <w:rFonts w:cstheme="minorBidi"/>
        </w:rPr>
        <w:t>s</w:t>
      </w:r>
      <w:r w:rsidR="004839C9" w:rsidRPr="6A9E2235">
        <w:rPr>
          <w:rFonts w:cstheme="minorBidi"/>
        </w:rPr>
        <w:t xml:space="preserve"> at age 25, 30, 35</w:t>
      </w:r>
      <w:r w:rsidR="003D4E2C" w:rsidRPr="6A9E2235">
        <w:rPr>
          <w:rFonts w:cstheme="minorBidi"/>
        </w:rPr>
        <w:t xml:space="preserve">, and so on, permitting a longer-term </w:t>
      </w:r>
      <w:r w:rsidR="3ADD55B7" w:rsidRPr="5E154477">
        <w:rPr>
          <w:rFonts w:cstheme="minorBidi"/>
        </w:rPr>
        <w:t>view</w:t>
      </w:r>
      <w:r w:rsidR="003D4E2C" w:rsidRPr="6A9E2235">
        <w:rPr>
          <w:rFonts w:cstheme="minorBidi"/>
        </w:rPr>
        <w:t xml:space="preserve"> </w:t>
      </w:r>
      <w:r w:rsidR="000D5FED">
        <w:rPr>
          <w:rFonts w:cstheme="minorBidi"/>
        </w:rPr>
        <w:t>of</w:t>
      </w:r>
      <w:r w:rsidR="000D5FED" w:rsidRPr="6A9E2235">
        <w:rPr>
          <w:rFonts w:cstheme="minorBidi"/>
        </w:rPr>
        <w:t xml:space="preserve"> </w:t>
      </w:r>
      <w:r w:rsidR="003D4E2C" w:rsidRPr="6A9E2235">
        <w:rPr>
          <w:rFonts w:cstheme="minorBidi"/>
        </w:rPr>
        <w:t>their wealth</w:t>
      </w:r>
      <w:r w:rsidR="008F7D93" w:rsidRPr="6A9E2235">
        <w:rPr>
          <w:rFonts w:cstheme="minorBidi"/>
        </w:rPr>
        <w:t xml:space="preserve"> relative to the wealth of their parents in the pre-college period</w:t>
      </w:r>
      <w:r w:rsidR="006D6353" w:rsidRPr="6A9E2235" w:rsidDel="008F7D93">
        <w:rPr>
          <w:rFonts w:cstheme="minorBidi"/>
        </w:rPr>
        <w:t>.</w:t>
      </w:r>
      <w:r w:rsidR="00132D77">
        <w:rPr>
          <w:rFonts w:cstheme="minorBidi"/>
        </w:rPr>
        <w:t xml:space="preserve"> </w:t>
      </w:r>
    </w:p>
    <w:p w14:paraId="6AA77DB2" w14:textId="77777777" w:rsidR="00DA6C86" w:rsidRDefault="00DA6C86" w:rsidP="004B1105">
      <w:pPr>
        <w:pStyle w:val="NoSpacing"/>
      </w:pPr>
    </w:p>
    <w:p w14:paraId="1CF2A7EA" w14:textId="7EC2C073" w:rsidR="000F23D8" w:rsidRPr="00AA3200" w:rsidRDefault="00A76A67" w:rsidP="00FB60EF">
      <w:pPr>
        <w:pStyle w:val="NoSpacing"/>
        <w:numPr>
          <w:ilvl w:val="0"/>
          <w:numId w:val="4"/>
        </w:numPr>
      </w:pPr>
      <w:r w:rsidRPr="00AA3200">
        <w:rPr>
          <w:b/>
          <w:bCs/>
          <w:i/>
          <w:iCs/>
        </w:rPr>
        <w:t xml:space="preserve">Ask </w:t>
      </w:r>
      <w:r w:rsidR="007C40D1" w:rsidRPr="00AA3200">
        <w:rPr>
          <w:b/>
          <w:bCs/>
          <w:i/>
          <w:iCs/>
        </w:rPr>
        <w:t xml:space="preserve">respondents to </w:t>
      </w:r>
      <w:r>
        <w:rPr>
          <w:b/>
          <w:bCs/>
          <w:i/>
          <w:iCs/>
        </w:rPr>
        <w:t>t</w:t>
      </w:r>
      <w:r w:rsidR="000E468A" w:rsidRPr="00AA3200">
        <w:rPr>
          <w:b/>
          <w:bCs/>
          <w:i/>
          <w:iCs/>
        </w:rPr>
        <w:t>he</w:t>
      </w:r>
      <w:r w:rsidR="00480360" w:rsidRPr="00AA3200">
        <w:rPr>
          <w:b/>
          <w:bCs/>
          <w:i/>
          <w:iCs/>
        </w:rPr>
        <w:t xml:space="preserve"> National Financial Capability </w:t>
      </w:r>
      <w:r w:rsidR="00EF2AFF" w:rsidRPr="00AA3200">
        <w:rPr>
          <w:b/>
          <w:bCs/>
          <w:i/>
          <w:iCs/>
        </w:rPr>
        <w:t>Study</w:t>
      </w:r>
      <w:r w:rsidR="00480360" w:rsidRPr="00AA3200">
        <w:rPr>
          <w:b/>
          <w:bCs/>
          <w:i/>
          <w:iCs/>
        </w:rPr>
        <w:t xml:space="preserve"> </w:t>
      </w:r>
      <w:r w:rsidR="00AC4D87" w:rsidRPr="00AA3200">
        <w:rPr>
          <w:b/>
          <w:bCs/>
          <w:i/>
          <w:iCs/>
        </w:rPr>
        <w:t>(NFCS) State</w:t>
      </w:r>
      <w:r w:rsidR="000059A5">
        <w:rPr>
          <w:b/>
          <w:bCs/>
          <w:i/>
          <w:iCs/>
        </w:rPr>
        <w:t>-</w:t>
      </w:r>
      <w:r w:rsidR="00AC4D87" w:rsidRPr="00AA3200">
        <w:rPr>
          <w:b/>
          <w:bCs/>
          <w:i/>
          <w:iCs/>
        </w:rPr>
        <w:t>by</w:t>
      </w:r>
      <w:r w:rsidR="000059A5">
        <w:rPr>
          <w:b/>
          <w:bCs/>
          <w:i/>
          <w:iCs/>
        </w:rPr>
        <w:t>-</w:t>
      </w:r>
      <w:r w:rsidR="00AC4D87" w:rsidRPr="00AA3200">
        <w:rPr>
          <w:b/>
          <w:bCs/>
          <w:i/>
          <w:iCs/>
        </w:rPr>
        <w:t>State Survey</w:t>
      </w:r>
      <w:r w:rsidR="00F91456">
        <w:rPr>
          <w:b/>
          <w:bCs/>
          <w:i/>
          <w:iCs/>
        </w:rPr>
        <w:t xml:space="preserve"> to </w:t>
      </w:r>
      <w:r w:rsidR="00F91456" w:rsidRPr="00AA3200">
        <w:rPr>
          <w:b/>
          <w:bCs/>
          <w:i/>
          <w:iCs/>
        </w:rPr>
        <w:t xml:space="preserve">report total </w:t>
      </w:r>
      <w:proofErr w:type="gramStart"/>
      <w:r w:rsidR="00F91456" w:rsidRPr="00AA3200">
        <w:rPr>
          <w:b/>
          <w:bCs/>
          <w:i/>
          <w:iCs/>
        </w:rPr>
        <w:t>asset</w:t>
      </w:r>
      <w:proofErr w:type="gramEnd"/>
      <w:r w:rsidR="00F91456" w:rsidRPr="00AA3200">
        <w:rPr>
          <w:b/>
          <w:bCs/>
          <w:i/>
          <w:iCs/>
        </w:rPr>
        <w:t xml:space="preserve"> and total debt amounts</w:t>
      </w:r>
      <w:r w:rsidR="00166B94" w:rsidRPr="00AA3200">
        <w:rPr>
          <w:b/>
          <w:bCs/>
          <w:i/>
          <w:iCs/>
        </w:rPr>
        <w:t>.</w:t>
      </w:r>
      <w:r w:rsidR="00F923C1" w:rsidRPr="00AA3200">
        <w:t xml:space="preserve"> The </w:t>
      </w:r>
      <w:r w:rsidR="00851EBC" w:rsidRPr="00AA3200">
        <w:t xml:space="preserve">design of the NFCS to help </w:t>
      </w:r>
      <w:r w:rsidR="007C40D1" w:rsidRPr="00AA3200">
        <w:t>decision</w:t>
      </w:r>
      <w:r w:rsidR="007C40D1">
        <w:t>-</w:t>
      </w:r>
      <w:r w:rsidR="00657E8D" w:rsidRPr="00AA3200">
        <w:t xml:space="preserve">makers assess the financial knowledge, resources, </w:t>
      </w:r>
      <w:r w:rsidR="0004409B" w:rsidRPr="00AA3200">
        <w:t>access, experiences</w:t>
      </w:r>
      <w:r w:rsidR="00A6152B">
        <w:t>,</w:t>
      </w:r>
      <w:r w:rsidR="0004409B" w:rsidRPr="00AA3200">
        <w:t xml:space="preserve"> and attitudes of U.S. adults</w:t>
      </w:r>
      <w:r w:rsidR="00842FB2" w:rsidRPr="00AA3200">
        <w:t xml:space="preserve"> </w:t>
      </w:r>
      <w:r w:rsidR="0004409B" w:rsidRPr="00AA3200">
        <w:t xml:space="preserve">would be </w:t>
      </w:r>
      <w:r w:rsidR="00552C3C" w:rsidRPr="00AA3200">
        <w:t xml:space="preserve">strengthened by assessing </w:t>
      </w:r>
      <w:r w:rsidR="000A6A92" w:rsidRPr="00AA3200">
        <w:t>the total assets and total debts held by respo</w:t>
      </w:r>
      <w:r w:rsidR="00DA0323" w:rsidRPr="00AA3200">
        <w:t xml:space="preserve">ndents. Currently, the survey </w:t>
      </w:r>
      <w:r w:rsidR="002523F4" w:rsidRPr="00AA3200">
        <w:t>prompts</w:t>
      </w:r>
      <w:r w:rsidR="00DA0323" w:rsidRPr="00AA3200">
        <w:t xml:space="preserve"> respondents to report </w:t>
      </w:r>
      <w:r w:rsidR="002523F4" w:rsidRPr="00AA3200">
        <w:t xml:space="preserve">only </w:t>
      </w:r>
      <w:r w:rsidR="00DA0323" w:rsidRPr="00AA3200">
        <w:t>their income</w:t>
      </w:r>
      <w:r w:rsidR="00DA0323" w:rsidRPr="00AA3200">
        <w:rPr>
          <w:b/>
          <w:bCs/>
        </w:rPr>
        <w:t>,</w:t>
      </w:r>
      <w:r w:rsidR="002523F4" w:rsidRPr="00AA3200">
        <w:rPr>
          <w:b/>
          <w:bCs/>
        </w:rPr>
        <w:t xml:space="preserve"> </w:t>
      </w:r>
      <w:r w:rsidR="002523F4" w:rsidRPr="00AA3200">
        <w:t xml:space="preserve">but </w:t>
      </w:r>
      <w:r w:rsidR="00B371D5" w:rsidRPr="00AA3200">
        <w:t xml:space="preserve">assessing total financial assets and debts would </w:t>
      </w:r>
      <w:r w:rsidR="002523F4" w:rsidRPr="00AA3200">
        <w:t xml:space="preserve">deepen understanding of the full financial resources available to Americans of </w:t>
      </w:r>
      <w:r w:rsidR="00433EB8" w:rsidRPr="00AA3200">
        <w:t>all walks of life</w:t>
      </w:r>
      <w:r w:rsidR="00B371D5" w:rsidRPr="00AA3200">
        <w:t xml:space="preserve">. Ideally, asset and debt measures would report </w:t>
      </w:r>
      <w:r w:rsidR="00AF2E20" w:rsidRPr="00AA3200">
        <w:t>amounts separately</w:t>
      </w:r>
      <w:r w:rsidR="007F1374">
        <w:t xml:space="preserve"> by type of asset and type of </w:t>
      </w:r>
      <w:proofErr w:type="gramStart"/>
      <w:r w:rsidR="007F1374">
        <w:t>debt</w:t>
      </w:r>
      <w:r w:rsidR="00AF2E20" w:rsidRPr="00AA3200">
        <w:t xml:space="preserve">, </w:t>
      </w:r>
      <w:r w:rsidR="007F1374">
        <w:t>but</w:t>
      </w:r>
      <w:proofErr w:type="gramEnd"/>
      <w:r w:rsidR="007C2D97">
        <w:t xml:space="preserve"> should</w:t>
      </w:r>
      <w:r w:rsidR="0006063D" w:rsidRPr="00AA3200">
        <w:t xml:space="preserve"> </w:t>
      </w:r>
      <w:r w:rsidR="00963216" w:rsidRPr="00AA3200">
        <w:t xml:space="preserve">minimally </w:t>
      </w:r>
      <w:r w:rsidR="00FA7B86" w:rsidRPr="00AA3200">
        <w:t>collect information on these</w:t>
      </w:r>
      <w:r w:rsidR="00276618" w:rsidRPr="00AA3200">
        <w:t xml:space="preserve"> overall</w:t>
      </w:r>
      <w:r w:rsidR="00FA7B86" w:rsidRPr="00AA3200">
        <w:t xml:space="preserve"> two measures</w:t>
      </w:r>
      <w:r w:rsidR="00BC7793" w:rsidRPr="00AA3200">
        <w:t xml:space="preserve"> (total assets and total debts). </w:t>
      </w:r>
      <w:r w:rsidR="0067734D" w:rsidRPr="00AA3200">
        <w:t xml:space="preserve">In addition to the information these measures could separately provide on the financial </w:t>
      </w:r>
      <w:r w:rsidR="00803A8E">
        <w:t xml:space="preserve">resources </w:t>
      </w:r>
      <w:r w:rsidR="0067734D" w:rsidRPr="00AA3200">
        <w:t>of American families, the</w:t>
      </w:r>
      <w:r w:rsidR="00BC7793" w:rsidRPr="00AA3200">
        <w:t xml:space="preserve"> two </w:t>
      </w:r>
      <w:r w:rsidR="0067734D" w:rsidRPr="00AA3200">
        <w:t>measures could jointly provide a</w:t>
      </w:r>
      <w:r w:rsidR="006A003B" w:rsidRPr="00AA3200">
        <w:t xml:space="preserve">n </w:t>
      </w:r>
      <w:r w:rsidR="0067734D" w:rsidRPr="00AA3200">
        <w:t>estimate of</w:t>
      </w:r>
      <w:r w:rsidR="00BC7793" w:rsidRPr="00AA3200">
        <w:t xml:space="preserve"> </w:t>
      </w:r>
      <w:r w:rsidR="00D150F1">
        <w:t xml:space="preserve">the </w:t>
      </w:r>
      <w:r w:rsidR="00BC7793" w:rsidRPr="00AA3200">
        <w:t>net worth</w:t>
      </w:r>
      <w:r w:rsidR="002D4DE9" w:rsidRPr="00AA3200">
        <w:t xml:space="preserve"> </w:t>
      </w:r>
      <w:r w:rsidR="006A003B" w:rsidRPr="00AA3200">
        <w:t>of respondents.</w:t>
      </w:r>
    </w:p>
    <w:p w14:paraId="08352C20" w14:textId="77777777" w:rsidR="0077695A" w:rsidRPr="004D565B" w:rsidRDefault="0077695A" w:rsidP="004B1105">
      <w:pPr>
        <w:pStyle w:val="NoSpacing"/>
        <w:ind w:left="720"/>
      </w:pPr>
    </w:p>
    <w:p w14:paraId="647318E8" w14:textId="78B0C310" w:rsidR="003E0540" w:rsidRPr="00EC3DD5" w:rsidRDefault="000F23D8" w:rsidP="00FB60EF">
      <w:pPr>
        <w:pStyle w:val="NoSpacing"/>
        <w:numPr>
          <w:ilvl w:val="0"/>
          <w:numId w:val="4"/>
        </w:numPr>
        <w:rPr>
          <w:rFonts w:eastAsiaTheme="minorEastAsia"/>
          <w:b/>
        </w:rPr>
      </w:pPr>
      <w:r w:rsidRPr="00065B97">
        <w:rPr>
          <w:b/>
          <w:bCs/>
          <w:i/>
          <w:iCs/>
        </w:rPr>
        <w:t>A</w:t>
      </w:r>
      <w:r w:rsidR="00A76A67">
        <w:rPr>
          <w:b/>
          <w:bCs/>
          <w:i/>
          <w:iCs/>
        </w:rPr>
        <w:t xml:space="preserve">dd </w:t>
      </w:r>
      <w:r w:rsidR="009759D8">
        <w:rPr>
          <w:b/>
          <w:bCs/>
          <w:i/>
          <w:iCs/>
        </w:rPr>
        <w:t>more</w:t>
      </w:r>
      <w:r w:rsidRPr="00065B97">
        <w:rPr>
          <w:b/>
          <w:bCs/>
          <w:i/>
          <w:iCs/>
        </w:rPr>
        <w:t xml:space="preserve"> </w:t>
      </w:r>
      <w:r w:rsidR="002035BC" w:rsidRPr="00065B97">
        <w:rPr>
          <w:b/>
          <w:bCs/>
          <w:i/>
          <w:iCs/>
        </w:rPr>
        <w:t xml:space="preserve">higher education measures </w:t>
      </w:r>
      <w:r w:rsidR="00F1079E" w:rsidRPr="00065B97">
        <w:rPr>
          <w:b/>
          <w:bCs/>
          <w:i/>
          <w:iCs/>
        </w:rPr>
        <w:t>to the Survey of Consumer Finances</w:t>
      </w:r>
      <w:r w:rsidR="00A61C39">
        <w:rPr>
          <w:b/>
          <w:bCs/>
          <w:i/>
          <w:iCs/>
        </w:rPr>
        <w:t xml:space="preserve"> (SCF). </w:t>
      </w:r>
      <w:r w:rsidR="00A61C39" w:rsidRPr="00AA3200">
        <w:t xml:space="preserve">The SCF </w:t>
      </w:r>
      <w:r w:rsidR="00AA3200" w:rsidRPr="00AA3200">
        <w:t xml:space="preserve">is considered the gold standard for collecting information on </w:t>
      </w:r>
      <w:r w:rsidR="00D150F1">
        <w:t xml:space="preserve">the </w:t>
      </w:r>
      <w:r w:rsidR="00AA3200" w:rsidRPr="00AA3200">
        <w:t>wealth of American famili</w:t>
      </w:r>
      <w:r w:rsidR="00AA3200">
        <w:t>es</w:t>
      </w:r>
      <w:r w:rsidR="00D150F1">
        <w:t>,</w:t>
      </w:r>
      <w:r w:rsidR="00AA3200">
        <w:t xml:space="preserve"> due to the </w:t>
      </w:r>
      <w:r w:rsidR="00282048">
        <w:t>breadth and depth of asset and debt information collected</w:t>
      </w:r>
      <w:r w:rsidR="00AD6B80">
        <w:t xml:space="preserve">, as well as the </w:t>
      </w:r>
      <w:r w:rsidR="00975BFC">
        <w:t>design</w:t>
      </w:r>
      <w:r w:rsidR="00D150F1">
        <w:t>,</w:t>
      </w:r>
      <w:r w:rsidR="00975BFC">
        <w:t xml:space="preserve"> which oversamples </w:t>
      </w:r>
      <w:r w:rsidR="00D150F1">
        <w:t>high-</w:t>
      </w:r>
      <w:r w:rsidR="00975BFC">
        <w:t>wealth families.</w:t>
      </w:r>
      <w:r w:rsidR="00574090">
        <w:t xml:space="preserve"> </w:t>
      </w:r>
      <w:r w:rsidR="002922D8">
        <w:t>However, it currently collects limited information about higher education</w:t>
      </w:r>
      <w:r w:rsidR="006820F2">
        <w:t xml:space="preserve"> experience</w:t>
      </w:r>
      <w:r w:rsidR="00992661">
        <w:t xml:space="preserve">s. To </w:t>
      </w:r>
      <w:r w:rsidR="00C37C8F">
        <w:t xml:space="preserve">shed more light on the </w:t>
      </w:r>
      <w:r w:rsidR="00EB3FE9">
        <w:t xml:space="preserve">relationship between wealth and higher education, </w:t>
      </w:r>
      <w:r w:rsidR="00F6354A">
        <w:t xml:space="preserve">SCF respondents should be asked to report on </w:t>
      </w:r>
      <w:r w:rsidR="00383FF4">
        <w:t xml:space="preserve">the </w:t>
      </w:r>
      <w:r w:rsidR="00395EC3">
        <w:t xml:space="preserve">types of colleges they (and if applicable, their children) </w:t>
      </w:r>
      <w:r w:rsidR="00901965">
        <w:t>attended,</w:t>
      </w:r>
      <w:r w:rsidR="00AA2FBA">
        <w:t xml:space="preserve"> how such college experiences were financed,</w:t>
      </w:r>
      <w:r w:rsidR="00901965">
        <w:t xml:space="preserve"> </w:t>
      </w:r>
      <w:r w:rsidR="00065B97">
        <w:t xml:space="preserve">and </w:t>
      </w:r>
      <w:r w:rsidR="00142AA7">
        <w:t>the educational attainment outcomes of their children</w:t>
      </w:r>
      <w:r w:rsidR="00065B97">
        <w:t>.</w:t>
      </w:r>
      <w:r w:rsidR="00142AA7">
        <w:t xml:space="preserve"> </w:t>
      </w:r>
    </w:p>
    <w:p w14:paraId="69C78208" w14:textId="77777777" w:rsidR="007C4DE0" w:rsidRDefault="007C4DE0" w:rsidP="004B1105">
      <w:pPr>
        <w:pStyle w:val="ListParagraph"/>
      </w:pPr>
    </w:p>
    <w:p w14:paraId="7EBB12A7" w14:textId="105E0A98" w:rsidR="007C4DE0" w:rsidRPr="000064EA" w:rsidRDefault="007C4DE0" w:rsidP="00FB60EF">
      <w:pPr>
        <w:pStyle w:val="ListParagraph"/>
        <w:numPr>
          <w:ilvl w:val="0"/>
          <w:numId w:val="4"/>
        </w:numPr>
        <w:rPr>
          <w:b/>
          <w:i/>
        </w:rPr>
      </w:pPr>
      <w:r w:rsidRPr="001F51DB">
        <w:rPr>
          <w:b/>
          <w:bCs/>
          <w:i/>
          <w:iCs/>
        </w:rPr>
        <w:t xml:space="preserve">Oversample </w:t>
      </w:r>
      <w:r w:rsidR="002035BC" w:rsidRPr="001F51DB">
        <w:rPr>
          <w:b/>
          <w:bCs/>
          <w:i/>
          <w:iCs/>
        </w:rPr>
        <w:t xml:space="preserve">small populations to build sufficient sample </w:t>
      </w:r>
      <w:r w:rsidR="002035BC">
        <w:rPr>
          <w:b/>
          <w:bCs/>
          <w:i/>
          <w:iCs/>
        </w:rPr>
        <w:t>s</w:t>
      </w:r>
      <w:r w:rsidR="002035BC" w:rsidRPr="000064EA">
        <w:rPr>
          <w:b/>
          <w:bCs/>
          <w:i/>
          <w:iCs/>
        </w:rPr>
        <w:t>ize</w:t>
      </w:r>
      <w:r w:rsidR="002035BC">
        <w:rPr>
          <w:b/>
          <w:bCs/>
          <w:i/>
          <w:iCs/>
        </w:rPr>
        <w:t>s</w:t>
      </w:r>
      <w:r w:rsidRPr="000064EA">
        <w:rPr>
          <w:b/>
          <w:bCs/>
          <w:i/>
          <w:iCs/>
        </w:rPr>
        <w:t>.</w:t>
      </w:r>
      <w:r w:rsidRPr="000064EA">
        <w:rPr>
          <w:b/>
          <w:i/>
        </w:rPr>
        <w:t xml:space="preserve"> </w:t>
      </w:r>
      <w:r w:rsidR="00655121" w:rsidRPr="001F51DB">
        <w:t xml:space="preserve">To broaden research </w:t>
      </w:r>
      <w:r w:rsidR="00EE49A1" w:rsidRPr="001F51DB">
        <w:t xml:space="preserve">on wealth and higher education beyond traditionally covered populations (e.g., Black, Latinx, White), researchers need access to sufficiently large sample sizes for </w:t>
      </w:r>
      <w:r w:rsidR="00254FE2" w:rsidRPr="001F51DB">
        <w:t>diverse</w:t>
      </w:r>
      <w:r w:rsidR="00EE49A1" w:rsidRPr="001F51DB">
        <w:t xml:space="preserve"> </w:t>
      </w:r>
      <w:r w:rsidR="00254FE2" w:rsidRPr="001F51DB">
        <w:t>populations.</w:t>
      </w:r>
      <w:r w:rsidRPr="001F51DB">
        <w:rPr>
          <w:b/>
        </w:rPr>
        <w:t xml:space="preserve"> </w:t>
      </w:r>
      <w:r w:rsidR="005F7CFD" w:rsidRPr="001F51DB">
        <w:t xml:space="preserve">Where possible, data collections should seek to oversample </w:t>
      </w:r>
      <w:r w:rsidR="00EA68AB" w:rsidRPr="001F51DB">
        <w:t>populations typically omitted or grouped together</w:t>
      </w:r>
      <w:r w:rsidR="000C2F86">
        <w:t xml:space="preserve">, </w:t>
      </w:r>
      <w:r w:rsidR="009E5DFC">
        <w:t>such as</w:t>
      </w:r>
      <w:r w:rsidR="00752E99">
        <w:t xml:space="preserve"> American Indian or Alaska Native</w:t>
      </w:r>
      <w:r w:rsidR="009063CE">
        <w:t>,</w:t>
      </w:r>
      <w:r w:rsidR="009E5DFC">
        <w:t xml:space="preserve"> </w:t>
      </w:r>
      <w:r w:rsidR="00B8291C">
        <w:t>Asian American</w:t>
      </w:r>
      <w:r w:rsidR="002C392B">
        <w:t>,</w:t>
      </w:r>
      <w:r w:rsidR="00B2206C">
        <w:t xml:space="preserve"> Native Hawaiian or </w:t>
      </w:r>
      <w:r w:rsidR="00BC3D58">
        <w:t>o</w:t>
      </w:r>
      <w:r w:rsidR="00B2206C">
        <w:t>ther Pacific Islander</w:t>
      </w:r>
      <w:r w:rsidR="002C392B">
        <w:t xml:space="preserve"> </w:t>
      </w:r>
      <w:r w:rsidR="000C2F86">
        <w:t>individuals</w:t>
      </w:r>
      <w:r w:rsidR="00EA68AB" w:rsidRPr="001F51DB">
        <w:t xml:space="preserve"> in order to </w:t>
      </w:r>
      <w:r w:rsidR="0015438D" w:rsidRPr="001F51DB">
        <w:t>enable reporting disaggregated findings for more racial and ethnic groups</w:t>
      </w:r>
      <w:r w:rsidR="00505ACB">
        <w:t xml:space="preserve"> </w:t>
      </w:r>
      <w:r w:rsidR="00505ACB" w:rsidRPr="001F51DB">
        <w:rPr>
          <w:rFonts w:cstheme="minorBidi"/>
        </w:rPr>
        <w:t xml:space="preserve">(see IHEP’s </w:t>
      </w:r>
      <w:r w:rsidR="00E043E7" w:rsidRPr="00F12147">
        <w:t>recommendations</w:t>
      </w:r>
      <w:r w:rsidR="00505ACB" w:rsidRPr="001F51DB">
        <w:rPr>
          <w:rFonts w:cstheme="minorBidi"/>
        </w:rPr>
        <w:t xml:space="preserve"> for improved data on </w:t>
      </w:r>
      <w:hyperlink r:id="rId27" w:history="1">
        <w:r w:rsidR="00505ACB" w:rsidRPr="002362A7">
          <w:rPr>
            <w:rStyle w:val="Hyperlink"/>
            <w:rFonts w:cstheme="minorBidi"/>
          </w:rPr>
          <w:t>Asian Americans and Pacific Islanders</w:t>
        </w:r>
      </w:hyperlink>
      <w:r w:rsidR="00505ACB" w:rsidRPr="001F51DB">
        <w:rPr>
          <w:rFonts w:cstheme="minorBidi"/>
        </w:rPr>
        <w:t xml:space="preserve">, and </w:t>
      </w:r>
      <w:hyperlink r:id="rId28" w:history="1">
        <w:r w:rsidR="00505ACB" w:rsidRPr="00E043E7">
          <w:rPr>
            <w:rStyle w:val="Hyperlink"/>
            <w:rFonts w:cstheme="minorBidi"/>
          </w:rPr>
          <w:t>American Indian and Alaska Native</w:t>
        </w:r>
      </w:hyperlink>
      <w:r w:rsidR="00505ACB" w:rsidRPr="001F51DB">
        <w:rPr>
          <w:rFonts w:cstheme="minorBidi"/>
        </w:rPr>
        <w:t xml:space="preserve"> populations).</w:t>
      </w:r>
      <w:r w:rsidR="00505ACB" w:rsidRPr="001F51DB">
        <w:rPr>
          <w:rStyle w:val="EndnoteReference"/>
          <w:rFonts w:cstheme="minorBidi"/>
        </w:rPr>
        <w:endnoteReference w:id="66"/>
      </w:r>
      <w:r w:rsidR="00505ACB" w:rsidRPr="001F51DB">
        <w:rPr>
          <w:rFonts w:cstheme="minorBidi"/>
        </w:rPr>
        <w:t xml:space="preserve"> </w:t>
      </w:r>
      <w:r w:rsidR="00797742">
        <w:t xml:space="preserve"> </w:t>
      </w:r>
    </w:p>
    <w:p w14:paraId="4BD71335" w14:textId="77777777" w:rsidR="00A66ACE" w:rsidRPr="00C3310F" w:rsidRDefault="00A66ACE" w:rsidP="004B1105">
      <w:pPr>
        <w:pStyle w:val="NoSpacing"/>
      </w:pPr>
    </w:p>
    <w:p w14:paraId="25021759" w14:textId="401A60E0" w:rsidR="00EC3DD5" w:rsidRPr="00C3310F" w:rsidRDefault="00EC3DD5" w:rsidP="004B1105">
      <w:pPr>
        <w:pStyle w:val="ListParagraph"/>
      </w:pPr>
      <w:r w:rsidRPr="00F12147">
        <w:rPr>
          <w:b/>
          <w:bCs/>
          <w:i/>
          <w:iCs/>
        </w:rPr>
        <w:t xml:space="preserve">Collect </w:t>
      </w:r>
      <w:r w:rsidR="002035BC" w:rsidRPr="002035BC">
        <w:rPr>
          <w:b/>
          <w:bCs/>
          <w:i/>
          <w:iCs/>
        </w:rPr>
        <w:t>multiple measures of race and ethnicity</w:t>
      </w:r>
      <w:r w:rsidRPr="00F12147">
        <w:rPr>
          <w:b/>
          <w:bCs/>
          <w:i/>
          <w:iCs/>
        </w:rPr>
        <w:t xml:space="preserve">. </w:t>
      </w:r>
      <w:r w:rsidRPr="002035BC">
        <w:t xml:space="preserve">Survey instruments should permit </w:t>
      </w:r>
      <w:r>
        <w:t>respondents to report more than one racial category. For example, t</w:t>
      </w:r>
      <w:r w:rsidRPr="51A8C529">
        <w:t xml:space="preserve">he </w:t>
      </w:r>
      <w:r>
        <w:t>Panel Study of Income Dynamics (</w:t>
      </w:r>
      <w:r w:rsidRPr="51A8C529">
        <w:t>PSID</w:t>
      </w:r>
      <w:r>
        <w:t>)</w:t>
      </w:r>
      <w:r w:rsidRPr="51A8C529">
        <w:t xml:space="preserve"> collect</w:t>
      </w:r>
      <w:r>
        <w:t>s</w:t>
      </w:r>
      <w:r w:rsidRPr="51A8C529">
        <w:t xml:space="preserve"> multiple </w:t>
      </w:r>
      <w:r>
        <w:t xml:space="preserve">race and ethnicity </w:t>
      </w:r>
      <w:r w:rsidRPr="51A8C529">
        <w:t xml:space="preserve">measures for each iteration of the survey, allowing researchers to create </w:t>
      </w:r>
      <w:r>
        <w:t>granular</w:t>
      </w:r>
      <w:r w:rsidRPr="51A8C529">
        <w:t xml:space="preserve"> categories of race and ethnicity</w:t>
      </w:r>
      <w:r>
        <w:t xml:space="preserve"> (e.g., </w:t>
      </w:r>
      <w:r w:rsidRPr="002262EC">
        <w:rPr>
          <w:i/>
          <w:iCs/>
        </w:rPr>
        <w:t>Black, non-Latinx</w:t>
      </w:r>
      <w:r w:rsidR="004F5C03">
        <w:t xml:space="preserve">; </w:t>
      </w:r>
      <w:r w:rsidRPr="002262EC">
        <w:rPr>
          <w:i/>
          <w:iCs/>
        </w:rPr>
        <w:t>Black, Latinx</w:t>
      </w:r>
      <w:r w:rsidR="004F5C03">
        <w:rPr>
          <w:i/>
          <w:iCs/>
        </w:rPr>
        <w:t xml:space="preserve">; </w:t>
      </w:r>
      <w:r>
        <w:rPr>
          <w:i/>
          <w:iCs/>
        </w:rPr>
        <w:t>etc.</w:t>
      </w:r>
      <w:r>
        <w:t>). This facilitates</w:t>
      </w:r>
      <w:r w:rsidR="00B40D24">
        <w:t xml:space="preserve"> the</w:t>
      </w:r>
      <w:r>
        <w:t xml:space="preserve"> </w:t>
      </w:r>
      <w:r w:rsidR="004F5C03">
        <w:t xml:space="preserve">analysis of </w:t>
      </w:r>
      <w:proofErr w:type="spellStart"/>
      <w:r>
        <w:t>intersectionalities</w:t>
      </w:r>
      <w:proofErr w:type="spellEnd"/>
      <w:r>
        <w:t>—overlapping aspects of identity—and</w:t>
      </w:r>
      <w:r w:rsidR="009662C1">
        <w:t xml:space="preserve"> of</w:t>
      </w:r>
      <w:r>
        <w:t xml:space="preserve"> inequities in higher education for students with</w:t>
      </w:r>
      <w:r w:rsidRPr="51A8C529">
        <w:t xml:space="preserve"> complex race and ethnicity categories</w:t>
      </w:r>
      <w:r>
        <w:t>. This is especially important for</w:t>
      </w:r>
      <w:r w:rsidRPr="51A8C529" w:rsidDel="00783F56">
        <w:t xml:space="preserve"> </w:t>
      </w:r>
      <w:r>
        <w:t>equity-focused</w:t>
      </w:r>
      <w:r w:rsidRPr="51A8C529" w:rsidDel="00783F56">
        <w:t xml:space="preserve"> </w:t>
      </w:r>
      <w:r w:rsidRPr="51A8C529">
        <w:t>studies</w:t>
      </w:r>
      <w:r>
        <w:t xml:space="preserve"> seeking</w:t>
      </w:r>
      <w:r w:rsidRPr="51A8C529">
        <w:t xml:space="preserve"> to find associations or infer causal effects</w:t>
      </w:r>
      <w:r>
        <w:t>.</w:t>
      </w:r>
      <w:r w:rsidRPr="51A8C529">
        <w:t xml:space="preserve"> </w:t>
      </w:r>
    </w:p>
    <w:p w14:paraId="5B26CE8D" w14:textId="6A9EAD92" w:rsidR="00701169" w:rsidRPr="003E7E1B" w:rsidRDefault="009B1378" w:rsidP="004B1105">
      <w:pPr>
        <w:pStyle w:val="Heading1"/>
      </w:pPr>
      <w:bookmarkStart w:id="42" w:name="_Toc167901757"/>
      <w:r w:rsidRPr="004E7D53">
        <w:t>Conclusion</w:t>
      </w:r>
      <w:bookmarkEnd w:id="42"/>
    </w:p>
    <w:p w14:paraId="08463F46" w14:textId="77777777" w:rsidR="00D64AEB" w:rsidRPr="00293ACB" w:rsidRDefault="00D64AEB" w:rsidP="004B1105"/>
    <w:p w14:paraId="79459E59" w14:textId="2247ABCA" w:rsidR="00CD63F8" w:rsidRPr="00293ACB" w:rsidRDefault="003078EB" w:rsidP="004B1105">
      <w:pPr>
        <w:pStyle w:val="NoSpacing"/>
        <w:rPr>
          <w:rFonts w:ascii="Calibri" w:eastAsia="Calibri" w:hAnsi="Calibri" w:cs="Calibri"/>
        </w:rPr>
      </w:pPr>
      <w:r>
        <w:lastRenderedPageBreak/>
        <w:t>L</w:t>
      </w:r>
      <w:r w:rsidR="002461A0">
        <w:t>ongstanding</w:t>
      </w:r>
      <w:r>
        <w:t xml:space="preserve"> and pernicious</w:t>
      </w:r>
      <w:r w:rsidR="002461A0">
        <w:t xml:space="preserve"> disparities in wealth</w:t>
      </w:r>
      <w:r w:rsidR="00F5205C">
        <w:t xml:space="preserve"> </w:t>
      </w:r>
      <w:r w:rsidR="002461A0">
        <w:t>are</w:t>
      </w:r>
      <w:r w:rsidR="00F5205C">
        <w:t xml:space="preserve"> </w:t>
      </w:r>
      <w:r w:rsidR="002D3E18">
        <w:t xml:space="preserve">the result of </w:t>
      </w:r>
      <w:r w:rsidR="00826456">
        <w:t>decades-long</w:t>
      </w:r>
      <w:r w:rsidR="002D3E18">
        <w:t xml:space="preserve"> discrimination and predatory practices </w:t>
      </w:r>
      <w:r w:rsidR="009D42A9">
        <w:t>perpetrated against</w:t>
      </w:r>
      <w:r w:rsidR="002D3E18">
        <w:t xml:space="preserve"> people of color</w:t>
      </w:r>
      <w:r w:rsidR="5D2A326E">
        <w:t xml:space="preserve">, in part </w:t>
      </w:r>
      <w:r w:rsidR="200BEBC6">
        <w:t xml:space="preserve">through </w:t>
      </w:r>
      <w:r w:rsidR="12E96787">
        <w:t xml:space="preserve">the nation’s </w:t>
      </w:r>
      <w:r w:rsidR="5D2A326E">
        <w:t>system of higher education</w:t>
      </w:r>
      <w:r w:rsidR="445E26C5">
        <w:t xml:space="preserve">. </w:t>
      </w:r>
      <w:r w:rsidR="4FAB686F" w:rsidRPr="00293ACB">
        <w:rPr>
          <w:rFonts w:ascii="Calibri" w:eastAsia="Calibri" w:hAnsi="Calibri" w:cs="Calibri"/>
        </w:rPr>
        <w:t xml:space="preserve">This research goes beyond analyses of income to shed light on the </w:t>
      </w:r>
      <w:proofErr w:type="gramStart"/>
      <w:r w:rsidR="00174D58" w:rsidRPr="00293ACB">
        <w:rPr>
          <w:rFonts w:ascii="Calibri" w:eastAsia="Calibri" w:hAnsi="Calibri" w:cs="Calibri"/>
        </w:rPr>
        <w:t xml:space="preserve">often </w:t>
      </w:r>
      <w:r w:rsidR="4FAB686F" w:rsidRPr="00293ACB">
        <w:rPr>
          <w:rFonts w:ascii="Calibri" w:eastAsia="Calibri" w:hAnsi="Calibri" w:cs="Calibri"/>
        </w:rPr>
        <w:t>hidden</w:t>
      </w:r>
      <w:proofErr w:type="gramEnd"/>
      <w:r w:rsidR="4FAB686F" w:rsidRPr="00293ACB">
        <w:rPr>
          <w:rFonts w:ascii="Calibri" w:eastAsia="Calibri" w:hAnsi="Calibri" w:cs="Calibri"/>
        </w:rPr>
        <w:t xml:space="preserve"> role of wealth in shaping different aspects of a student’s</w:t>
      </w:r>
      <w:r w:rsidR="00DB45E5">
        <w:rPr>
          <w:rFonts w:ascii="Calibri" w:eastAsia="Calibri" w:hAnsi="Calibri" w:cs="Calibri"/>
        </w:rPr>
        <w:t xml:space="preserve"> college experience</w:t>
      </w:r>
      <w:r w:rsidR="007A46D8">
        <w:rPr>
          <w:rFonts w:ascii="Calibri" w:eastAsia="Calibri" w:hAnsi="Calibri" w:cs="Calibri"/>
        </w:rPr>
        <w:t xml:space="preserve"> (before, during, and after)</w:t>
      </w:r>
      <w:r w:rsidR="4FAB686F" w:rsidRPr="00293ACB">
        <w:rPr>
          <w:rFonts w:ascii="Calibri" w:eastAsia="Calibri" w:hAnsi="Calibri" w:cs="Calibri"/>
        </w:rPr>
        <w:t xml:space="preserve"> </w:t>
      </w:r>
      <w:r w:rsidR="00883623" w:rsidRPr="00293ACB">
        <w:rPr>
          <w:rFonts w:ascii="Calibri" w:eastAsia="Calibri" w:hAnsi="Calibri" w:cs="Calibri"/>
        </w:rPr>
        <w:t xml:space="preserve">and </w:t>
      </w:r>
      <w:r w:rsidR="4FAB686F" w:rsidRPr="00293ACB">
        <w:rPr>
          <w:rFonts w:ascii="Calibri" w:eastAsia="Calibri" w:hAnsi="Calibri" w:cs="Calibri"/>
        </w:rPr>
        <w:t>reveal</w:t>
      </w:r>
      <w:r w:rsidR="00276E31" w:rsidRPr="00293ACB">
        <w:rPr>
          <w:rFonts w:ascii="Calibri" w:eastAsia="Calibri" w:hAnsi="Calibri" w:cs="Calibri"/>
        </w:rPr>
        <w:t>s</w:t>
      </w:r>
      <w:r w:rsidR="4FAB686F" w:rsidRPr="00293ACB">
        <w:rPr>
          <w:rFonts w:ascii="Calibri" w:eastAsia="Calibri" w:hAnsi="Calibri" w:cs="Calibri"/>
        </w:rPr>
        <w:t xml:space="preserve"> the stark disparities </w:t>
      </w:r>
      <w:r w:rsidR="001E07D5" w:rsidRPr="00293ACB">
        <w:rPr>
          <w:rFonts w:ascii="Calibri" w:eastAsia="Calibri" w:hAnsi="Calibri" w:cs="Calibri"/>
        </w:rPr>
        <w:t>among</w:t>
      </w:r>
      <w:r w:rsidR="4FAB686F" w:rsidRPr="00293ACB">
        <w:rPr>
          <w:rFonts w:ascii="Calibri" w:eastAsia="Calibri" w:hAnsi="Calibri" w:cs="Calibri"/>
        </w:rPr>
        <w:t xml:space="preserve"> different racial groups. </w:t>
      </w:r>
      <w:r w:rsidR="751889E7" w:rsidRPr="00293ACB">
        <w:rPr>
          <w:rFonts w:ascii="Calibri" w:eastAsia="Calibri" w:hAnsi="Calibri" w:cs="Calibri"/>
        </w:rPr>
        <w:t>From access and completion to borrowing and saving for future generations, wealth influence</w:t>
      </w:r>
      <w:r w:rsidR="00BE390B" w:rsidRPr="00293ACB">
        <w:rPr>
          <w:rFonts w:ascii="Calibri" w:eastAsia="Calibri" w:hAnsi="Calibri" w:cs="Calibri"/>
        </w:rPr>
        <w:t>s</w:t>
      </w:r>
      <w:r w:rsidR="751889E7" w:rsidRPr="00293ACB">
        <w:rPr>
          <w:rFonts w:ascii="Calibri" w:eastAsia="Calibri" w:hAnsi="Calibri" w:cs="Calibri"/>
        </w:rPr>
        <w:t xml:space="preserve"> every stage of </w:t>
      </w:r>
      <w:r w:rsidR="00BE390B" w:rsidRPr="00293ACB">
        <w:rPr>
          <w:rFonts w:ascii="Calibri" w:eastAsia="Calibri" w:hAnsi="Calibri" w:cs="Calibri"/>
        </w:rPr>
        <w:t>a student’s</w:t>
      </w:r>
      <w:r w:rsidR="751889E7" w:rsidRPr="00293ACB">
        <w:rPr>
          <w:rFonts w:ascii="Calibri" w:eastAsia="Calibri" w:hAnsi="Calibri" w:cs="Calibri"/>
        </w:rPr>
        <w:t xml:space="preserve"> higher education journey.</w:t>
      </w:r>
    </w:p>
    <w:p w14:paraId="345EC0AF" w14:textId="59E14E82" w:rsidR="00CD63F8" w:rsidRPr="00293ACB" w:rsidRDefault="00CD63F8" w:rsidP="004B1105">
      <w:pPr>
        <w:pStyle w:val="NoSpacing"/>
        <w:rPr>
          <w:rFonts w:ascii="Calibri" w:eastAsia="Calibri" w:hAnsi="Calibri" w:cs="Calibri"/>
        </w:rPr>
      </w:pPr>
    </w:p>
    <w:p w14:paraId="14E42A1C" w14:textId="7E9A6F89" w:rsidR="003D1288" w:rsidRDefault="001C59B0" w:rsidP="004B1105">
      <w:pPr>
        <w:pStyle w:val="NoSpacing"/>
        <w:rPr>
          <w:rFonts w:ascii="Calibri" w:eastAsia="Calibri" w:hAnsi="Calibri" w:cs="Calibri"/>
        </w:rPr>
      </w:pPr>
      <w:r w:rsidRPr="00293ACB">
        <w:rPr>
          <w:rFonts w:ascii="Calibri" w:eastAsia="Calibri" w:hAnsi="Calibri" w:cs="Calibri"/>
        </w:rPr>
        <w:t>Despite</w:t>
      </w:r>
      <w:r w:rsidR="6867F6F5" w:rsidRPr="00293ACB">
        <w:rPr>
          <w:rFonts w:ascii="Calibri" w:eastAsia="Calibri" w:hAnsi="Calibri" w:cs="Calibri"/>
        </w:rPr>
        <w:t xml:space="preserve"> the</w:t>
      </w:r>
      <w:r w:rsidR="4FAB686F" w:rsidRPr="00293ACB">
        <w:rPr>
          <w:rFonts w:ascii="Calibri" w:eastAsia="Calibri" w:hAnsi="Calibri" w:cs="Calibri"/>
        </w:rPr>
        <w:t xml:space="preserve"> limited </w:t>
      </w:r>
      <w:r w:rsidR="12241744" w:rsidRPr="00293ACB">
        <w:rPr>
          <w:rFonts w:ascii="Calibri" w:eastAsia="Calibri" w:hAnsi="Calibri" w:cs="Calibri"/>
        </w:rPr>
        <w:t>available</w:t>
      </w:r>
      <w:r w:rsidR="4FAB686F" w:rsidRPr="00293ACB">
        <w:rPr>
          <w:rFonts w:ascii="Calibri" w:eastAsia="Calibri" w:hAnsi="Calibri" w:cs="Calibri"/>
        </w:rPr>
        <w:t xml:space="preserve"> </w:t>
      </w:r>
      <w:r w:rsidRPr="00293ACB">
        <w:rPr>
          <w:rFonts w:ascii="Calibri" w:eastAsia="Calibri" w:hAnsi="Calibri" w:cs="Calibri"/>
        </w:rPr>
        <w:t xml:space="preserve">measures of </w:t>
      </w:r>
      <w:r w:rsidR="4FAB686F" w:rsidRPr="00293ACB">
        <w:rPr>
          <w:rFonts w:ascii="Calibri" w:eastAsia="Calibri" w:hAnsi="Calibri" w:cs="Calibri"/>
        </w:rPr>
        <w:t>both higher education and wealth, the</w:t>
      </w:r>
      <w:r w:rsidR="00946F67" w:rsidRPr="00293ACB">
        <w:rPr>
          <w:rFonts w:ascii="Calibri" w:eastAsia="Calibri" w:hAnsi="Calibri" w:cs="Calibri"/>
        </w:rPr>
        <w:t>se</w:t>
      </w:r>
      <w:r w:rsidR="4FAB686F" w:rsidRPr="00293ACB">
        <w:rPr>
          <w:rFonts w:ascii="Calibri" w:eastAsia="Calibri" w:hAnsi="Calibri" w:cs="Calibri"/>
        </w:rPr>
        <w:t xml:space="preserve"> findings leverage </w:t>
      </w:r>
      <w:r w:rsidR="003753DC" w:rsidRPr="00293ACB">
        <w:rPr>
          <w:rFonts w:ascii="Calibri" w:eastAsia="Calibri" w:hAnsi="Calibri" w:cs="Calibri"/>
        </w:rPr>
        <w:t>two</w:t>
      </w:r>
      <w:r w:rsidR="4FAB686F" w:rsidRPr="00293ACB">
        <w:rPr>
          <w:rFonts w:ascii="Calibri" w:eastAsia="Calibri" w:hAnsi="Calibri" w:cs="Calibri"/>
        </w:rPr>
        <w:t xml:space="preserve"> </w:t>
      </w:r>
      <w:r w:rsidR="003753DC" w:rsidRPr="00293ACB">
        <w:rPr>
          <w:rFonts w:ascii="Calibri" w:eastAsia="Calibri" w:hAnsi="Calibri" w:cs="Calibri"/>
        </w:rPr>
        <w:t>data sources</w:t>
      </w:r>
      <w:r w:rsidR="4FAB686F" w:rsidRPr="00293ACB">
        <w:rPr>
          <w:rFonts w:ascii="Calibri" w:eastAsia="Calibri" w:hAnsi="Calibri" w:cs="Calibri"/>
        </w:rPr>
        <w:t xml:space="preserve"> to deepen </w:t>
      </w:r>
      <w:r w:rsidR="4FAB686F" w:rsidRPr="00293ACB" w:rsidDel="00EC78CD">
        <w:rPr>
          <w:rFonts w:ascii="Calibri" w:eastAsia="Calibri" w:hAnsi="Calibri" w:cs="Calibri"/>
        </w:rPr>
        <w:t xml:space="preserve">the field’s </w:t>
      </w:r>
      <w:r w:rsidR="4FAB686F" w:rsidRPr="00293ACB">
        <w:rPr>
          <w:rFonts w:ascii="Calibri" w:eastAsia="Calibri" w:hAnsi="Calibri" w:cs="Calibri"/>
        </w:rPr>
        <w:t xml:space="preserve">understanding of </w:t>
      </w:r>
      <w:r w:rsidR="008D5AA4" w:rsidRPr="00293ACB">
        <w:rPr>
          <w:rFonts w:ascii="Calibri" w:eastAsia="Calibri" w:hAnsi="Calibri" w:cs="Calibri"/>
        </w:rPr>
        <w:t>the cyclical relationship between higher education and the racial wealth gap</w:t>
      </w:r>
      <w:r w:rsidR="4FAB686F" w:rsidRPr="00293ACB">
        <w:rPr>
          <w:rFonts w:ascii="Calibri" w:eastAsia="Calibri" w:hAnsi="Calibri" w:cs="Calibri"/>
        </w:rPr>
        <w:t>.</w:t>
      </w:r>
      <w:r w:rsidR="743AF893" w:rsidRPr="5E154477">
        <w:rPr>
          <w:rFonts w:ascii="Calibri" w:eastAsia="Calibri" w:hAnsi="Calibri" w:cs="Calibri"/>
          <w:color w:val="D13438"/>
        </w:rPr>
        <w:t xml:space="preserve"> </w:t>
      </w:r>
      <w:r w:rsidR="00D635D0" w:rsidRPr="00927857">
        <w:rPr>
          <w:rFonts w:ascii="Calibri" w:eastAsia="Calibri" w:hAnsi="Calibri" w:cs="Calibri"/>
        </w:rPr>
        <w:t xml:space="preserve">The research presented in this report </w:t>
      </w:r>
      <w:r w:rsidR="002B7E3E" w:rsidRPr="00927857">
        <w:rPr>
          <w:rFonts w:ascii="Calibri" w:eastAsia="Calibri" w:hAnsi="Calibri" w:cs="Calibri"/>
        </w:rPr>
        <w:t>demonstrate</w:t>
      </w:r>
      <w:r w:rsidR="00821D74">
        <w:rPr>
          <w:rFonts w:ascii="Calibri" w:eastAsia="Calibri" w:hAnsi="Calibri" w:cs="Calibri"/>
        </w:rPr>
        <w:t>s that</w:t>
      </w:r>
      <w:r w:rsidR="00EA49FB" w:rsidRPr="00927857">
        <w:rPr>
          <w:rFonts w:ascii="Calibri" w:eastAsia="Calibri" w:hAnsi="Calibri" w:cs="Calibri"/>
        </w:rPr>
        <w:t>:</w:t>
      </w:r>
    </w:p>
    <w:p w14:paraId="283B9E1C" w14:textId="77777777" w:rsidR="003D562F" w:rsidRPr="003D562F" w:rsidRDefault="003D562F" w:rsidP="004B1105">
      <w:pPr>
        <w:pStyle w:val="NoSpacing"/>
        <w:rPr>
          <w:rFonts w:ascii="Calibri" w:eastAsia="Calibri" w:hAnsi="Calibri" w:cs="Calibri"/>
        </w:rPr>
      </w:pPr>
    </w:p>
    <w:p w14:paraId="14615386" w14:textId="55DA8C02" w:rsidR="00EA49FB" w:rsidRPr="003D562F" w:rsidRDefault="00EA49FB" w:rsidP="00FB60EF">
      <w:pPr>
        <w:pStyle w:val="NoSpacing"/>
        <w:numPr>
          <w:ilvl w:val="0"/>
          <w:numId w:val="11"/>
        </w:numPr>
        <w:rPr>
          <w:rFonts w:ascii="Calibri" w:eastAsia="Calibri" w:hAnsi="Calibri" w:cs="Calibri"/>
        </w:rPr>
      </w:pPr>
      <w:r w:rsidRPr="003D562F">
        <w:rPr>
          <w:rFonts w:ascii="Calibri" w:eastAsia="Calibri" w:hAnsi="Calibri" w:cs="Calibri"/>
        </w:rPr>
        <w:t xml:space="preserve">Considering wealth provides new insights into college opportunity and outcomes </w:t>
      </w:r>
      <w:r w:rsidR="00D5472E">
        <w:rPr>
          <w:rFonts w:ascii="Calibri" w:eastAsia="Calibri" w:hAnsi="Calibri" w:cs="Calibri"/>
        </w:rPr>
        <w:t>and</w:t>
      </w:r>
      <w:r w:rsidRPr="003D562F">
        <w:rPr>
          <w:rFonts w:ascii="Calibri" w:eastAsia="Calibri" w:hAnsi="Calibri" w:cs="Calibri"/>
        </w:rPr>
        <w:t xml:space="preserve"> should be measured and studied alongside income</w:t>
      </w:r>
      <w:r w:rsidR="00926228">
        <w:rPr>
          <w:rFonts w:ascii="Calibri" w:eastAsia="Calibri" w:hAnsi="Calibri" w:cs="Calibri"/>
        </w:rPr>
        <w:t>.</w:t>
      </w:r>
      <w:r w:rsidR="00926228" w:rsidRPr="003D562F">
        <w:rPr>
          <w:rFonts w:ascii="Calibri" w:eastAsia="Calibri" w:hAnsi="Calibri" w:cs="Calibri"/>
        </w:rPr>
        <w:t xml:space="preserve"> </w:t>
      </w:r>
    </w:p>
    <w:p w14:paraId="795FDDCC" w14:textId="1A9A6946" w:rsidR="00EA49FB" w:rsidRPr="003D562F" w:rsidRDefault="00DA1F12" w:rsidP="00FB60EF">
      <w:pPr>
        <w:pStyle w:val="NoSpacing"/>
        <w:numPr>
          <w:ilvl w:val="0"/>
          <w:numId w:val="11"/>
        </w:numPr>
        <w:rPr>
          <w:rFonts w:ascii="Calibri" w:eastAsia="Calibri" w:hAnsi="Calibri" w:cs="Calibri"/>
        </w:rPr>
      </w:pPr>
      <w:r w:rsidRPr="003D562F">
        <w:rPr>
          <w:rFonts w:ascii="Calibri" w:eastAsia="Calibri" w:hAnsi="Calibri" w:cs="Calibri"/>
        </w:rPr>
        <w:t xml:space="preserve">Wealth transfers </w:t>
      </w:r>
      <w:r w:rsidR="00664CC9">
        <w:rPr>
          <w:rFonts w:ascii="Calibri" w:eastAsia="Calibri" w:hAnsi="Calibri" w:cs="Calibri"/>
        </w:rPr>
        <w:t>increase</w:t>
      </w:r>
      <w:r w:rsidRPr="003D562F">
        <w:rPr>
          <w:rFonts w:ascii="Calibri" w:eastAsia="Calibri" w:hAnsi="Calibri" w:cs="Calibri"/>
        </w:rPr>
        <w:t xml:space="preserve"> individuals</w:t>
      </w:r>
      <w:r w:rsidR="00664CC9">
        <w:rPr>
          <w:rFonts w:ascii="Calibri" w:eastAsia="Calibri" w:hAnsi="Calibri" w:cs="Calibri"/>
        </w:rPr>
        <w:t>’</w:t>
      </w:r>
      <w:r w:rsidRPr="003D562F">
        <w:rPr>
          <w:rFonts w:ascii="Calibri" w:eastAsia="Calibri" w:hAnsi="Calibri" w:cs="Calibri"/>
        </w:rPr>
        <w:t xml:space="preserve"> </w:t>
      </w:r>
      <w:r w:rsidR="00664CC9">
        <w:rPr>
          <w:rFonts w:ascii="Calibri" w:eastAsia="Calibri" w:hAnsi="Calibri" w:cs="Calibri"/>
        </w:rPr>
        <w:t xml:space="preserve">ability </w:t>
      </w:r>
      <w:r w:rsidRPr="003D562F">
        <w:rPr>
          <w:rFonts w:ascii="Calibri" w:eastAsia="Calibri" w:hAnsi="Calibri" w:cs="Calibri"/>
        </w:rPr>
        <w:t>to save for the college education of their children</w:t>
      </w:r>
      <w:r w:rsidR="00926228">
        <w:rPr>
          <w:rFonts w:ascii="Calibri" w:eastAsia="Calibri" w:hAnsi="Calibri" w:cs="Calibri"/>
        </w:rPr>
        <w:t>.</w:t>
      </w:r>
    </w:p>
    <w:p w14:paraId="79A21C64" w14:textId="6BC21937" w:rsidR="00DA1F12" w:rsidRPr="003D562F" w:rsidRDefault="000B2FD4" w:rsidP="00FB60EF">
      <w:pPr>
        <w:pStyle w:val="NoSpacing"/>
        <w:numPr>
          <w:ilvl w:val="0"/>
          <w:numId w:val="11"/>
        </w:numPr>
        <w:rPr>
          <w:rFonts w:ascii="Calibri" w:eastAsia="Calibri" w:hAnsi="Calibri" w:cs="Calibri"/>
        </w:rPr>
      </w:pPr>
      <w:r w:rsidRPr="003D562F">
        <w:rPr>
          <w:rFonts w:ascii="Calibri" w:eastAsia="Calibri" w:hAnsi="Calibri" w:cs="Calibri"/>
        </w:rPr>
        <w:t>Wealt</w:t>
      </w:r>
      <w:r w:rsidR="00670AFD" w:rsidRPr="003D562F">
        <w:rPr>
          <w:rFonts w:ascii="Calibri" w:eastAsia="Calibri" w:hAnsi="Calibri" w:cs="Calibri"/>
        </w:rPr>
        <w:t xml:space="preserve">h </w:t>
      </w:r>
      <w:r w:rsidR="003D562F" w:rsidRPr="003D562F">
        <w:rPr>
          <w:rFonts w:ascii="Calibri" w:eastAsia="Calibri" w:hAnsi="Calibri" w:cs="Calibri"/>
        </w:rPr>
        <w:t>is associated with gaps in college access and success between racial and ethnic groups.</w:t>
      </w:r>
    </w:p>
    <w:p w14:paraId="1EEF36D3" w14:textId="77777777" w:rsidR="005271D9" w:rsidRDefault="005271D9" w:rsidP="004B1105">
      <w:pPr>
        <w:pStyle w:val="NoSpacing"/>
      </w:pPr>
    </w:p>
    <w:p w14:paraId="687585BB" w14:textId="4A1A619F" w:rsidR="00CD63F8" w:rsidRPr="00293ACB" w:rsidRDefault="5AFC51D9" w:rsidP="004B1105">
      <w:pPr>
        <w:pStyle w:val="NoSpacing"/>
        <w:rPr>
          <w:rFonts w:ascii="Calibri" w:eastAsia="Calibri" w:hAnsi="Calibri" w:cs="Calibri"/>
        </w:rPr>
      </w:pPr>
      <w:r>
        <w:t>E</w:t>
      </w:r>
      <w:r w:rsidR="14DA4CE1">
        <w:t xml:space="preserve">xpanding access to high-quality, disaggregated, and complete data on wealth and higher education </w:t>
      </w:r>
      <w:r w:rsidR="3FDE8FDF">
        <w:t xml:space="preserve">can help </w:t>
      </w:r>
      <w:r w:rsidR="14DA4CE1">
        <w:t>researchers</w:t>
      </w:r>
      <w:r w:rsidR="21AB852A">
        <w:t xml:space="preserve"> and </w:t>
      </w:r>
      <w:r w:rsidR="14DA4CE1">
        <w:t xml:space="preserve">policymakers </w:t>
      </w:r>
      <w:r w:rsidR="6FE516BC">
        <w:t xml:space="preserve">develop a </w:t>
      </w:r>
      <w:r w:rsidR="14DA4CE1" w:rsidRPr="00293ACB">
        <w:rPr>
          <w:rFonts w:ascii="Calibri" w:eastAsia="Calibri" w:hAnsi="Calibri" w:cs="Calibri"/>
        </w:rPr>
        <w:t>blueprint</w:t>
      </w:r>
      <w:r w:rsidR="5968C6B2" w:rsidRPr="00293ACB">
        <w:rPr>
          <w:rFonts w:ascii="Calibri" w:eastAsia="Calibri" w:hAnsi="Calibri" w:cs="Calibri"/>
        </w:rPr>
        <w:t xml:space="preserve"> </w:t>
      </w:r>
      <w:r w:rsidR="14DA4CE1" w:rsidRPr="00293ACB">
        <w:rPr>
          <w:rFonts w:ascii="Calibri" w:eastAsia="Calibri" w:hAnsi="Calibri" w:cs="Calibri"/>
        </w:rPr>
        <w:t xml:space="preserve">to </w:t>
      </w:r>
      <w:r w:rsidR="003C668F" w:rsidRPr="00293ACB">
        <w:rPr>
          <w:rFonts w:ascii="Calibri" w:eastAsia="Calibri" w:hAnsi="Calibri" w:cs="Calibri"/>
        </w:rPr>
        <w:t>expand higher</w:t>
      </w:r>
      <w:r w:rsidR="3F21CFAF" w:rsidRPr="00293ACB">
        <w:rPr>
          <w:rFonts w:ascii="Calibri" w:eastAsia="Calibri" w:hAnsi="Calibri" w:cs="Calibri"/>
        </w:rPr>
        <w:t xml:space="preserve"> education </w:t>
      </w:r>
      <w:r w:rsidR="003C668F" w:rsidRPr="00293ACB">
        <w:rPr>
          <w:rFonts w:ascii="Calibri" w:eastAsia="Calibri" w:hAnsi="Calibri" w:cs="Calibri"/>
        </w:rPr>
        <w:t xml:space="preserve">access and success, </w:t>
      </w:r>
      <w:r w:rsidR="3F21CFAF" w:rsidRPr="00293ACB">
        <w:rPr>
          <w:rFonts w:ascii="Calibri" w:eastAsia="Calibri" w:hAnsi="Calibri" w:cs="Calibri"/>
        </w:rPr>
        <w:t xml:space="preserve">and </w:t>
      </w:r>
      <w:r w:rsidR="28283973" w:rsidRPr="00293ACB">
        <w:rPr>
          <w:rFonts w:ascii="Calibri" w:eastAsia="Calibri" w:hAnsi="Calibri" w:cs="Calibri"/>
        </w:rPr>
        <w:t>build</w:t>
      </w:r>
      <w:r w:rsidR="14DA4CE1" w:rsidRPr="00293ACB">
        <w:rPr>
          <w:rFonts w:ascii="Calibri" w:eastAsia="Calibri" w:hAnsi="Calibri" w:cs="Calibri"/>
        </w:rPr>
        <w:t xml:space="preserve"> on</w:t>
      </w:r>
      <w:r w:rsidR="00C71A22">
        <w:rPr>
          <w:rFonts w:ascii="Calibri" w:eastAsia="Calibri" w:hAnsi="Calibri" w:cs="Calibri"/>
        </w:rPr>
        <w:t>-</w:t>
      </w:r>
      <w:r w:rsidR="14DA4CE1" w:rsidRPr="00293ACB">
        <w:rPr>
          <w:rFonts w:ascii="Calibri" w:eastAsia="Calibri" w:hAnsi="Calibri" w:cs="Calibri"/>
        </w:rPr>
        <w:t>ramps to wealth creation, especially for</w:t>
      </w:r>
      <w:r w:rsidR="0ABCDC36" w:rsidRPr="00293ACB">
        <w:rPr>
          <w:rFonts w:ascii="Calibri" w:eastAsia="Calibri" w:hAnsi="Calibri" w:cs="Calibri"/>
        </w:rPr>
        <w:t xml:space="preserve"> Black, Latinx, Indigenous, </w:t>
      </w:r>
      <w:r w:rsidR="00111531">
        <w:rPr>
          <w:rFonts w:ascii="Calibri" w:eastAsia="Calibri" w:hAnsi="Calibri" w:cs="Calibri"/>
        </w:rPr>
        <w:t xml:space="preserve">underrepresented </w:t>
      </w:r>
      <w:r w:rsidR="0ABCDC36" w:rsidRPr="00293ACB">
        <w:rPr>
          <w:rFonts w:ascii="Calibri" w:eastAsia="Calibri" w:hAnsi="Calibri" w:cs="Calibri"/>
        </w:rPr>
        <w:t>Asian American</w:t>
      </w:r>
      <w:r w:rsidR="00826A33">
        <w:rPr>
          <w:rFonts w:ascii="Calibri" w:eastAsia="Calibri" w:hAnsi="Calibri" w:cs="Calibri"/>
        </w:rPr>
        <w:t>,</w:t>
      </w:r>
      <w:r w:rsidR="0ABCDC36" w:rsidRPr="00293ACB">
        <w:rPr>
          <w:rFonts w:ascii="Calibri" w:eastAsia="Calibri" w:hAnsi="Calibri" w:cs="Calibri"/>
        </w:rPr>
        <w:t xml:space="preserve"> Native Hawaiian</w:t>
      </w:r>
      <w:r w:rsidR="00826A33">
        <w:rPr>
          <w:rFonts w:ascii="Calibri" w:eastAsia="Calibri" w:hAnsi="Calibri" w:cs="Calibri"/>
        </w:rPr>
        <w:t>,</w:t>
      </w:r>
      <w:r w:rsidR="0ABCDC36" w:rsidRPr="00293ACB">
        <w:rPr>
          <w:rFonts w:ascii="Calibri" w:eastAsia="Calibri" w:hAnsi="Calibri" w:cs="Calibri"/>
        </w:rPr>
        <w:t xml:space="preserve"> and Pacific Islander</w:t>
      </w:r>
      <w:r w:rsidR="555E1EEE" w:rsidRPr="00293ACB">
        <w:rPr>
          <w:rFonts w:ascii="Calibri" w:eastAsia="Calibri" w:hAnsi="Calibri" w:cs="Calibri"/>
        </w:rPr>
        <w:t xml:space="preserve"> communities</w:t>
      </w:r>
      <w:r w:rsidR="0ABCDC36" w:rsidRPr="00293ACB">
        <w:rPr>
          <w:rFonts w:ascii="Calibri" w:eastAsia="Calibri" w:hAnsi="Calibri" w:cs="Calibri"/>
        </w:rPr>
        <w:t>, and all other rac</w:t>
      </w:r>
      <w:r w:rsidR="424DFE54" w:rsidRPr="00293ACB">
        <w:rPr>
          <w:rFonts w:ascii="Calibri" w:eastAsia="Calibri" w:hAnsi="Calibri" w:cs="Calibri"/>
        </w:rPr>
        <w:t xml:space="preserve">e and ethnic </w:t>
      </w:r>
      <w:r w:rsidR="0ABCDC36" w:rsidRPr="00293ACB">
        <w:rPr>
          <w:rFonts w:ascii="Calibri" w:eastAsia="Calibri" w:hAnsi="Calibri" w:cs="Calibri"/>
        </w:rPr>
        <w:t>identities</w:t>
      </w:r>
      <w:r w:rsidR="0FC29E25" w:rsidRPr="00293ACB">
        <w:rPr>
          <w:rFonts w:ascii="Calibri" w:eastAsia="Calibri" w:hAnsi="Calibri" w:cs="Calibri"/>
        </w:rPr>
        <w:t>.</w:t>
      </w:r>
      <w:r w:rsidR="42EE8EAF" w:rsidRPr="00293ACB">
        <w:rPr>
          <w:rFonts w:ascii="Calibri" w:eastAsia="Calibri" w:hAnsi="Calibri" w:cs="Calibri"/>
        </w:rPr>
        <w:t xml:space="preserve"> </w:t>
      </w:r>
    </w:p>
    <w:p w14:paraId="3D8F104D" w14:textId="44DCF16E" w:rsidR="00CD63F8" w:rsidRDefault="00CD63F8" w:rsidP="004B1105">
      <w:pPr>
        <w:pStyle w:val="NoSpacing"/>
        <w:rPr>
          <w:rFonts w:ascii="Calibri" w:eastAsia="Calibri" w:hAnsi="Calibri" w:cs="Calibri"/>
          <w:color w:val="D13438"/>
        </w:rPr>
      </w:pPr>
    </w:p>
    <w:p w14:paraId="77505ECA" w14:textId="77777777" w:rsidR="007F606C" w:rsidRDefault="007F606C" w:rsidP="004B1105">
      <w:pPr>
        <w:sectPr w:rsidR="007F606C" w:rsidSect="001A7A59">
          <w:footnotePr>
            <w:numFmt w:val="lowerRoman"/>
          </w:footnotePr>
          <w:endnotePr>
            <w:numFmt w:val="decimal"/>
          </w:endnotePr>
          <w:pgSz w:w="12240" w:h="15840"/>
          <w:pgMar w:top="1440" w:right="1440" w:bottom="1440" w:left="1440" w:header="720" w:footer="720" w:gutter="0"/>
          <w:cols w:space="720"/>
          <w:docGrid w:linePitch="360"/>
        </w:sectPr>
      </w:pPr>
    </w:p>
    <w:p w14:paraId="301BB327" w14:textId="0C9115D2" w:rsidR="00220155" w:rsidRDefault="003A40D5" w:rsidP="004B1105">
      <w:pPr>
        <w:pStyle w:val="Heading1"/>
      </w:pPr>
      <w:bookmarkStart w:id="43" w:name="_Toc167901758"/>
      <w:r>
        <w:lastRenderedPageBreak/>
        <w:t xml:space="preserve">Technical </w:t>
      </w:r>
      <w:r w:rsidR="00B6768F">
        <w:t>Appendix</w:t>
      </w:r>
      <w:bookmarkEnd w:id="43"/>
    </w:p>
    <w:p w14:paraId="0296F1B9" w14:textId="77777777" w:rsidR="00220155" w:rsidRPr="00220155" w:rsidRDefault="00220155" w:rsidP="004B1105"/>
    <w:p w14:paraId="5109F718" w14:textId="23DFD55B" w:rsidR="00B77A11" w:rsidRPr="00B77A11" w:rsidRDefault="00B77A11" w:rsidP="004B1105">
      <w:pPr>
        <w:pStyle w:val="Heading2"/>
      </w:pPr>
      <w:bookmarkStart w:id="44" w:name="_Toc167901759"/>
      <w:r w:rsidRPr="00B77A11">
        <w:t>Data Sources and Methodology</w:t>
      </w:r>
      <w:bookmarkEnd w:id="44"/>
    </w:p>
    <w:p w14:paraId="5711F849" w14:textId="77777777" w:rsidR="00480B7B" w:rsidRDefault="00480B7B" w:rsidP="004B1105">
      <w:pPr>
        <w:pStyle w:val="NoSpacing"/>
      </w:pPr>
    </w:p>
    <w:p w14:paraId="1021B21A" w14:textId="77777777" w:rsidR="00F03378" w:rsidRPr="007000AA" w:rsidRDefault="00F03378" w:rsidP="004B1105">
      <w:pPr>
        <w:pStyle w:val="NoSpacing"/>
        <w:rPr>
          <w:b/>
          <w:bCs/>
        </w:rPr>
      </w:pPr>
      <w:r w:rsidRPr="007000AA">
        <w:rPr>
          <w:b/>
          <w:bCs/>
        </w:rPr>
        <w:t xml:space="preserve">NFCS Data </w:t>
      </w:r>
      <w:r>
        <w:rPr>
          <w:b/>
          <w:bCs/>
        </w:rPr>
        <w:t>and</w:t>
      </w:r>
      <w:r w:rsidRPr="007000AA">
        <w:rPr>
          <w:b/>
          <w:bCs/>
        </w:rPr>
        <w:t xml:space="preserve"> Sample</w:t>
      </w:r>
    </w:p>
    <w:p w14:paraId="77BA5A4C" w14:textId="77777777" w:rsidR="00F03378" w:rsidRPr="00767738" w:rsidRDefault="00F03378" w:rsidP="004B1105">
      <w:pPr>
        <w:pStyle w:val="NoSpacing"/>
      </w:pPr>
    </w:p>
    <w:p w14:paraId="4327010F" w14:textId="2DAC749A" w:rsidR="00F03378" w:rsidRDefault="00F03378" w:rsidP="004B1105">
      <w:r>
        <w:t>The first research question relies on data from the 2021 NFCS State</w:t>
      </w:r>
      <w:r w:rsidR="00E3531A">
        <w:t>-</w:t>
      </w:r>
      <w:r>
        <w:t>by</w:t>
      </w:r>
      <w:r w:rsidR="00E3531A">
        <w:t>-</w:t>
      </w:r>
      <w:r>
        <w:t xml:space="preserve">State Survey. Conducted by the </w:t>
      </w:r>
      <w:r w:rsidR="00955907">
        <w:t>Financial Industry Regulatory Authority (</w:t>
      </w:r>
      <w:r>
        <w:t>FINRA</w:t>
      </w:r>
      <w:r w:rsidR="00955907">
        <w:t>)</w:t>
      </w:r>
      <w:r>
        <w:t xml:space="preserve"> Foundation since 2009, the NFCS is a triennially administered survey designed to help illuminate </w:t>
      </w:r>
      <w:r w:rsidR="00F105BD">
        <w:t xml:space="preserve">the </w:t>
      </w:r>
      <w:r>
        <w:t>financial capability of U.S. adults by collecting data on respondents’ financial knowledge and decision-making as well as their abilit</w:t>
      </w:r>
      <w:r w:rsidR="00F105BD">
        <w:t>y</w:t>
      </w:r>
      <w:r>
        <w:t xml:space="preserve"> to make ends meet, </w:t>
      </w:r>
      <w:proofErr w:type="gramStart"/>
      <w:r>
        <w:t>plan ahead</w:t>
      </w:r>
      <w:proofErr w:type="gramEnd"/>
      <w:r>
        <w:t>, and manage financial products.</w:t>
      </w:r>
      <w:r>
        <w:rPr>
          <w:rStyle w:val="EndnoteReference"/>
        </w:rPr>
        <w:endnoteReference w:id="67"/>
      </w:r>
      <w:r>
        <w:t xml:space="preserve"> A nationally representative sample of 27,118 </w:t>
      </w:r>
      <w:r w:rsidR="00BC355F">
        <w:t xml:space="preserve">U.S. adults </w:t>
      </w:r>
      <w:r>
        <w:t>participated in the 2021 survey. Unlike the PSID main study, the NFCS does not specifically target heads of households or primary financial decision-makers.</w:t>
      </w:r>
      <w:r>
        <w:rPr>
          <w:rStyle w:val="EndnoteReference"/>
        </w:rPr>
        <w:endnoteReference w:id="68"/>
      </w:r>
      <w:r>
        <w:t xml:space="preserve"> </w:t>
      </w:r>
    </w:p>
    <w:p w14:paraId="4A60620F" w14:textId="77777777" w:rsidR="00F03378" w:rsidRDefault="00F03378" w:rsidP="004B1105"/>
    <w:p w14:paraId="6E9EA978" w14:textId="2CD37F05" w:rsidR="00F03378" w:rsidRDefault="00F03378" w:rsidP="004B1105">
      <w:r>
        <w:t xml:space="preserve">The analysis presented in this report relies on three variables. The first is a </w:t>
      </w:r>
      <w:r w:rsidR="005C3B35">
        <w:t xml:space="preserve">composite </w:t>
      </w:r>
      <w:r>
        <w:t xml:space="preserve">race variable provided through a restricted-use agreement with the FINRA </w:t>
      </w:r>
      <w:r w:rsidR="00B54CA0">
        <w:t>Foundation</w:t>
      </w:r>
      <w:r>
        <w:t xml:space="preserve">, used to identify whether respondents are </w:t>
      </w:r>
      <w:r w:rsidRPr="00B9758C">
        <w:rPr>
          <w:i/>
          <w:iCs/>
        </w:rPr>
        <w:t>White</w:t>
      </w:r>
      <w:r>
        <w:t xml:space="preserve">, </w:t>
      </w:r>
      <w:r w:rsidRPr="00B9758C">
        <w:rPr>
          <w:i/>
          <w:iCs/>
        </w:rPr>
        <w:t>Black</w:t>
      </w:r>
      <w:r>
        <w:t xml:space="preserve">, </w:t>
      </w:r>
      <w:r w:rsidRPr="00B9758C">
        <w:rPr>
          <w:i/>
          <w:iCs/>
        </w:rPr>
        <w:t>Latinx</w:t>
      </w:r>
      <w:r>
        <w:t xml:space="preserve">, </w:t>
      </w:r>
      <w:r w:rsidRPr="00B9758C">
        <w:rPr>
          <w:i/>
          <w:iCs/>
        </w:rPr>
        <w:t>Asian</w:t>
      </w:r>
      <w:r>
        <w:t>/</w:t>
      </w:r>
      <w:r w:rsidRPr="00B9758C">
        <w:rPr>
          <w:i/>
          <w:iCs/>
        </w:rPr>
        <w:t>Pacific</w:t>
      </w:r>
      <w:r>
        <w:t xml:space="preserve"> </w:t>
      </w:r>
      <w:r w:rsidRPr="00B9758C">
        <w:rPr>
          <w:i/>
          <w:iCs/>
        </w:rPr>
        <w:t>Islander</w:t>
      </w:r>
      <w:r>
        <w:t xml:space="preserve">, or </w:t>
      </w:r>
      <w:r w:rsidRPr="00B9758C">
        <w:rPr>
          <w:i/>
          <w:iCs/>
        </w:rPr>
        <w:t>another</w:t>
      </w:r>
      <w:r>
        <w:t xml:space="preserve"> </w:t>
      </w:r>
      <w:r w:rsidRPr="00B9758C">
        <w:rPr>
          <w:i/>
          <w:iCs/>
        </w:rPr>
        <w:t>race</w:t>
      </w:r>
      <w:r>
        <w:t>.</w:t>
      </w:r>
      <w:r>
        <w:rPr>
          <w:rStyle w:val="EndnoteReference"/>
        </w:rPr>
        <w:endnoteReference w:id="69"/>
      </w:r>
      <w:r>
        <w:t xml:space="preserve"> Second, data on </w:t>
      </w:r>
      <w:r w:rsidR="649F11B4">
        <w:t>this study’s</w:t>
      </w:r>
      <w:r>
        <w:t xml:space="preserve"> </w:t>
      </w:r>
      <w:r w:rsidR="00594848">
        <w:t xml:space="preserve">first </w:t>
      </w:r>
      <w:r>
        <w:t>outcome of interest come from a survey question that asks respondents if they saved for the college education of their children. This outcome is recoded to ensure</w:t>
      </w:r>
      <w:r w:rsidR="00AB0E73">
        <w:t xml:space="preserve"> that</w:t>
      </w:r>
      <w:r>
        <w:t xml:space="preserve"> the analysis is limited only to those with financially dependent children. Finally, </w:t>
      </w:r>
      <w:r w:rsidR="00830824">
        <w:t xml:space="preserve">since </w:t>
      </w:r>
      <w:r>
        <w:t>the NFCS does not collect net worth data from respondents</w:t>
      </w:r>
      <w:r w:rsidR="00DE2D91">
        <w:t>,</w:t>
      </w:r>
      <w:r>
        <w:t xml:space="preserve"> a binary wealth indicator is created to identify respondents who reply “yes” to having received at least one of the following wealth transfers:</w:t>
      </w:r>
    </w:p>
    <w:p w14:paraId="57D8607F" w14:textId="77777777" w:rsidR="00F03378" w:rsidRDefault="00F03378" w:rsidP="00FB60EF">
      <w:pPr>
        <w:pStyle w:val="ListParagraph"/>
        <w:numPr>
          <w:ilvl w:val="0"/>
          <w:numId w:val="13"/>
        </w:numPr>
        <w:ind w:left="1170"/>
      </w:pPr>
      <w:r w:rsidRPr="00881D58">
        <w:t>At any time in your adult life (18 and older), did your parents or grandparents pay for an expense of yours that was $10,000 or more?</w:t>
      </w:r>
    </w:p>
    <w:p w14:paraId="22FAC460" w14:textId="77777777" w:rsidR="00F03378" w:rsidRDefault="00F03378" w:rsidP="00FB60EF">
      <w:pPr>
        <w:pStyle w:val="ListParagraph"/>
        <w:numPr>
          <w:ilvl w:val="0"/>
          <w:numId w:val="13"/>
        </w:numPr>
        <w:ind w:left="1170"/>
      </w:pPr>
      <w:r w:rsidRPr="00881D58">
        <w:t>Have you ever received a gift (not an inheritance) from your parents or grandparents that was $10,000 or more?</w:t>
      </w:r>
    </w:p>
    <w:p w14:paraId="094C615B" w14:textId="7770D27B" w:rsidR="00F03378" w:rsidRDefault="00F03378" w:rsidP="004B1105">
      <w:pPr>
        <w:pStyle w:val="NoSpacing"/>
      </w:pPr>
      <w:r>
        <w:t>The analysis excludes respondents who reply with either “Don’t Know” or “Prefer Not to Say” to both questions</w:t>
      </w:r>
      <w:r w:rsidR="009A3B67">
        <w:t xml:space="preserve"> about wealth transfers</w:t>
      </w:r>
      <w:r>
        <w:t xml:space="preserve">. </w:t>
      </w:r>
    </w:p>
    <w:p w14:paraId="3B64F80B" w14:textId="77777777" w:rsidR="00480B7B" w:rsidRDefault="00480B7B" w:rsidP="004B1105">
      <w:pPr>
        <w:pStyle w:val="NoSpacing"/>
      </w:pPr>
    </w:p>
    <w:p w14:paraId="4E420D16" w14:textId="77777777" w:rsidR="00AF49EC" w:rsidRDefault="00AF49EC" w:rsidP="004B1105">
      <w:pPr>
        <w:rPr>
          <w:b/>
          <w:bCs/>
        </w:rPr>
      </w:pPr>
      <w:r w:rsidRPr="004A2FAB">
        <w:rPr>
          <w:b/>
          <w:bCs/>
        </w:rPr>
        <w:t>Geographic Considerations</w:t>
      </w:r>
      <w:r>
        <w:rPr>
          <w:b/>
          <w:bCs/>
        </w:rPr>
        <w:t xml:space="preserve"> and Limitations</w:t>
      </w:r>
    </w:p>
    <w:p w14:paraId="56FCD131" w14:textId="77777777" w:rsidR="00AF49EC" w:rsidRPr="00FB5F67" w:rsidRDefault="00AF49EC" w:rsidP="004B1105">
      <w:pPr>
        <w:rPr>
          <w:b/>
        </w:rPr>
      </w:pPr>
      <w:r>
        <w:rPr>
          <w:b/>
          <w:bCs/>
        </w:rPr>
        <w:t xml:space="preserve"> </w:t>
      </w:r>
    </w:p>
    <w:p w14:paraId="3BF23A97" w14:textId="628E8CCE" w:rsidR="00AF49EC" w:rsidRDefault="1E0E276C" w:rsidP="004B1105">
      <w:r>
        <w:t xml:space="preserve">This study </w:t>
      </w:r>
      <w:r w:rsidR="00AF49EC">
        <w:t>sought to examine how saving for the college education of one</w:t>
      </w:r>
      <w:r w:rsidR="009A3B67">
        <w:t>’</w:t>
      </w:r>
      <w:r w:rsidR="00AF49EC">
        <w:t>s children might vary regionally</w:t>
      </w:r>
      <w:r w:rsidR="6E176D90">
        <w:t xml:space="preserve"> by</w:t>
      </w:r>
      <w:r w:rsidR="00AF49EC">
        <w:t xml:space="preserve"> using the 2021 NFCS data. The NFCS data contain weights which permit regional analyses </w:t>
      </w:r>
      <w:r w:rsidR="008D622D">
        <w:t xml:space="preserve">that </w:t>
      </w:r>
      <w:r w:rsidR="00AF49EC">
        <w:t xml:space="preserve">can be broken out by certain demographic groups, including by race or ethnicity. </w:t>
      </w:r>
      <w:r w:rsidR="00D30DB5">
        <w:t xml:space="preserve">However, sample size constraints </w:t>
      </w:r>
      <w:r w:rsidR="00B35039">
        <w:t xml:space="preserve">presented </w:t>
      </w:r>
      <w:r w:rsidR="0007161D">
        <w:t xml:space="preserve">serious limitations for </w:t>
      </w:r>
      <w:r w:rsidR="00C01458">
        <w:t>the</w:t>
      </w:r>
      <w:r w:rsidR="0007161D">
        <w:t xml:space="preserve"> analyse</w:t>
      </w:r>
      <w:r w:rsidR="009B6132">
        <w:t xml:space="preserve">s, </w:t>
      </w:r>
      <w:r w:rsidR="00034DFC">
        <w:t>so</w:t>
      </w:r>
      <w:r w:rsidR="00C01458">
        <w:t xml:space="preserve"> </w:t>
      </w:r>
      <w:r w:rsidR="3B9278D8">
        <w:t>this study did not</w:t>
      </w:r>
      <w:r w:rsidR="00BF659C">
        <w:t xml:space="preserve"> include them in </w:t>
      </w:r>
      <w:r w:rsidR="701103DD">
        <w:t>the</w:t>
      </w:r>
      <w:r w:rsidR="00BF659C">
        <w:t xml:space="preserve"> findings. D</w:t>
      </w:r>
      <w:r w:rsidR="00AF49EC">
        <w:t xml:space="preserve">isaggregating the data by both </w:t>
      </w:r>
      <w:r w:rsidR="00BF659C">
        <w:t xml:space="preserve">Census Division </w:t>
      </w:r>
      <w:r w:rsidR="0094756F">
        <w:t>(</w:t>
      </w:r>
      <w:r w:rsidR="00AF49EC">
        <w:t>regions</w:t>
      </w:r>
      <w:r w:rsidR="0094756F">
        <w:t>)</w:t>
      </w:r>
      <w:r w:rsidR="00AF49EC">
        <w:t xml:space="preserve"> and race or ethnicity resulted in small sample </w:t>
      </w:r>
      <w:r w:rsidR="0021722F">
        <w:t xml:space="preserve">sizes </w:t>
      </w:r>
      <w:r w:rsidR="00AF49EC">
        <w:t>across many racial or ethnic groups</w:t>
      </w:r>
      <w:r w:rsidR="00B4213A">
        <w:t xml:space="preserve">, so </w:t>
      </w:r>
      <w:r w:rsidR="296B57A4">
        <w:t>this study was not</w:t>
      </w:r>
      <w:r w:rsidR="00B4213A">
        <w:t xml:space="preserve"> able to report </w:t>
      </w:r>
      <w:r w:rsidR="00621BA0">
        <w:t xml:space="preserve">data </w:t>
      </w:r>
      <w:r w:rsidR="00B4213A">
        <w:t xml:space="preserve">on those groups separately. </w:t>
      </w:r>
      <w:r w:rsidR="002C65A2">
        <w:t xml:space="preserve">Sample sizes were still small </w:t>
      </w:r>
      <w:r w:rsidR="00347761">
        <w:t>e</w:t>
      </w:r>
      <w:r w:rsidR="00BD167F">
        <w:t xml:space="preserve">ven </w:t>
      </w:r>
      <w:r w:rsidR="00347761">
        <w:t>when</w:t>
      </w:r>
      <w:r w:rsidR="00BD167F">
        <w:t xml:space="preserve"> </w:t>
      </w:r>
      <w:r w:rsidR="00AF49EC">
        <w:t xml:space="preserve">individuals </w:t>
      </w:r>
      <w:r w:rsidR="00594848">
        <w:t>identify as</w:t>
      </w:r>
      <w:r w:rsidR="00AF49EC">
        <w:t xml:space="preserve"> AAPI, Black, Latinx, or another race </w:t>
      </w:r>
      <w:r w:rsidR="77F37574">
        <w:t xml:space="preserve">were combined </w:t>
      </w:r>
      <w:r w:rsidR="00AF49EC">
        <w:t xml:space="preserve">into a </w:t>
      </w:r>
      <w:r w:rsidR="008C7173">
        <w:t>“</w:t>
      </w:r>
      <w:r w:rsidR="00AF49EC">
        <w:t>respondents of color</w:t>
      </w:r>
      <w:r w:rsidR="008C7173">
        <w:t>”</w:t>
      </w:r>
      <w:r w:rsidR="00AF49EC">
        <w:t xml:space="preserve"> category</w:t>
      </w:r>
      <w:r w:rsidR="00347761">
        <w:t xml:space="preserve">, </w:t>
      </w:r>
      <w:r w:rsidR="00AF49EC">
        <w:t>particularly for those with at least one wealth transfer</w:t>
      </w:r>
      <w:r w:rsidR="00D15F12">
        <w:t xml:space="preserve"> (see Table A-1)</w:t>
      </w:r>
      <w:r w:rsidR="00254A9F">
        <w:t xml:space="preserve">. </w:t>
      </w:r>
    </w:p>
    <w:p w14:paraId="56BE7B03" w14:textId="77777777" w:rsidR="00AF49EC" w:rsidRDefault="00AF49EC" w:rsidP="004B1105"/>
    <w:p w14:paraId="005BC294" w14:textId="77777777" w:rsidR="00AF49EC" w:rsidRDefault="00AF49EC" w:rsidP="004B1105"/>
    <w:p w14:paraId="2CA07DB3" w14:textId="77777777" w:rsidR="00AF49EC" w:rsidRDefault="00AF49EC" w:rsidP="004B1105"/>
    <w:p w14:paraId="6AF09E28" w14:textId="77777777" w:rsidR="00F03E6A" w:rsidRDefault="00F03E6A" w:rsidP="004B1105"/>
    <w:p w14:paraId="3EED7F65" w14:textId="77777777" w:rsidR="00F03E6A" w:rsidRDefault="00F03E6A" w:rsidP="004B1105"/>
    <w:p w14:paraId="7E47FE73" w14:textId="77777777" w:rsidR="00B73CF9" w:rsidRDefault="00B73CF9" w:rsidP="004B1105">
      <w:pPr>
        <w:pStyle w:val="NoSpacing"/>
      </w:pPr>
    </w:p>
    <w:p w14:paraId="03696674" w14:textId="77777777" w:rsidR="00B73CF9" w:rsidRPr="006B1C48" w:rsidRDefault="00B73CF9" w:rsidP="004B1105">
      <w:pPr>
        <w:pStyle w:val="NoSpacing"/>
        <w:rPr>
          <w:b/>
          <w:bCs/>
        </w:rPr>
      </w:pPr>
      <w:r>
        <w:rPr>
          <w:b/>
          <w:bCs/>
        </w:rPr>
        <w:lastRenderedPageBreak/>
        <w:t>Dataset: Panel Study of Income Dynamics</w:t>
      </w:r>
    </w:p>
    <w:p w14:paraId="3A5B1F26" w14:textId="77777777" w:rsidR="00597B58" w:rsidRPr="00597B58" w:rsidRDefault="00597B58" w:rsidP="004B1105">
      <w:pPr>
        <w:pStyle w:val="NoSpacing"/>
        <w:rPr>
          <w:b/>
          <w:bCs/>
        </w:rPr>
      </w:pPr>
    </w:p>
    <w:p w14:paraId="7D8C1334" w14:textId="4525C1A1" w:rsidR="00B73CF9" w:rsidRDefault="00B73CF9" w:rsidP="004B1105">
      <w:pPr>
        <w:pStyle w:val="NoSpacing"/>
      </w:pPr>
      <w:r>
        <w:t xml:space="preserve">The PSID is a nationally representative longitudinal survey of American households, conducted by the University of Michigan’s Survey Research Center. </w:t>
      </w:r>
      <w:r w:rsidR="009423C1">
        <w:t>Beginning</w:t>
      </w:r>
      <w:r>
        <w:t xml:space="preserve"> in 1968</w:t>
      </w:r>
      <w:r w:rsidR="00F67754">
        <w:t>,</w:t>
      </w:r>
      <w:r>
        <w:t xml:space="preserve"> with a nationally representative sample of 18,000 individuals from 5,000 families, it is the longest running longitudinal survey of individuals and families in the United States. Conducted annually until 1997 and biennially since</w:t>
      </w:r>
      <w:r w:rsidR="00F67754">
        <w:t xml:space="preserve"> then</w:t>
      </w:r>
      <w:r>
        <w:t xml:space="preserve">, the PSID collects economic, social, and health information </w:t>
      </w:r>
      <w:r w:rsidR="00F67754">
        <w:t xml:space="preserve">from </w:t>
      </w:r>
      <w:r>
        <w:t xml:space="preserve">members of a household and their families. </w:t>
      </w:r>
    </w:p>
    <w:p w14:paraId="01C9B266" w14:textId="77777777" w:rsidR="00B73CF9" w:rsidRDefault="00B73CF9" w:rsidP="004B1105">
      <w:pPr>
        <w:pStyle w:val="NoSpacing"/>
      </w:pPr>
    </w:p>
    <w:p w14:paraId="31CD93F3" w14:textId="759A9554" w:rsidR="00B73CF9" w:rsidRDefault="00B73CF9" w:rsidP="004B1105">
      <w:pPr>
        <w:pStyle w:val="NoSpacing"/>
      </w:pPr>
      <w:r>
        <w:t xml:space="preserve">PSID data used in this analysis are drawn from two elements of the study: (1) the main study, and (2) the Transition </w:t>
      </w:r>
      <w:r w:rsidR="006B5210">
        <w:t>in</w:t>
      </w:r>
      <w:r>
        <w:t xml:space="preserve">to Adulthood </w:t>
      </w:r>
      <w:r w:rsidR="006B5210">
        <w:t xml:space="preserve">Supplement </w:t>
      </w:r>
      <w:r>
        <w:t xml:space="preserve">(PSID-TAS). Data from the main study are obtained through an interview with one individual </w:t>
      </w:r>
      <w:proofErr w:type="gramStart"/>
      <w:r>
        <w:t>in a given</w:t>
      </w:r>
      <w:proofErr w:type="gramEnd"/>
      <w:r>
        <w:t xml:space="preserve"> household</w:t>
      </w:r>
      <w:r w:rsidR="00080DD5">
        <w:rPr>
          <w:rStyle w:val="EndnoteReference"/>
        </w:rPr>
        <w:endnoteReference w:id="70"/>
      </w:r>
      <w:r>
        <w:t xml:space="preserve"> who provides information on the total household income and wealth</w:t>
      </w:r>
      <w:r w:rsidR="00296473">
        <w:rPr>
          <w:rStyle w:val="EndnoteReference"/>
        </w:rPr>
        <w:endnoteReference w:id="71"/>
      </w:r>
      <w:r>
        <w:t xml:space="preserve"> during each wave of the survey. Wealth is a </w:t>
      </w:r>
      <w:r w:rsidR="00C642AA">
        <w:t>PSID-</w:t>
      </w:r>
      <w:r>
        <w:t>provided variable</w:t>
      </w:r>
      <w:r w:rsidR="006B5210">
        <w:t>,</w:t>
      </w:r>
      <w:r>
        <w:t xml:space="preserve"> derived </w:t>
      </w:r>
      <w:r w:rsidR="00C642AA">
        <w:t>as</w:t>
      </w:r>
      <w:r>
        <w:t xml:space="preserve"> the sum of assets</w:t>
      </w:r>
      <w:r w:rsidR="00296473">
        <w:rPr>
          <w:rStyle w:val="EndnoteReference"/>
        </w:rPr>
        <w:endnoteReference w:id="72"/>
      </w:r>
      <w:r>
        <w:t xml:space="preserve"> minus debts and liabilities</w:t>
      </w:r>
      <w:r w:rsidR="00296473">
        <w:t>.</w:t>
      </w:r>
      <w:r w:rsidR="00296473">
        <w:rPr>
          <w:rStyle w:val="EndnoteReference"/>
        </w:rPr>
        <w:endnoteReference w:id="73"/>
      </w:r>
      <w:r>
        <w:t xml:space="preserve"> </w:t>
      </w:r>
      <w:r w:rsidR="10B495DF">
        <w:t xml:space="preserve">This </w:t>
      </w:r>
      <w:r w:rsidR="11A09050">
        <w:t xml:space="preserve">IHEP </w:t>
      </w:r>
      <w:r w:rsidR="10B495DF">
        <w:t>study</w:t>
      </w:r>
      <w:r>
        <w:t xml:space="preserve"> supplement</w:t>
      </w:r>
      <w:r w:rsidR="5ABF9741">
        <w:t>s</w:t>
      </w:r>
      <w:r>
        <w:t xml:space="preserve"> this with data from the PSID-TAS</w:t>
      </w:r>
      <w:r w:rsidR="003D3C42">
        <w:t>,</w:t>
      </w:r>
      <w:r>
        <w:t xml:space="preserve"> which provides information on </w:t>
      </w:r>
      <w:r w:rsidRPr="00F97B5D">
        <w:t>young adults, ages 18</w:t>
      </w:r>
      <w:r w:rsidR="00E05D38">
        <w:t xml:space="preserve"> to </w:t>
      </w:r>
      <w:r w:rsidRPr="00F97B5D">
        <w:t>28, from households in the main study.</w:t>
      </w:r>
      <w:r>
        <w:t xml:space="preserve"> During each PSID-TAS wave, these young adults provide data on their transition into adulthood, including whether they attend college and their experiences </w:t>
      </w:r>
      <w:r w:rsidR="003D3C42">
        <w:t>in college</w:t>
      </w:r>
      <w:r>
        <w:t xml:space="preserve">. </w:t>
      </w:r>
    </w:p>
    <w:p w14:paraId="578037C6" w14:textId="77777777" w:rsidR="00B73CF9" w:rsidRDefault="00B73CF9" w:rsidP="004B1105">
      <w:pPr>
        <w:pStyle w:val="NoSpacing"/>
      </w:pPr>
    </w:p>
    <w:p w14:paraId="6CE88244" w14:textId="77777777" w:rsidR="00B73CF9" w:rsidRPr="00507479" w:rsidRDefault="00B73CF9" w:rsidP="004B1105">
      <w:pPr>
        <w:pStyle w:val="NoSpacing"/>
        <w:rPr>
          <w:b/>
          <w:bCs/>
        </w:rPr>
      </w:pPr>
      <w:bookmarkStart w:id="45" w:name="OLE_LINK15"/>
      <w:bookmarkStart w:id="46" w:name="OLE_LINK16"/>
      <w:r>
        <w:rPr>
          <w:b/>
          <w:bCs/>
        </w:rPr>
        <w:t>PSID Sample</w:t>
      </w:r>
    </w:p>
    <w:bookmarkEnd w:id="45"/>
    <w:bookmarkEnd w:id="46"/>
    <w:p w14:paraId="2EDA54A7" w14:textId="77777777" w:rsidR="00B73CF9" w:rsidRDefault="00B73CF9" w:rsidP="004B1105">
      <w:pPr>
        <w:pStyle w:val="NoSpacing"/>
      </w:pPr>
    </w:p>
    <w:p w14:paraId="08EE5E5E" w14:textId="291998DB" w:rsidR="00B73CF9" w:rsidRDefault="0088681C" w:rsidP="004B1105">
      <w:pPr>
        <w:pStyle w:val="NoSpacing"/>
      </w:pPr>
      <w:r>
        <w:t>The</w:t>
      </w:r>
      <w:r w:rsidR="00B73CF9">
        <w:t xml:space="preserve"> PSID</w:t>
      </w:r>
      <w:r w:rsidR="00E93BFB">
        <w:t>-TAS</w:t>
      </w:r>
      <w:r w:rsidR="00B73CF9">
        <w:t xml:space="preserve"> sample is comprised of and limited to all TAS respondents who ever participated in the TAS survey </w:t>
      </w:r>
      <w:r w:rsidR="00B84608">
        <w:t xml:space="preserve">between 2005 and 2019, </w:t>
      </w:r>
      <w:r w:rsidR="00B73CF9">
        <w:t xml:space="preserve">whether they participate only in a single year or multiple times. </w:t>
      </w:r>
      <w:r w:rsidR="002F6BB0">
        <w:t>The</w:t>
      </w:r>
      <w:r w:rsidR="00B73CF9">
        <w:t xml:space="preserve"> full sample includes 4,776 young adults between 18 </w:t>
      </w:r>
      <w:r w:rsidR="004550BD">
        <w:t>to</w:t>
      </w:r>
      <w:r w:rsidR="00B73CF9">
        <w:t xml:space="preserve"> 28 years of age. </w:t>
      </w:r>
      <w:r w:rsidR="00B83277">
        <w:t>The analysis excludes 3</w:t>
      </w:r>
      <w:r w:rsidR="00B71B1B">
        <w:t>1</w:t>
      </w:r>
      <w:r w:rsidR="00B83277">
        <w:t xml:space="preserve"> respondents who never reported race </w:t>
      </w:r>
      <w:r w:rsidR="003C4F23">
        <w:t>and ethnicity data</w:t>
      </w:r>
      <w:r w:rsidR="00D02411">
        <w:t>,</w:t>
      </w:r>
      <w:r w:rsidR="00B71B1B">
        <w:t xml:space="preserve"> and 500</w:t>
      </w:r>
      <w:r w:rsidR="009A6D63">
        <w:t xml:space="preserve"> respondents </w:t>
      </w:r>
      <w:r w:rsidR="00A1216E">
        <w:t>who were</w:t>
      </w:r>
      <w:r w:rsidR="009A6D63">
        <w:t xml:space="preserve"> </w:t>
      </w:r>
      <w:r w:rsidR="00D94CBC">
        <w:t>assigned individual</w:t>
      </w:r>
      <w:r w:rsidR="009A6D63">
        <w:t xml:space="preserve"> longitudinal weights of zero</w:t>
      </w:r>
      <w:r w:rsidR="00D94CBC">
        <w:t xml:space="preserve"> in 2019</w:t>
      </w:r>
      <w:r w:rsidR="0073431A">
        <w:t xml:space="preserve"> (e.g., they failed to respond to certain questions or dropped out of the </w:t>
      </w:r>
      <w:r w:rsidR="00A1216E">
        <w:t>study)</w:t>
      </w:r>
      <w:r w:rsidR="00627D9F">
        <w:t>.</w:t>
      </w:r>
    </w:p>
    <w:p w14:paraId="3BA6EB81" w14:textId="77777777" w:rsidR="00B73CF9" w:rsidRDefault="00B73CF9" w:rsidP="004B1105">
      <w:pPr>
        <w:pStyle w:val="NoSpacing"/>
      </w:pPr>
    </w:p>
    <w:p w14:paraId="0DA585EA" w14:textId="77777777" w:rsidR="00B73CF9" w:rsidRDefault="00B73CF9" w:rsidP="004B1105">
      <w:pPr>
        <w:pStyle w:val="NoSpacing"/>
        <w:rPr>
          <w:b/>
          <w:bCs/>
        </w:rPr>
      </w:pPr>
      <w:r>
        <w:rPr>
          <w:b/>
          <w:bCs/>
        </w:rPr>
        <w:t>Measuring Race or Ethnicity in the PSID</w:t>
      </w:r>
    </w:p>
    <w:p w14:paraId="220F1184" w14:textId="77777777" w:rsidR="00B73CF9" w:rsidRDefault="00B73CF9" w:rsidP="004B1105">
      <w:pPr>
        <w:pStyle w:val="NoSpacing"/>
        <w:rPr>
          <w:b/>
          <w:bCs/>
        </w:rPr>
      </w:pPr>
    </w:p>
    <w:p w14:paraId="371FAE93" w14:textId="22B33771" w:rsidR="00B73CF9" w:rsidRDefault="00B73CF9" w:rsidP="004B1105">
      <w:pPr>
        <w:pStyle w:val="NoSpacing"/>
      </w:pPr>
      <w:r w:rsidRPr="000C55C1">
        <w:t xml:space="preserve">Each </w:t>
      </w:r>
      <w:r w:rsidR="000C55C1" w:rsidRPr="00F12147">
        <w:t>survey</w:t>
      </w:r>
      <w:r w:rsidR="000C55C1" w:rsidRPr="00B045D2">
        <w:t xml:space="preserve"> </w:t>
      </w:r>
      <w:r w:rsidRPr="000C55C1">
        <w:t>wave of the PSID-TAS collects a host of demographic information from the young adult</w:t>
      </w:r>
      <w:r>
        <w:t xml:space="preserve"> participants. </w:t>
      </w:r>
      <w:r w:rsidR="005D3D4C">
        <w:t>Respondents</w:t>
      </w:r>
      <w:r>
        <w:t xml:space="preserve"> </w:t>
      </w:r>
      <w:proofErr w:type="gramStart"/>
      <w:r>
        <w:t>are able to</w:t>
      </w:r>
      <w:proofErr w:type="gramEnd"/>
      <w:r>
        <w:t xml:space="preserve"> provide more nuanced information on their backgrounds, allowing them to </w:t>
      </w:r>
      <w:r w:rsidR="00B44CB1">
        <w:t>report</w:t>
      </w:r>
      <w:r>
        <w:t xml:space="preserve"> up to five</w:t>
      </w:r>
      <w:r w:rsidR="005D3D4C">
        <w:t xml:space="preserve"> </w:t>
      </w:r>
      <w:r>
        <w:t>racial categories.</w:t>
      </w:r>
      <w:r w:rsidR="005D3D4C" w:rsidRPr="00BF1962">
        <w:rPr>
          <w:vertAlign w:val="superscript"/>
        </w:rPr>
        <w:endnoteReference w:id="74"/>
      </w:r>
      <w:r>
        <w:t xml:space="preserve"> To create an overall race or ethnicity indicator, each individual’s responses </w:t>
      </w:r>
      <w:r w:rsidR="307498D4">
        <w:t>were aggregated</w:t>
      </w:r>
      <w:r>
        <w:t xml:space="preserve"> across all waves in which they participated, </w:t>
      </w:r>
      <w:r w:rsidR="000928D5">
        <w:t xml:space="preserve">to </w:t>
      </w:r>
      <w:r>
        <w:t xml:space="preserve">derive the following categorizations: </w:t>
      </w:r>
    </w:p>
    <w:p w14:paraId="55790B07" w14:textId="0421940D" w:rsidR="00B73CF9" w:rsidRDefault="00B73CF9" w:rsidP="00FB60EF">
      <w:pPr>
        <w:pStyle w:val="NoSpacing"/>
        <w:numPr>
          <w:ilvl w:val="0"/>
          <w:numId w:val="12"/>
        </w:numPr>
      </w:pPr>
      <w:r w:rsidRPr="00F12147">
        <w:rPr>
          <w:i/>
          <w:iCs/>
        </w:rPr>
        <w:t>Latinx</w:t>
      </w:r>
      <w:r>
        <w:t xml:space="preserve"> if they ever reported their ethnicity as </w:t>
      </w:r>
      <w:r w:rsidR="008D13B5">
        <w:t xml:space="preserve">Latino </w:t>
      </w:r>
      <w:r>
        <w:t>and/or Hispanic.</w:t>
      </w:r>
    </w:p>
    <w:p w14:paraId="1FA8EC47" w14:textId="63B10187" w:rsidR="00B73CF9" w:rsidRDefault="00B73CF9" w:rsidP="00FB60EF">
      <w:pPr>
        <w:pStyle w:val="NoSpacing"/>
        <w:numPr>
          <w:ilvl w:val="0"/>
          <w:numId w:val="12"/>
        </w:numPr>
      </w:pPr>
      <w:r w:rsidRPr="00F12147">
        <w:rPr>
          <w:i/>
          <w:iCs/>
        </w:rPr>
        <w:t>Black</w:t>
      </w:r>
      <w:r>
        <w:t xml:space="preserve"> if they only report their race as Black.</w:t>
      </w:r>
    </w:p>
    <w:p w14:paraId="2E7D2660" w14:textId="0B6D1EE8" w:rsidR="00B73CF9" w:rsidRDefault="00B73CF9" w:rsidP="00FB60EF">
      <w:pPr>
        <w:pStyle w:val="NoSpacing"/>
        <w:numPr>
          <w:ilvl w:val="0"/>
          <w:numId w:val="12"/>
        </w:numPr>
      </w:pPr>
      <w:bookmarkStart w:id="47" w:name="OLE_LINK3"/>
      <w:bookmarkStart w:id="48" w:name="OLE_LINK4"/>
      <w:r w:rsidRPr="00F12147">
        <w:rPr>
          <w:i/>
          <w:iCs/>
        </w:rPr>
        <w:t>White</w:t>
      </w:r>
      <w:r>
        <w:t xml:space="preserve"> if they only report their race as White.</w:t>
      </w:r>
    </w:p>
    <w:bookmarkEnd w:id="47"/>
    <w:bookmarkEnd w:id="48"/>
    <w:p w14:paraId="12360EC3" w14:textId="22C9D651" w:rsidR="00B73CF9" w:rsidRDefault="00B73CF9" w:rsidP="00FB60EF">
      <w:pPr>
        <w:pStyle w:val="NoSpacing"/>
        <w:numPr>
          <w:ilvl w:val="0"/>
          <w:numId w:val="12"/>
        </w:numPr>
      </w:pPr>
      <w:r w:rsidRPr="00F12147">
        <w:rPr>
          <w:i/>
          <w:iCs/>
        </w:rPr>
        <w:t xml:space="preserve">Another </w:t>
      </w:r>
      <w:r w:rsidR="00CE32B1" w:rsidRPr="00F12147">
        <w:rPr>
          <w:i/>
          <w:iCs/>
        </w:rPr>
        <w:t>r</w:t>
      </w:r>
      <w:r w:rsidRPr="00F12147">
        <w:rPr>
          <w:i/>
          <w:iCs/>
        </w:rPr>
        <w:t>ace</w:t>
      </w:r>
      <w:r>
        <w:t xml:space="preserve"> if they were not Latinx, </w:t>
      </w:r>
      <w:r w:rsidR="00FC76B9">
        <w:t>and</w:t>
      </w:r>
      <w:r>
        <w:t xml:space="preserve"> identified as Asian, American</w:t>
      </w:r>
      <w:r w:rsidR="00290116">
        <w:t xml:space="preserve"> </w:t>
      </w:r>
      <w:r>
        <w:t xml:space="preserve">Indian or Alaska Native, Native Hawaiian or </w:t>
      </w:r>
      <w:r w:rsidR="000928D5">
        <w:t xml:space="preserve">other </w:t>
      </w:r>
      <w:r>
        <w:t>Pacific Islander, Middle Eastern or North African</w:t>
      </w:r>
      <w:r w:rsidR="003877B5">
        <w:t>, or reported more than one race.</w:t>
      </w:r>
    </w:p>
    <w:p w14:paraId="3EE1192B" w14:textId="3661A755" w:rsidR="00B73CF9" w:rsidRDefault="00B73CF9" w:rsidP="004B1105">
      <w:pPr>
        <w:pStyle w:val="NoSpacing"/>
      </w:pPr>
    </w:p>
    <w:p w14:paraId="5C8F67A7" w14:textId="789381EC" w:rsidR="00B73CF9" w:rsidRDefault="00253844" w:rsidP="004B1105">
      <w:pPr>
        <w:pStyle w:val="NoSpacing"/>
      </w:pPr>
      <w:r>
        <w:t xml:space="preserve">There are trade-offs to this approach. </w:t>
      </w:r>
      <w:r w:rsidR="00881C7D">
        <w:t xml:space="preserve">Creating </w:t>
      </w:r>
      <w:r w:rsidR="0058351A">
        <w:t xml:space="preserve">more nuanced race or ethnicity indicators </w:t>
      </w:r>
      <w:r w:rsidR="001E2F1C">
        <w:t>would</w:t>
      </w:r>
      <w:r w:rsidR="0058351A">
        <w:t xml:space="preserve"> better represent </w:t>
      </w:r>
      <w:r w:rsidR="00085954">
        <w:t xml:space="preserve">respondents and their experiences than </w:t>
      </w:r>
      <w:r w:rsidR="00A921FF">
        <w:t>using a combined indicator</w:t>
      </w:r>
      <w:r w:rsidR="00085954">
        <w:t xml:space="preserve">, </w:t>
      </w:r>
      <w:r w:rsidR="001E2F1C">
        <w:t xml:space="preserve">but many of those detailed groups would have needed to be excluded from </w:t>
      </w:r>
      <w:r w:rsidR="6AE5459C">
        <w:t>this study</w:t>
      </w:r>
      <w:r w:rsidR="001E2F1C">
        <w:t xml:space="preserve"> due to small sample sizes. </w:t>
      </w:r>
      <w:r w:rsidR="0B499029">
        <w:t xml:space="preserve">The creation </w:t>
      </w:r>
      <w:r w:rsidR="1BC554F5">
        <w:t>of</w:t>
      </w:r>
      <w:r w:rsidR="001431E6">
        <w:t xml:space="preserve"> these race or ethnicity indicators</w:t>
      </w:r>
      <w:r w:rsidR="00B73CF9">
        <w:t xml:space="preserve"> </w:t>
      </w:r>
      <w:r w:rsidR="64B88F12">
        <w:t>helped</w:t>
      </w:r>
      <w:r w:rsidR="00B73CF9">
        <w:t xml:space="preserve"> retain </w:t>
      </w:r>
      <w:r w:rsidR="001431E6">
        <w:t xml:space="preserve">as many individuals from the sample as possible. </w:t>
      </w:r>
    </w:p>
    <w:p w14:paraId="04885421" w14:textId="77777777" w:rsidR="00B73CF9" w:rsidRDefault="00B73CF9" w:rsidP="004B1105">
      <w:pPr>
        <w:pStyle w:val="NoSpacing"/>
      </w:pPr>
    </w:p>
    <w:p w14:paraId="381130B4" w14:textId="77777777" w:rsidR="001701C7" w:rsidRDefault="001701C7" w:rsidP="004B1105">
      <w:pPr>
        <w:pStyle w:val="NoSpacing"/>
      </w:pPr>
    </w:p>
    <w:p w14:paraId="7D101D06" w14:textId="73E286CB" w:rsidR="00B73CF9" w:rsidRPr="00507479" w:rsidRDefault="009B27B9" w:rsidP="004B1105">
      <w:pPr>
        <w:pStyle w:val="NoSpacing"/>
        <w:rPr>
          <w:b/>
          <w:bCs/>
        </w:rPr>
      </w:pPr>
      <w:r>
        <w:rPr>
          <w:b/>
          <w:bCs/>
        </w:rPr>
        <w:lastRenderedPageBreak/>
        <w:t xml:space="preserve">Defining </w:t>
      </w:r>
      <w:r w:rsidR="00B73CF9">
        <w:rPr>
          <w:b/>
          <w:bCs/>
        </w:rPr>
        <w:t xml:space="preserve">PSID Income </w:t>
      </w:r>
      <w:r w:rsidR="00DB1DEC">
        <w:rPr>
          <w:b/>
          <w:bCs/>
        </w:rPr>
        <w:t xml:space="preserve">and </w:t>
      </w:r>
      <w:r w:rsidR="00B73CF9">
        <w:rPr>
          <w:b/>
          <w:bCs/>
        </w:rPr>
        <w:t>Wealth Groups</w:t>
      </w:r>
    </w:p>
    <w:p w14:paraId="6E36615E" w14:textId="77777777" w:rsidR="00B73CF9" w:rsidRDefault="00B73CF9" w:rsidP="004B1105">
      <w:pPr>
        <w:pStyle w:val="NoSpacing"/>
      </w:pPr>
    </w:p>
    <w:p w14:paraId="37424C75" w14:textId="7D61B54F" w:rsidR="00B73CF9" w:rsidRDefault="004A5E65" w:rsidP="004B1105">
      <w:pPr>
        <w:pStyle w:val="NoSpacing"/>
      </w:pPr>
      <w:r>
        <w:t xml:space="preserve">As </w:t>
      </w:r>
      <w:r w:rsidR="007D139D">
        <w:t>PSID-TAS</w:t>
      </w:r>
      <w:r w:rsidR="00B73CF9">
        <w:t xml:space="preserve"> participants enter and exit the TAS survey in different </w:t>
      </w:r>
      <w:r w:rsidR="006134C4">
        <w:t>years</w:t>
      </w:r>
      <w:r w:rsidR="00B73CF9">
        <w:t xml:space="preserve">, </w:t>
      </w:r>
      <w:r w:rsidR="00D610E4">
        <w:t xml:space="preserve">this analysis </w:t>
      </w:r>
      <w:r w:rsidR="00B73CF9">
        <w:t>focus</w:t>
      </w:r>
      <w:r w:rsidR="00AD2F89">
        <w:t>es</w:t>
      </w:r>
      <w:r w:rsidR="00B73CF9">
        <w:t xml:space="preserve"> on characterizing levels of income and wealth in the period preceding their potential college enrollment. To </w:t>
      </w:r>
      <w:r w:rsidR="007D706C">
        <w:t>categorize</w:t>
      </w:r>
      <w:r w:rsidR="00B73CF9">
        <w:t xml:space="preserve"> students of similar incomes and wealth levels, </w:t>
      </w:r>
      <w:r w:rsidR="00157D5D">
        <w:t>respondents</w:t>
      </w:r>
      <w:r w:rsidR="00662BED">
        <w:t xml:space="preserve"> are divided</w:t>
      </w:r>
      <w:r w:rsidR="00157D5D">
        <w:t xml:space="preserve"> into terciles (top third, middle third, bottom third)</w:t>
      </w:r>
      <w:r w:rsidR="00085C41">
        <w:t xml:space="preserve">, based on </w:t>
      </w:r>
      <w:r w:rsidR="00734F0B">
        <w:t xml:space="preserve">their household </w:t>
      </w:r>
      <w:r w:rsidR="00B73CF9">
        <w:t xml:space="preserve">income and wealth for each survey year. </w:t>
      </w:r>
      <w:r w:rsidR="00085C41">
        <w:t>The cut</w:t>
      </w:r>
      <w:r w:rsidR="15E0D1D9">
        <w:t xml:space="preserve"> </w:t>
      </w:r>
      <w:r w:rsidR="00085C41">
        <w:t xml:space="preserve">points for those terciles </w:t>
      </w:r>
      <w:r w:rsidR="00D2401C">
        <w:t>are</w:t>
      </w:r>
      <w:r w:rsidR="00085C41">
        <w:t xml:space="preserve"> applied to all racial and ethnic groups</w:t>
      </w:r>
      <w:r w:rsidR="003036FB">
        <w:t xml:space="preserve">. For PSID-TAS respondents who attended college, </w:t>
      </w:r>
      <w:r w:rsidR="00D2401C">
        <w:t xml:space="preserve">we identify </w:t>
      </w:r>
      <w:r w:rsidR="00B73CF9">
        <w:t xml:space="preserve">the income and wealth </w:t>
      </w:r>
      <w:r w:rsidR="008A6394">
        <w:t>terciles</w:t>
      </w:r>
      <w:r w:rsidR="00B73CF9">
        <w:t xml:space="preserve"> </w:t>
      </w:r>
      <w:r w:rsidR="00D2401C">
        <w:t xml:space="preserve">their households </w:t>
      </w:r>
      <w:r w:rsidR="00B73CF9">
        <w:t xml:space="preserve">belonged to </w:t>
      </w:r>
      <w:r w:rsidR="00746317">
        <w:t>prior to</w:t>
      </w:r>
      <w:r w:rsidR="00B73CF9">
        <w:t xml:space="preserve"> college enrollment</w:t>
      </w:r>
      <w:r w:rsidR="00746317">
        <w:t xml:space="preserve">. </w:t>
      </w:r>
      <w:r w:rsidR="003B61D0">
        <w:t>R</w:t>
      </w:r>
      <w:r w:rsidR="00746317">
        <w:t>espondents who never</w:t>
      </w:r>
      <w:r w:rsidR="00B73CF9">
        <w:t xml:space="preserve"> </w:t>
      </w:r>
      <w:r w:rsidR="00746317">
        <w:t xml:space="preserve">attended college </w:t>
      </w:r>
      <w:r w:rsidR="00026471">
        <w:t xml:space="preserve">are </w:t>
      </w:r>
      <w:r w:rsidR="00746317">
        <w:t>assign</w:t>
      </w:r>
      <w:r w:rsidR="00026471">
        <w:t>ed</w:t>
      </w:r>
      <w:r w:rsidR="00746317">
        <w:t xml:space="preserve"> the income and wealth </w:t>
      </w:r>
      <w:r w:rsidR="00026471">
        <w:t>tercile they belonged to</w:t>
      </w:r>
      <w:r w:rsidR="00746317">
        <w:t xml:space="preserve"> in </w:t>
      </w:r>
      <w:r w:rsidR="00B73CF9">
        <w:t>the</w:t>
      </w:r>
      <w:r w:rsidR="00746317">
        <w:t xml:space="preserve"> year </w:t>
      </w:r>
      <w:r w:rsidR="00B73CF9">
        <w:t xml:space="preserve">they </w:t>
      </w:r>
      <w:r w:rsidR="00746317">
        <w:t>first</w:t>
      </w:r>
      <w:r w:rsidR="00B73CF9">
        <w:t xml:space="preserve"> entered the </w:t>
      </w:r>
      <w:r w:rsidR="00746317">
        <w:t>TAS</w:t>
      </w:r>
      <w:r w:rsidR="00B73CF9">
        <w:t xml:space="preserve"> study. </w:t>
      </w:r>
    </w:p>
    <w:p w14:paraId="057C0158" w14:textId="77777777" w:rsidR="00B73CF9" w:rsidRDefault="00B73CF9" w:rsidP="004B1105">
      <w:pPr>
        <w:pStyle w:val="NoSpacing"/>
      </w:pPr>
    </w:p>
    <w:p w14:paraId="014C4279" w14:textId="53C81727" w:rsidR="00B73CF9" w:rsidRPr="005807AF" w:rsidRDefault="00B73CF9" w:rsidP="004B1105">
      <w:pPr>
        <w:pStyle w:val="NoSpacing"/>
        <w:rPr>
          <w:b/>
          <w:bCs/>
        </w:rPr>
      </w:pPr>
      <w:r>
        <w:rPr>
          <w:b/>
          <w:bCs/>
        </w:rPr>
        <w:t>College Enrollment, Degree Completion, and Borrowing Outcomes</w:t>
      </w:r>
    </w:p>
    <w:p w14:paraId="659EC398" w14:textId="77777777" w:rsidR="00B73CF9" w:rsidRDefault="00B73CF9" w:rsidP="004B1105">
      <w:pPr>
        <w:pStyle w:val="NoSpacing"/>
      </w:pPr>
    </w:p>
    <w:p w14:paraId="16C27B6F" w14:textId="4FF6D21A" w:rsidR="00B73CF9" w:rsidRDefault="00717DD9" w:rsidP="004B1105">
      <w:pPr>
        <w:pStyle w:val="NoSpacing"/>
      </w:pPr>
      <w:r>
        <w:t xml:space="preserve">The PSID </w:t>
      </w:r>
      <w:r w:rsidR="00B73CF9">
        <w:t xml:space="preserve">outcomes of interest </w:t>
      </w:r>
      <w:r w:rsidR="00233D39">
        <w:t xml:space="preserve">identify </w:t>
      </w:r>
      <w:r w:rsidR="00B73CF9">
        <w:t xml:space="preserve">whether a respondent ever enrolls in college and </w:t>
      </w:r>
      <w:r w:rsidR="002940E7">
        <w:t xml:space="preserve">whether college attendees </w:t>
      </w:r>
      <w:r w:rsidR="00B73CF9">
        <w:t>complete a degree</w:t>
      </w:r>
      <w:r w:rsidR="002940E7">
        <w:t xml:space="preserve"> or</w:t>
      </w:r>
      <w:r w:rsidR="00B73CF9">
        <w:t xml:space="preserve"> ever </w:t>
      </w:r>
      <w:r w:rsidR="00AA4969">
        <w:t xml:space="preserve">take out </w:t>
      </w:r>
      <w:r w:rsidR="00B73CF9">
        <w:t xml:space="preserve">student loans. As respondents are observed in multiple </w:t>
      </w:r>
      <w:r w:rsidR="00593586">
        <w:t>survey years</w:t>
      </w:r>
      <w:r w:rsidR="00B73CF9">
        <w:t xml:space="preserve">, responses </w:t>
      </w:r>
      <w:r w:rsidR="00E47A47">
        <w:t xml:space="preserve">are </w:t>
      </w:r>
      <w:r w:rsidR="00B73CF9">
        <w:t>aggregate</w:t>
      </w:r>
      <w:r w:rsidR="00480B7B">
        <w:t>d</w:t>
      </w:r>
      <w:r w:rsidR="00B73CF9">
        <w:t xml:space="preserve"> across </w:t>
      </w:r>
      <w:r w:rsidR="00480B7B">
        <w:t xml:space="preserve">all survey </w:t>
      </w:r>
      <w:r w:rsidR="00B73CF9">
        <w:t xml:space="preserve">waves </w:t>
      </w:r>
      <w:r w:rsidR="00480B7B">
        <w:t xml:space="preserve">to </w:t>
      </w:r>
      <w:r w:rsidR="00B73CF9">
        <w:t xml:space="preserve">create binary outcomes </w:t>
      </w:r>
      <w:r w:rsidR="00480B7B">
        <w:t>that</w:t>
      </w:r>
      <w:r w:rsidR="00B73CF9">
        <w:t xml:space="preserve"> identify if they ever report attending college, completing a degree, or </w:t>
      </w:r>
      <w:r w:rsidR="00AA4969">
        <w:t xml:space="preserve">taking out </w:t>
      </w:r>
      <w:r w:rsidR="00480B7B">
        <w:t>a student loan</w:t>
      </w:r>
      <w:r w:rsidR="006D7DD7">
        <w:t>.</w:t>
      </w:r>
      <w:r w:rsidR="00771F45">
        <w:rPr>
          <w:rStyle w:val="EndnoteReference"/>
        </w:rPr>
        <w:endnoteReference w:id="75"/>
      </w:r>
      <w:r w:rsidR="00B73CF9">
        <w:t xml:space="preserve">  </w:t>
      </w:r>
    </w:p>
    <w:p w14:paraId="1882D271" w14:textId="77777777" w:rsidR="00220155" w:rsidRDefault="00220155" w:rsidP="004B1105"/>
    <w:p w14:paraId="381373D6" w14:textId="77777777" w:rsidR="00151166" w:rsidRDefault="00151166" w:rsidP="004B1105">
      <w:pPr>
        <w:spacing w:after="160" w:line="259" w:lineRule="auto"/>
        <w:rPr>
          <w:rFonts w:eastAsiaTheme="minorHAnsi" w:cstheme="minorBidi"/>
          <w:szCs w:val="22"/>
        </w:rPr>
        <w:sectPr w:rsidR="00151166" w:rsidSect="001A7A59">
          <w:footnotePr>
            <w:numFmt w:val="lowerRoman"/>
          </w:footnotePr>
          <w:endnotePr>
            <w:numFmt w:val="decimal"/>
          </w:endnotePr>
          <w:pgSz w:w="12240" w:h="15840"/>
          <w:pgMar w:top="1440" w:right="1440" w:bottom="1440" w:left="1440" w:header="720" w:footer="720" w:gutter="0"/>
          <w:cols w:space="720"/>
          <w:docGrid w:linePitch="360"/>
        </w:sectPr>
      </w:pPr>
    </w:p>
    <w:p w14:paraId="00616010" w14:textId="0CEA494F" w:rsidR="000B0F3E" w:rsidRDefault="00745303" w:rsidP="004B1105">
      <w:pPr>
        <w:pStyle w:val="Heading2"/>
      </w:pPr>
      <w:bookmarkStart w:id="49" w:name="_Toc167901760"/>
      <w:r>
        <w:lastRenderedPageBreak/>
        <w:t>Table Appendices</w:t>
      </w:r>
      <w:bookmarkEnd w:id="49"/>
    </w:p>
    <w:p w14:paraId="0E1E6371" w14:textId="77777777" w:rsidR="00151166" w:rsidRDefault="00151166" w:rsidP="004B1105"/>
    <w:p w14:paraId="13D0AF22" w14:textId="798F5CA0" w:rsidR="00151166" w:rsidRPr="0071267C" w:rsidRDefault="00151166" w:rsidP="004B1105">
      <w:r w:rsidRPr="0071267C">
        <w:rPr>
          <w:b/>
          <w:bCs/>
        </w:rPr>
        <w:t>Table</w:t>
      </w:r>
      <w:r>
        <w:rPr>
          <w:b/>
          <w:bCs/>
        </w:rPr>
        <w:t xml:space="preserve"> A-1</w:t>
      </w:r>
      <w:r w:rsidR="009F57B4">
        <w:rPr>
          <w:b/>
          <w:bCs/>
        </w:rPr>
        <w:t>.</w:t>
      </w:r>
      <w:r w:rsidRPr="0071267C">
        <w:rPr>
          <w:b/>
          <w:bCs/>
        </w:rPr>
        <w:t xml:space="preserve"> </w:t>
      </w:r>
      <w:r w:rsidR="008501CA">
        <w:t xml:space="preserve">Share of Respondents </w:t>
      </w:r>
      <w:r w:rsidRPr="006B60CE">
        <w:t xml:space="preserve">Saving for Children's </w:t>
      </w:r>
      <w:r>
        <w:t xml:space="preserve">College </w:t>
      </w:r>
      <w:r w:rsidRPr="006B60CE">
        <w:t>Education, by Race Indicator and Census Division</w:t>
      </w:r>
    </w:p>
    <w:tbl>
      <w:tblPr>
        <w:tblW w:w="79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0"/>
        <w:gridCol w:w="900"/>
        <w:gridCol w:w="1350"/>
        <w:gridCol w:w="1080"/>
        <w:gridCol w:w="1350"/>
      </w:tblGrid>
      <w:tr w:rsidR="00151166" w:rsidRPr="00B72B47" w14:paraId="286A5CA3" w14:textId="77777777" w:rsidTr="00F12147">
        <w:trPr>
          <w:trHeight w:val="300"/>
        </w:trPr>
        <w:tc>
          <w:tcPr>
            <w:tcW w:w="3240" w:type="dxa"/>
            <w:tcBorders>
              <w:top w:val="single" w:sz="6" w:space="0" w:color="auto"/>
              <w:left w:val="nil"/>
              <w:bottom w:val="nil"/>
              <w:right w:val="nil"/>
            </w:tcBorders>
            <w:shd w:val="clear" w:color="auto" w:fill="auto"/>
            <w:hideMark/>
          </w:tcPr>
          <w:p w14:paraId="47DB6160" w14:textId="77777777" w:rsidR="00151166" w:rsidRPr="00B72B47" w:rsidRDefault="00151166" w:rsidP="004B1105">
            <w:pPr>
              <w:textAlignment w:val="baseline"/>
              <w:rPr>
                <w:rFonts w:cstheme="minorHAnsi"/>
              </w:rPr>
            </w:pPr>
            <w:r w:rsidRPr="00B72B47">
              <w:rPr>
                <w:rFonts w:cstheme="minorHAnsi"/>
              </w:rPr>
              <w:t> </w:t>
            </w:r>
          </w:p>
        </w:tc>
        <w:tc>
          <w:tcPr>
            <w:tcW w:w="2250" w:type="dxa"/>
            <w:gridSpan w:val="2"/>
            <w:tcBorders>
              <w:top w:val="single" w:sz="6" w:space="0" w:color="auto"/>
              <w:left w:val="nil"/>
              <w:bottom w:val="nil"/>
              <w:right w:val="nil"/>
            </w:tcBorders>
            <w:shd w:val="clear" w:color="auto" w:fill="auto"/>
            <w:hideMark/>
          </w:tcPr>
          <w:p w14:paraId="4633784A" w14:textId="325BFF6E" w:rsidR="00151166" w:rsidRPr="00B72B47" w:rsidRDefault="002F2C8B" w:rsidP="00456E21">
            <w:pPr>
              <w:textAlignment w:val="baseline"/>
              <w:rPr>
                <w:rFonts w:cstheme="minorHAnsi"/>
              </w:rPr>
            </w:pPr>
            <w:r>
              <w:rPr>
                <w:rFonts w:cstheme="minorHAnsi"/>
              </w:rPr>
              <w:t>Percent</w:t>
            </w:r>
            <w:r w:rsidR="00151166">
              <w:rPr>
                <w:rFonts w:cstheme="minorHAnsi"/>
              </w:rPr>
              <w:t xml:space="preserve"> Saving for </w:t>
            </w:r>
            <w:r w:rsidR="00066035">
              <w:rPr>
                <w:rFonts w:cstheme="minorHAnsi"/>
              </w:rPr>
              <w:t xml:space="preserve">their </w:t>
            </w:r>
            <w:r w:rsidR="00151166">
              <w:rPr>
                <w:rFonts w:cstheme="minorHAnsi"/>
              </w:rPr>
              <w:t>Children</w:t>
            </w:r>
            <w:r w:rsidR="0005525C">
              <w:rPr>
                <w:rFonts w:cstheme="minorHAnsi"/>
              </w:rPr>
              <w:t>’</w:t>
            </w:r>
            <w:r w:rsidR="00151166">
              <w:rPr>
                <w:rFonts w:cstheme="minorHAnsi"/>
              </w:rPr>
              <w:t>s College Education</w:t>
            </w:r>
          </w:p>
        </w:tc>
        <w:tc>
          <w:tcPr>
            <w:tcW w:w="2430" w:type="dxa"/>
            <w:gridSpan w:val="2"/>
            <w:tcBorders>
              <w:top w:val="single" w:sz="6" w:space="0" w:color="auto"/>
              <w:left w:val="nil"/>
              <w:bottom w:val="nil"/>
              <w:right w:val="nil"/>
            </w:tcBorders>
            <w:shd w:val="clear" w:color="auto" w:fill="auto"/>
            <w:hideMark/>
          </w:tcPr>
          <w:p w14:paraId="3F9A959C" w14:textId="045D3441" w:rsidR="00151166" w:rsidRPr="00B72B47" w:rsidRDefault="00066035" w:rsidP="00456E21">
            <w:pPr>
              <w:textAlignment w:val="baseline"/>
              <w:rPr>
                <w:rFonts w:cstheme="minorHAnsi"/>
              </w:rPr>
            </w:pPr>
            <w:r>
              <w:rPr>
                <w:rFonts w:cstheme="minorHAnsi"/>
              </w:rPr>
              <w:t>Sample Sizes</w:t>
            </w:r>
          </w:p>
        </w:tc>
      </w:tr>
      <w:tr w:rsidR="00151166" w:rsidRPr="00B72B47" w14:paraId="2DD6AA5B" w14:textId="77777777" w:rsidTr="00F12147">
        <w:trPr>
          <w:trHeight w:val="300"/>
        </w:trPr>
        <w:tc>
          <w:tcPr>
            <w:tcW w:w="3240" w:type="dxa"/>
            <w:tcBorders>
              <w:top w:val="nil"/>
              <w:left w:val="nil"/>
              <w:bottom w:val="single" w:sz="6" w:space="0" w:color="auto"/>
              <w:right w:val="nil"/>
            </w:tcBorders>
            <w:shd w:val="clear" w:color="auto" w:fill="auto"/>
            <w:hideMark/>
          </w:tcPr>
          <w:p w14:paraId="1370A053" w14:textId="77777777" w:rsidR="00151166" w:rsidRPr="00B72B47" w:rsidRDefault="00151166" w:rsidP="004B1105">
            <w:pPr>
              <w:textAlignment w:val="baseline"/>
              <w:rPr>
                <w:rFonts w:cstheme="minorHAnsi"/>
              </w:rPr>
            </w:pPr>
            <w:r w:rsidRPr="00B72B47">
              <w:rPr>
                <w:rFonts w:cstheme="minorHAnsi"/>
              </w:rPr>
              <w:t> </w:t>
            </w:r>
          </w:p>
        </w:tc>
        <w:tc>
          <w:tcPr>
            <w:tcW w:w="900" w:type="dxa"/>
            <w:tcBorders>
              <w:top w:val="nil"/>
              <w:left w:val="nil"/>
              <w:bottom w:val="single" w:sz="6" w:space="0" w:color="auto"/>
              <w:right w:val="nil"/>
            </w:tcBorders>
            <w:shd w:val="clear" w:color="auto" w:fill="auto"/>
            <w:vAlign w:val="bottom"/>
            <w:hideMark/>
          </w:tcPr>
          <w:p w14:paraId="62C35216" w14:textId="77777777" w:rsidR="00151166" w:rsidRPr="00B72B47" w:rsidRDefault="00151166" w:rsidP="0085119C">
            <w:pPr>
              <w:textAlignment w:val="baseline"/>
              <w:rPr>
                <w:rFonts w:cstheme="minorHAnsi"/>
              </w:rPr>
            </w:pPr>
            <w:r w:rsidRPr="00B72B47">
              <w:rPr>
                <w:rFonts w:cstheme="minorHAnsi"/>
              </w:rPr>
              <w:t>White</w:t>
            </w:r>
          </w:p>
        </w:tc>
        <w:tc>
          <w:tcPr>
            <w:tcW w:w="1350" w:type="dxa"/>
            <w:tcBorders>
              <w:top w:val="nil"/>
              <w:left w:val="nil"/>
              <w:bottom w:val="single" w:sz="6" w:space="0" w:color="auto"/>
              <w:right w:val="nil"/>
            </w:tcBorders>
            <w:shd w:val="clear" w:color="auto" w:fill="auto"/>
            <w:vAlign w:val="bottom"/>
            <w:hideMark/>
          </w:tcPr>
          <w:p w14:paraId="7A311032" w14:textId="06AA5624" w:rsidR="00151166" w:rsidRPr="00B72B47" w:rsidRDefault="00151166" w:rsidP="0085119C">
            <w:pPr>
              <w:textAlignment w:val="baseline"/>
              <w:rPr>
                <w:rFonts w:cstheme="minorHAnsi"/>
              </w:rPr>
            </w:pPr>
            <w:r w:rsidRPr="00B72B47">
              <w:rPr>
                <w:rFonts w:cstheme="minorHAnsi"/>
              </w:rPr>
              <w:t>Resp</w:t>
            </w:r>
            <w:r w:rsidR="006E44E8">
              <w:rPr>
                <w:rFonts w:cstheme="minorHAnsi"/>
              </w:rPr>
              <w:t>ondents</w:t>
            </w:r>
            <w:r w:rsidR="006E44E8" w:rsidRPr="00B72B47">
              <w:rPr>
                <w:rFonts w:cstheme="minorHAnsi"/>
              </w:rPr>
              <w:t xml:space="preserve"> </w:t>
            </w:r>
            <w:r w:rsidRPr="00B72B47">
              <w:rPr>
                <w:rFonts w:cstheme="minorHAnsi"/>
              </w:rPr>
              <w:t>of Color</w:t>
            </w:r>
          </w:p>
        </w:tc>
        <w:tc>
          <w:tcPr>
            <w:tcW w:w="1080" w:type="dxa"/>
            <w:tcBorders>
              <w:top w:val="nil"/>
              <w:left w:val="nil"/>
              <w:bottom w:val="single" w:sz="6" w:space="0" w:color="auto"/>
              <w:right w:val="nil"/>
            </w:tcBorders>
            <w:shd w:val="clear" w:color="auto" w:fill="auto"/>
            <w:vAlign w:val="bottom"/>
            <w:hideMark/>
          </w:tcPr>
          <w:p w14:paraId="4747582F" w14:textId="77777777" w:rsidR="00151166" w:rsidRPr="00B72B47" w:rsidRDefault="00151166" w:rsidP="0085119C">
            <w:pPr>
              <w:textAlignment w:val="baseline"/>
              <w:rPr>
                <w:rFonts w:cstheme="minorHAnsi"/>
              </w:rPr>
            </w:pPr>
            <w:r w:rsidRPr="00B72B47">
              <w:rPr>
                <w:rFonts w:cstheme="minorHAnsi"/>
              </w:rPr>
              <w:t>White</w:t>
            </w:r>
          </w:p>
        </w:tc>
        <w:tc>
          <w:tcPr>
            <w:tcW w:w="1350" w:type="dxa"/>
            <w:tcBorders>
              <w:top w:val="nil"/>
              <w:left w:val="nil"/>
              <w:bottom w:val="single" w:sz="6" w:space="0" w:color="auto"/>
              <w:right w:val="nil"/>
            </w:tcBorders>
            <w:shd w:val="clear" w:color="auto" w:fill="auto"/>
            <w:vAlign w:val="bottom"/>
            <w:hideMark/>
          </w:tcPr>
          <w:p w14:paraId="170ECCE2" w14:textId="4FB76337" w:rsidR="00151166" w:rsidRPr="00B72B47" w:rsidRDefault="006E44E8" w:rsidP="0085119C">
            <w:pPr>
              <w:textAlignment w:val="baseline"/>
              <w:rPr>
                <w:rFonts w:cstheme="minorHAnsi"/>
              </w:rPr>
            </w:pPr>
            <w:r w:rsidRPr="00B72B47">
              <w:rPr>
                <w:rFonts w:cstheme="minorHAnsi"/>
              </w:rPr>
              <w:t>Resp</w:t>
            </w:r>
            <w:r>
              <w:rPr>
                <w:rFonts w:cstheme="minorHAnsi"/>
              </w:rPr>
              <w:t>ondents</w:t>
            </w:r>
            <w:r w:rsidRPr="00B72B47">
              <w:rPr>
                <w:rFonts w:cstheme="minorHAnsi"/>
              </w:rPr>
              <w:t xml:space="preserve"> of Color</w:t>
            </w:r>
          </w:p>
        </w:tc>
      </w:tr>
      <w:tr w:rsidR="00151166" w:rsidRPr="00B72B47" w14:paraId="0439F510" w14:textId="77777777" w:rsidTr="00F12147">
        <w:trPr>
          <w:trHeight w:val="300"/>
        </w:trPr>
        <w:tc>
          <w:tcPr>
            <w:tcW w:w="3240" w:type="dxa"/>
            <w:tcBorders>
              <w:top w:val="single" w:sz="6" w:space="0" w:color="auto"/>
              <w:left w:val="nil"/>
              <w:bottom w:val="nil"/>
              <w:right w:val="nil"/>
            </w:tcBorders>
            <w:shd w:val="clear" w:color="auto" w:fill="auto"/>
            <w:vAlign w:val="bottom"/>
            <w:hideMark/>
          </w:tcPr>
          <w:p w14:paraId="1F523E00" w14:textId="6E1C3FE3" w:rsidR="00151166" w:rsidRPr="00B72B47" w:rsidRDefault="00151166" w:rsidP="004B1105">
            <w:pPr>
              <w:textAlignment w:val="baseline"/>
              <w:rPr>
                <w:rFonts w:cstheme="minorHAnsi"/>
              </w:rPr>
            </w:pPr>
            <w:r w:rsidRPr="00B72B47">
              <w:rPr>
                <w:rFonts w:cstheme="minorHAnsi"/>
              </w:rPr>
              <w:t xml:space="preserve">  </w:t>
            </w:r>
            <w:r w:rsidRPr="00B72B47">
              <w:rPr>
                <w:rFonts w:cstheme="minorHAnsi"/>
                <w:b/>
              </w:rPr>
              <w:t xml:space="preserve">No </w:t>
            </w:r>
            <w:r w:rsidR="00D30D2C">
              <w:rPr>
                <w:rFonts w:cstheme="minorHAnsi"/>
                <w:b/>
              </w:rPr>
              <w:t>W</w:t>
            </w:r>
            <w:r w:rsidRPr="00B72B47">
              <w:rPr>
                <w:rFonts w:cstheme="minorHAnsi"/>
                <w:b/>
              </w:rPr>
              <w:t xml:space="preserve">ealth </w:t>
            </w:r>
            <w:r w:rsidR="00D30D2C">
              <w:rPr>
                <w:rFonts w:cstheme="minorHAnsi"/>
                <w:b/>
              </w:rPr>
              <w:t>T</w:t>
            </w:r>
            <w:r w:rsidRPr="00B72B47">
              <w:rPr>
                <w:rFonts w:cstheme="minorHAnsi"/>
                <w:b/>
              </w:rPr>
              <w:t>ransfers</w:t>
            </w:r>
            <w:r w:rsidRPr="00B72B47">
              <w:rPr>
                <w:rFonts w:cstheme="minorHAnsi"/>
              </w:rPr>
              <w:t> </w:t>
            </w:r>
          </w:p>
        </w:tc>
        <w:tc>
          <w:tcPr>
            <w:tcW w:w="900" w:type="dxa"/>
            <w:tcBorders>
              <w:top w:val="single" w:sz="6" w:space="0" w:color="auto"/>
              <w:left w:val="nil"/>
              <w:bottom w:val="nil"/>
              <w:right w:val="nil"/>
            </w:tcBorders>
            <w:shd w:val="clear" w:color="auto" w:fill="auto"/>
            <w:hideMark/>
          </w:tcPr>
          <w:p w14:paraId="312150C8" w14:textId="77777777" w:rsidR="00151166" w:rsidRPr="00B72B47" w:rsidRDefault="00151166" w:rsidP="004B1105">
            <w:pPr>
              <w:textAlignment w:val="baseline"/>
              <w:rPr>
                <w:rFonts w:cstheme="minorHAnsi"/>
              </w:rPr>
            </w:pPr>
            <w:r w:rsidRPr="00B72B47">
              <w:rPr>
                <w:rFonts w:cstheme="minorHAnsi"/>
              </w:rPr>
              <w:t> </w:t>
            </w:r>
          </w:p>
        </w:tc>
        <w:tc>
          <w:tcPr>
            <w:tcW w:w="1350" w:type="dxa"/>
            <w:tcBorders>
              <w:top w:val="single" w:sz="6" w:space="0" w:color="auto"/>
              <w:left w:val="nil"/>
              <w:bottom w:val="nil"/>
              <w:right w:val="nil"/>
            </w:tcBorders>
            <w:shd w:val="clear" w:color="auto" w:fill="auto"/>
            <w:hideMark/>
          </w:tcPr>
          <w:p w14:paraId="6624C6C5" w14:textId="77777777" w:rsidR="00151166" w:rsidRPr="00B72B47" w:rsidRDefault="00151166" w:rsidP="004B1105">
            <w:pPr>
              <w:textAlignment w:val="baseline"/>
              <w:rPr>
                <w:rFonts w:cstheme="minorHAnsi"/>
              </w:rPr>
            </w:pPr>
            <w:r w:rsidRPr="00B72B47">
              <w:rPr>
                <w:rFonts w:cstheme="minorHAnsi"/>
              </w:rPr>
              <w:t> </w:t>
            </w:r>
          </w:p>
        </w:tc>
        <w:tc>
          <w:tcPr>
            <w:tcW w:w="1080" w:type="dxa"/>
            <w:tcBorders>
              <w:top w:val="single" w:sz="6" w:space="0" w:color="auto"/>
              <w:left w:val="nil"/>
              <w:bottom w:val="nil"/>
              <w:right w:val="nil"/>
            </w:tcBorders>
            <w:shd w:val="clear" w:color="auto" w:fill="auto"/>
            <w:hideMark/>
          </w:tcPr>
          <w:p w14:paraId="2BEA63A9" w14:textId="77777777" w:rsidR="00151166" w:rsidRPr="00B72B47" w:rsidRDefault="00151166" w:rsidP="004B1105">
            <w:pPr>
              <w:textAlignment w:val="baseline"/>
              <w:rPr>
                <w:rFonts w:cstheme="minorHAnsi"/>
              </w:rPr>
            </w:pPr>
            <w:r w:rsidRPr="00B72B47">
              <w:rPr>
                <w:rFonts w:cstheme="minorHAnsi"/>
              </w:rPr>
              <w:t> </w:t>
            </w:r>
          </w:p>
        </w:tc>
        <w:tc>
          <w:tcPr>
            <w:tcW w:w="1350" w:type="dxa"/>
            <w:tcBorders>
              <w:top w:val="single" w:sz="6" w:space="0" w:color="auto"/>
              <w:left w:val="nil"/>
              <w:bottom w:val="nil"/>
              <w:right w:val="nil"/>
            </w:tcBorders>
            <w:shd w:val="clear" w:color="auto" w:fill="auto"/>
            <w:hideMark/>
          </w:tcPr>
          <w:p w14:paraId="59FE1A0B" w14:textId="77777777" w:rsidR="00151166" w:rsidRPr="00B72B47" w:rsidRDefault="00151166" w:rsidP="004B1105">
            <w:pPr>
              <w:textAlignment w:val="baseline"/>
              <w:rPr>
                <w:rFonts w:cstheme="minorHAnsi"/>
              </w:rPr>
            </w:pPr>
            <w:r w:rsidRPr="00B72B47">
              <w:rPr>
                <w:rFonts w:cstheme="minorHAnsi"/>
              </w:rPr>
              <w:t> </w:t>
            </w:r>
          </w:p>
        </w:tc>
      </w:tr>
      <w:tr w:rsidR="00151166" w:rsidRPr="00B72B47" w14:paraId="02A3CCCA" w14:textId="77777777" w:rsidTr="00F12147">
        <w:trPr>
          <w:trHeight w:val="300"/>
        </w:trPr>
        <w:tc>
          <w:tcPr>
            <w:tcW w:w="3240" w:type="dxa"/>
            <w:tcBorders>
              <w:top w:val="nil"/>
              <w:left w:val="nil"/>
              <w:bottom w:val="nil"/>
              <w:right w:val="nil"/>
            </w:tcBorders>
            <w:shd w:val="clear" w:color="auto" w:fill="auto"/>
            <w:vAlign w:val="bottom"/>
            <w:hideMark/>
          </w:tcPr>
          <w:p w14:paraId="3E7B0ADA" w14:textId="77777777" w:rsidR="00151166" w:rsidRPr="00B72B47" w:rsidRDefault="00151166" w:rsidP="004B1105">
            <w:pPr>
              <w:textAlignment w:val="baseline"/>
              <w:rPr>
                <w:rFonts w:cstheme="minorHAnsi"/>
              </w:rPr>
            </w:pPr>
            <w:r w:rsidRPr="00B72B47">
              <w:rPr>
                <w:rFonts w:cstheme="minorHAnsi"/>
              </w:rPr>
              <w:t>    New England </w:t>
            </w:r>
          </w:p>
        </w:tc>
        <w:tc>
          <w:tcPr>
            <w:tcW w:w="900" w:type="dxa"/>
            <w:tcBorders>
              <w:top w:val="nil"/>
              <w:left w:val="nil"/>
              <w:bottom w:val="nil"/>
              <w:right w:val="nil"/>
            </w:tcBorders>
            <w:shd w:val="clear" w:color="auto" w:fill="auto"/>
            <w:vAlign w:val="center"/>
            <w:hideMark/>
          </w:tcPr>
          <w:p w14:paraId="115C3533" w14:textId="77777777" w:rsidR="00151166" w:rsidRPr="00CC0DEB" w:rsidRDefault="00151166" w:rsidP="0085119C">
            <w:pPr>
              <w:textAlignment w:val="baseline"/>
              <w:rPr>
                <w:rFonts w:cstheme="minorHAnsi"/>
              </w:rPr>
            </w:pPr>
            <w:r>
              <w:rPr>
                <w:rFonts w:ascii="Calibri" w:hAnsi="Calibri" w:cs="Calibri"/>
                <w:color w:val="000000"/>
              </w:rPr>
              <w:t>39.3%</w:t>
            </w:r>
          </w:p>
        </w:tc>
        <w:tc>
          <w:tcPr>
            <w:tcW w:w="1350" w:type="dxa"/>
            <w:tcBorders>
              <w:top w:val="nil"/>
              <w:left w:val="nil"/>
              <w:bottom w:val="nil"/>
              <w:right w:val="nil"/>
            </w:tcBorders>
            <w:shd w:val="clear" w:color="auto" w:fill="auto"/>
            <w:vAlign w:val="center"/>
            <w:hideMark/>
          </w:tcPr>
          <w:p w14:paraId="19719D80" w14:textId="77777777" w:rsidR="00151166" w:rsidRPr="00414B96" w:rsidRDefault="00151166" w:rsidP="0085119C">
            <w:pPr>
              <w:textAlignment w:val="baseline"/>
              <w:rPr>
                <w:rFonts w:cstheme="minorHAnsi"/>
              </w:rPr>
            </w:pPr>
            <w:r w:rsidRPr="00414B96">
              <w:rPr>
                <w:rFonts w:ascii="Calibri" w:hAnsi="Calibri" w:cs="Calibri"/>
                <w:color w:val="000000"/>
              </w:rPr>
              <w:t>51.1%</w:t>
            </w:r>
          </w:p>
        </w:tc>
        <w:tc>
          <w:tcPr>
            <w:tcW w:w="1080" w:type="dxa"/>
            <w:tcBorders>
              <w:top w:val="nil"/>
              <w:left w:val="nil"/>
              <w:bottom w:val="nil"/>
              <w:right w:val="nil"/>
            </w:tcBorders>
            <w:shd w:val="clear" w:color="auto" w:fill="auto"/>
            <w:vAlign w:val="center"/>
            <w:hideMark/>
          </w:tcPr>
          <w:p w14:paraId="36B40547" w14:textId="77777777" w:rsidR="00151166" w:rsidRPr="00CC0DEB" w:rsidRDefault="00151166" w:rsidP="0085119C">
            <w:pPr>
              <w:textAlignment w:val="baseline"/>
              <w:rPr>
                <w:rFonts w:cstheme="minorHAnsi"/>
              </w:rPr>
            </w:pPr>
            <w:r>
              <w:rPr>
                <w:rFonts w:ascii="Calibri" w:hAnsi="Calibri" w:cs="Calibri"/>
                <w:color w:val="000000"/>
              </w:rPr>
              <w:t>580</w:t>
            </w:r>
          </w:p>
        </w:tc>
        <w:tc>
          <w:tcPr>
            <w:tcW w:w="1350" w:type="dxa"/>
            <w:tcBorders>
              <w:top w:val="nil"/>
              <w:left w:val="nil"/>
              <w:bottom w:val="nil"/>
              <w:right w:val="nil"/>
            </w:tcBorders>
            <w:shd w:val="clear" w:color="auto" w:fill="auto"/>
            <w:vAlign w:val="center"/>
            <w:hideMark/>
          </w:tcPr>
          <w:p w14:paraId="333B3D1A" w14:textId="77777777" w:rsidR="00151166" w:rsidRPr="00CC0DEB" w:rsidRDefault="00151166" w:rsidP="0085119C">
            <w:pPr>
              <w:textAlignment w:val="baseline"/>
              <w:rPr>
                <w:rFonts w:cstheme="minorHAnsi"/>
              </w:rPr>
            </w:pPr>
            <w:r>
              <w:rPr>
                <w:rFonts w:ascii="Calibri" w:hAnsi="Calibri" w:cs="Calibri"/>
                <w:color w:val="000000"/>
              </w:rPr>
              <w:t>108</w:t>
            </w:r>
          </w:p>
        </w:tc>
      </w:tr>
      <w:tr w:rsidR="00151166" w:rsidRPr="00B72B47" w14:paraId="7641BCEF" w14:textId="77777777" w:rsidTr="00F12147">
        <w:trPr>
          <w:trHeight w:val="300"/>
        </w:trPr>
        <w:tc>
          <w:tcPr>
            <w:tcW w:w="3240" w:type="dxa"/>
            <w:tcBorders>
              <w:top w:val="nil"/>
              <w:left w:val="nil"/>
              <w:bottom w:val="nil"/>
              <w:right w:val="nil"/>
            </w:tcBorders>
            <w:shd w:val="clear" w:color="auto" w:fill="auto"/>
            <w:vAlign w:val="bottom"/>
            <w:hideMark/>
          </w:tcPr>
          <w:p w14:paraId="60F419A7" w14:textId="77777777" w:rsidR="00151166" w:rsidRPr="00B72B47" w:rsidRDefault="00151166" w:rsidP="004B1105">
            <w:pPr>
              <w:textAlignment w:val="baseline"/>
              <w:rPr>
                <w:rFonts w:cstheme="minorHAnsi"/>
              </w:rPr>
            </w:pPr>
            <w:r w:rsidRPr="00B72B47">
              <w:rPr>
                <w:rFonts w:cstheme="minorHAnsi"/>
              </w:rPr>
              <w:t>    Middle Atlantic </w:t>
            </w:r>
          </w:p>
        </w:tc>
        <w:tc>
          <w:tcPr>
            <w:tcW w:w="900" w:type="dxa"/>
            <w:tcBorders>
              <w:top w:val="nil"/>
              <w:left w:val="nil"/>
              <w:bottom w:val="nil"/>
              <w:right w:val="nil"/>
            </w:tcBorders>
            <w:shd w:val="clear" w:color="auto" w:fill="auto"/>
            <w:vAlign w:val="center"/>
            <w:hideMark/>
          </w:tcPr>
          <w:p w14:paraId="0F890553" w14:textId="77777777" w:rsidR="00151166" w:rsidRPr="00CC0DEB" w:rsidRDefault="00151166" w:rsidP="0085119C">
            <w:pPr>
              <w:textAlignment w:val="baseline"/>
              <w:rPr>
                <w:rFonts w:cstheme="minorHAnsi"/>
              </w:rPr>
            </w:pPr>
            <w:r>
              <w:rPr>
                <w:rFonts w:ascii="Calibri" w:hAnsi="Calibri" w:cs="Calibri"/>
                <w:color w:val="000000"/>
              </w:rPr>
              <w:t>37.1%</w:t>
            </w:r>
          </w:p>
        </w:tc>
        <w:tc>
          <w:tcPr>
            <w:tcW w:w="1350" w:type="dxa"/>
            <w:tcBorders>
              <w:top w:val="nil"/>
              <w:left w:val="nil"/>
              <w:bottom w:val="nil"/>
              <w:right w:val="nil"/>
            </w:tcBorders>
            <w:shd w:val="clear" w:color="auto" w:fill="auto"/>
            <w:vAlign w:val="center"/>
            <w:hideMark/>
          </w:tcPr>
          <w:p w14:paraId="169DE99E" w14:textId="77777777" w:rsidR="00151166" w:rsidRPr="00414B96" w:rsidRDefault="00151166" w:rsidP="0085119C">
            <w:pPr>
              <w:textAlignment w:val="baseline"/>
              <w:rPr>
                <w:rFonts w:cstheme="minorHAnsi"/>
              </w:rPr>
            </w:pPr>
            <w:r w:rsidRPr="00414B96">
              <w:rPr>
                <w:rFonts w:ascii="Calibri" w:hAnsi="Calibri" w:cs="Calibri"/>
                <w:color w:val="000000"/>
              </w:rPr>
              <w:t>46.2%</w:t>
            </w:r>
          </w:p>
        </w:tc>
        <w:tc>
          <w:tcPr>
            <w:tcW w:w="1080" w:type="dxa"/>
            <w:tcBorders>
              <w:top w:val="nil"/>
              <w:left w:val="nil"/>
              <w:bottom w:val="nil"/>
              <w:right w:val="nil"/>
            </w:tcBorders>
            <w:shd w:val="clear" w:color="auto" w:fill="auto"/>
            <w:vAlign w:val="center"/>
            <w:hideMark/>
          </w:tcPr>
          <w:p w14:paraId="4318092C" w14:textId="77777777" w:rsidR="00151166" w:rsidRPr="00CC0DEB" w:rsidRDefault="00151166" w:rsidP="0085119C">
            <w:pPr>
              <w:textAlignment w:val="baseline"/>
              <w:rPr>
                <w:rFonts w:cstheme="minorHAnsi"/>
              </w:rPr>
            </w:pPr>
            <w:r>
              <w:rPr>
                <w:rFonts w:ascii="Calibri" w:hAnsi="Calibri" w:cs="Calibri"/>
                <w:color w:val="000000"/>
              </w:rPr>
              <w:t>227</w:t>
            </w:r>
          </w:p>
        </w:tc>
        <w:tc>
          <w:tcPr>
            <w:tcW w:w="1350" w:type="dxa"/>
            <w:tcBorders>
              <w:top w:val="nil"/>
              <w:left w:val="nil"/>
              <w:bottom w:val="nil"/>
              <w:right w:val="nil"/>
            </w:tcBorders>
            <w:shd w:val="clear" w:color="auto" w:fill="auto"/>
            <w:vAlign w:val="center"/>
            <w:hideMark/>
          </w:tcPr>
          <w:p w14:paraId="0C24AE5C" w14:textId="77777777" w:rsidR="00151166" w:rsidRPr="00CC0DEB" w:rsidRDefault="00151166" w:rsidP="0085119C">
            <w:pPr>
              <w:textAlignment w:val="baseline"/>
              <w:rPr>
                <w:rFonts w:cstheme="minorHAnsi"/>
              </w:rPr>
            </w:pPr>
            <w:r>
              <w:rPr>
                <w:rFonts w:ascii="Calibri" w:hAnsi="Calibri" w:cs="Calibri"/>
                <w:color w:val="000000"/>
              </w:rPr>
              <w:t>118</w:t>
            </w:r>
          </w:p>
        </w:tc>
      </w:tr>
      <w:tr w:rsidR="00151166" w:rsidRPr="00B72B47" w14:paraId="3FF5D55A" w14:textId="77777777" w:rsidTr="00F12147">
        <w:trPr>
          <w:trHeight w:val="300"/>
        </w:trPr>
        <w:tc>
          <w:tcPr>
            <w:tcW w:w="3240" w:type="dxa"/>
            <w:tcBorders>
              <w:top w:val="nil"/>
              <w:left w:val="nil"/>
              <w:bottom w:val="nil"/>
              <w:right w:val="nil"/>
            </w:tcBorders>
            <w:shd w:val="clear" w:color="auto" w:fill="auto"/>
            <w:vAlign w:val="bottom"/>
            <w:hideMark/>
          </w:tcPr>
          <w:p w14:paraId="52FA21E5" w14:textId="77777777" w:rsidR="00151166" w:rsidRPr="00B72B47" w:rsidRDefault="00151166" w:rsidP="004B1105">
            <w:pPr>
              <w:textAlignment w:val="baseline"/>
              <w:rPr>
                <w:rFonts w:cstheme="minorHAnsi"/>
              </w:rPr>
            </w:pPr>
            <w:r w:rsidRPr="00B72B47">
              <w:rPr>
                <w:rFonts w:cstheme="minorHAnsi"/>
              </w:rPr>
              <w:t>    East North Central </w:t>
            </w:r>
          </w:p>
        </w:tc>
        <w:tc>
          <w:tcPr>
            <w:tcW w:w="900" w:type="dxa"/>
            <w:tcBorders>
              <w:top w:val="nil"/>
              <w:left w:val="nil"/>
              <w:bottom w:val="nil"/>
              <w:right w:val="nil"/>
            </w:tcBorders>
            <w:shd w:val="clear" w:color="auto" w:fill="auto"/>
            <w:vAlign w:val="center"/>
            <w:hideMark/>
          </w:tcPr>
          <w:p w14:paraId="60F33ECF" w14:textId="77777777" w:rsidR="00151166" w:rsidRPr="00CC0DEB" w:rsidRDefault="00151166" w:rsidP="0085119C">
            <w:pPr>
              <w:textAlignment w:val="baseline"/>
              <w:rPr>
                <w:rFonts w:cstheme="minorHAnsi"/>
              </w:rPr>
            </w:pPr>
            <w:r>
              <w:rPr>
                <w:rFonts w:ascii="Calibri" w:hAnsi="Calibri" w:cs="Calibri"/>
                <w:color w:val="000000"/>
              </w:rPr>
              <w:t>33.1%</w:t>
            </w:r>
          </w:p>
        </w:tc>
        <w:tc>
          <w:tcPr>
            <w:tcW w:w="1350" w:type="dxa"/>
            <w:tcBorders>
              <w:top w:val="nil"/>
              <w:left w:val="nil"/>
              <w:bottom w:val="nil"/>
              <w:right w:val="nil"/>
            </w:tcBorders>
            <w:shd w:val="clear" w:color="auto" w:fill="auto"/>
            <w:vAlign w:val="center"/>
            <w:hideMark/>
          </w:tcPr>
          <w:p w14:paraId="6EBD6543" w14:textId="77777777" w:rsidR="00151166" w:rsidRPr="00414B96" w:rsidRDefault="00151166" w:rsidP="0085119C">
            <w:pPr>
              <w:textAlignment w:val="baseline"/>
              <w:rPr>
                <w:rFonts w:cstheme="minorHAnsi"/>
              </w:rPr>
            </w:pPr>
            <w:r w:rsidRPr="00414B96">
              <w:rPr>
                <w:rFonts w:ascii="Calibri" w:hAnsi="Calibri" w:cs="Calibri"/>
                <w:color w:val="000000"/>
              </w:rPr>
              <w:t>51.0%</w:t>
            </w:r>
          </w:p>
        </w:tc>
        <w:tc>
          <w:tcPr>
            <w:tcW w:w="1080" w:type="dxa"/>
            <w:tcBorders>
              <w:top w:val="nil"/>
              <w:left w:val="nil"/>
              <w:bottom w:val="nil"/>
              <w:right w:val="nil"/>
            </w:tcBorders>
            <w:shd w:val="clear" w:color="auto" w:fill="auto"/>
            <w:vAlign w:val="center"/>
            <w:hideMark/>
          </w:tcPr>
          <w:p w14:paraId="72E2A1EA" w14:textId="77777777" w:rsidR="00151166" w:rsidRPr="00CC0DEB" w:rsidRDefault="00151166" w:rsidP="0085119C">
            <w:pPr>
              <w:textAlignment w:val="baseline"/>
              <w:rPr>
                <w:rFonts w:cstheme="minorHAnsi"/>
              </w:rPr>
            </w:pPr>
            <w:r>
              <w:rPr>
                <w:rFonts w:ascii="Calibri" w:hAnsi="Calibri" w:cs="Calibri"/>
                <w:color w:val="000000"/>
              </w:rPr>
              <w:t>443</w:t>
            </w:r>
          </w:p>
        </w:tc>
        <w:tc>
          <w:tcPr>
            <w:tcW w:w="1350" w:type="dxa"/>
            <w:tcBorders>
              <w:top w:val="nil"/>
              <w:left w:val="nil"/>
              <w:bottom w:val="nil"/>
              <w:right w:val="nil"/>
            </w:tcBorders>
            <w:shd w:val="clear" w:color="auto" w:fill="auto"/>
            <w:vAlign w:val="center"/>
            <w:hideMark/>
          </w:tcPr>
          <w:p w14:paraId="7B6A8178" w14:textId="77777777" w:rsidR="00151166" w:rsidRPr="00CC0DEB" w:rsidRDefault="00151166" w:rsidP="0085119C">
            <w:pPr>
              <w:textAlignment w:val="baseline"/>
              <w:rPr>
                <w:rFonts w:cstheme="minorHAnsi"/>
              </w:rPr>
            </w:pPr>
            <w:r>
              <w:rPr>
                <w:rFonts w:ascii="Calibri" w:hAnsi="Calibri" w:cs="Calibri"/>
                <w:color w:val="000000"/>
              </w:rPr>
              <w:t>115</w:t>
            </w:r>
          </w:p>
        </w:tc>
      </w:tr>
      <w:tr w:rsidR="00151166" w:rsidRPr="00B72B47" w14:paraId="75E919DB" w14:textId="77777777" w:rsidTr="00F12147">
        <w:trPr>
          <w:trHeight w:val="300"/>
        </w:trPr>
        <w:tc>
          <w:tcPr>
            <w:tcW w:w="3240" w:type="dxa"/>
            <w:tcBorders>
              <w:top w:val="nil"/>
              <w:left w:val="nil"/>
              <w:bottom w:val="nil"/>
              <w:right w:val="nil"/>
            </w:tcBorders>
            <w:shd w:val="clear" w:color="auto" w:fill="auto"/>
            <w:vAlign w:val="bottom"/>
            <w:hideMark/>
          </w:tcPr>
          <w:p w14:paraId="5506A1CE" w14:textId="77777777" w:rsidR="00151166" w:rsidRPr="00B72B47" w:rsidRDefault="00151166" w:rsidP="004B1105">
            <w:pPr>
              <w:textAlignment w:val="baseline"/>
              <w:rPr>
                <w:rFonts w:cstheme="minorHAnsi"/>
              </w:rPr>
            </w:pPr>
            <w:r w:rsidRPr="00B72B47">
              <w:rPr>
                <w:rFonts w:cstheme="minorHAnsi"/>
              </w:rPr>
              <w:t>    West North Central </w:t>
            </w:r>
          </w:p>
        </w:tc>
        <w:tc>
          <w:tcPr>
            <w:tcW w:w="900" w:type="dxa"/>
            <w:tcBorders>
              <w:top w:val="nil"/>
              <w:left w:val="nil"/>
              <w:bottom w:val="nil"/>
              <w:right w:val="nil"/>
            </w:tcBorders>
            <w:shd w:val="clear" w:color="auto" w:fill="auto"/>
            <w:vAlign w:val="center"/>
            <w:hideMark/>
          </w:tcPr>
          <w:p w14:paraId="7A7A39F1" w14:textId="77777777" w:rsidR="00151166" w:rsidRPr="00CC0DEB" w:rsidRDefault="00151166" w:rsidP="0085119C">
            <w:pPr>
              <w:textAlignment w:val="baseline"/>
              <w:rPr>
                <w:rFonts w:cstheme="minorHAnsi"/>
              </w:rPr>
            </w:pPr>
            <w:r>
              <w:rPr>
                <w:rFonts w:ascii="Calibri" w:hAnsi="Calibri" w:cs="Calibri"/>
                <w:color w:val="000000"/>
              </w:rPr>
              <w:t>32.0%</w:t>
            </w:r>
          </w:p>
        </w:tc>
        <w:tc>
          <w:tcPr>
            <w:tcW w:w="1350" w:type="dxa"/>
            <w:tcBorders>
              <w:top w:val="nil"/>
              <w:left w:val="nil"/>
              <w:bottom w:val="nil"/>
              <w:right w:val="nil"/>
            </w:tcBorders>
            <w:shd w:val="clear" w:color="auto" w:fill="auto"/>
            <w:vAlign w:val="center"/>
            <w:hideMark/>
          </w:tcPr>
          <w:p w14:paraId="3E0DD826" w14:textId="77777777" w:rsidR="00151166" w:rsidRPr="00414B96" w:rsidRDefault="00151166" w:rsidP="0085119C">
            <w:pPr>
              <w:textAlignment w:val="baseline"/>
              <w:rPr>
                <w:rFonts w:cstheme="minorHAnsi"/>
              </w:rPr>
            </w:pPr>
            <w:r w:rsidRPr="00414B96">
              <w:rPr>
                <w:rFonts w:ascii="Calibri" w:hAnsi="Calibri" w:cs="Calibri"/>
                <w:color w:val="000000"/>
              </w:rPr>
              <w:t>39.4%</w:t>
            </w:r>
          </w:p>
        </w:tc>
        <w:tc>
          <w:tcPr>
            <w:tcW w:w="1080" w:type="dxa"/>
            <w:tcBorders>
              <w:top w:val="nil"/>
              <w:left w:val="nil"/>
              <w:bottom w:val="nil"/>
              <w:right w:val="nil"/>
            </w:tcBorders>
            <w:shd w:val="clear" w:color="auto" w:fill="auto"/>
            <w:vAlign w:val="center"/>
            <w:hideMark/>
          </w:tcPr>
          <w:p w14:paraId="3429FE8D" w14:textId="77777777" w:rsidR="00151166" w:rsidRPr="00CC0DEB" w:rsidRDefault="00151166" w:rsidP="0085119C">
            <w:pPr>
              <w:textAlignment w:val="baseline"/>
              <w:rPr>
                <w:rFonts w:cstheme="minorHAnsi"/>
              </w:rPr>
            </w:pPr>
            <w:r>
              <w:rPr>
                <w:rFonts w:ascii="Calibri" w:hAnsi="Calibri" w:cs="Calibri"/>
                <w:color w:val="000000"/>
              </w:rPr>
              <w:t>775</w:t>
            </w:r>
          </w:p>
        </w:tc>
        <w:tc>
          <w:tcPr>
            <w:tcW w:w="1350" w:type="dxa"/>
            <w:tcBorders>
              <w:top w:val="nil"/>
              <w:left w:val="nil"/>
              <w:bottom w:val="nil"/>
              <w:right w:val="nil"/>
            </w:tcBorders>
            <w:shd w:val="clear" w:color="auto" w:fill="auto"/>
            <w:vAlign w:val="center"/>
            <w:hideMark/>
          </w:tcPr>
          <w:p w14:paraId="4A172B68" w14:textId="77777777" w:rsidR="00151166" w:rsidRPr="00CC0DEB" w:rsidRDefault="00151166" w:rsidP="0085119C">
            <w:pPr>
              <w:textAlignment w:val="baseline"/>
              <w:rPr>
                <w:rFonts w:cstheme="minorHAnsi"/>
              </w:rPr>
            </w:pPr>
            <w:r>
              <w:rPr>
                <w:rFonts w:ascii="Calibri" w:hAnsi="Calibri" w:cs="Calibri"/>
                <w:color w:val="000000"/>
              </w:rPr>
              <w:t>118</w:t>
            </w:r>
          </w:p>
        </w:tc>
      </w:tr>
      <w:tr w:rsidR="00151166" w:rsidRPr="00B72B47" w14:paraId="763A3CF0" w14:textId="77777777" w:rsidTr="00F12147">
        <w:trPr>
          <w:trHeight w:val="300"/>
        </w:trPr>
        <w:tc>
          <w:tcPr>
            <w:tcW w:w="3240" w:type="dxa"/>
            <w:tcBorders>
              <w:top w:val="nil"/>
              <w:left w:val="nil"/>
              <w:bottom w:val="nil"/>
              <w:right w:val="nil"/>
            </w:tcBorders>
            <w:shd w:val="clear" w:color="auto" w:fill="auto"/>
            <w:vAlign w:val="bottom"/>
            <w:hideMark/>
          </w:tcPr>
          <w:p w14:paraId="0A91E80A" w14:textId="77777777" w:rsidR="00151166" w:rsidRPr="00B72B47" w:rsidRDefault="00151166" w:rsidP="004B1105">
            <w:pPr>
              <w:textAlignment w:val="baseline"/>
              <w:rPr>
                <w:rFonts w:cstheme="minorHAnsi"/>
              </w:rPr>
            </w:pPr>
            <w:r w:rsidRPr="00B72B47">
              <w:rPr>
                <w:rFonts w:cstheme="minorHAnsi"/>
              </w:rPr>
              <w:t>    South Atlantic </w:t>
            </w:r>
          </w:p>
        </w:tc>
        <w:tc>
          <w:tcPr>
            <w:tcW w:w="900" w:type="dxa"/>
            <w:tcBorders>
              <w:top w:val="nil"/>
              <w:left w:val="nil"/>
              <w:bottom w:val="nil"/>
              <w:right w:val="nil"/>
            </w:tcBorders>
            <w:shd w:val="clear" w:color="auto" w:fill="auto"/>
            <w:vAlign w:val="center"/>
            <w:hideMark/>
          </w:tcPr>
          <w:p w14:paraId="1A7F7651" w14:textId="77777777" w:rsidR="00151166" w:rsidRPr="00CC0DEB" w:rsidRDefault="00151166" w:rsidP="0085119C">
            <w:pPr>
              <w:textAlignment w:val="baseline"/>
              <w:rPr>
                <w:rFonts w:cstheme="minorHAnsi"/>
              </w:rPr>
            </w:pPr>
            <w:r>
              <w:rPr>
                <w:rFonts w:ascii="Calibri" w:hAnsi="Calibri" w:cs="Calibri"/>
                <w:color w:val="000000"/>
              </w:rPr>
              <w:t>31.5%</w:t>
            </w:r>
          </w:p>
        </w:tc>
        <w:tc>
          <w:tcPr>
            <w:tcW w:w="1350" w:type="dxa"/>
            <w:tcBorders>
              <w:top w:val="nil"/>
              <w:left w:val="nil"/>
              <w:bottom w:val="nil"/>
              <w:right w:val="nil"/>
            </w:tcBorders>
            <w:shd w:val="clear" w:color="auto" w:fill="auto"/>
            <w:vAlign w:val="center"/>
            <w:hideMark/>
          </w:tcPr>
          <w:p w14:paraId="26EABB1F" w14:textId="77777777" w:rsidR="00151166" w:rsidRPr="00414B96" w:rsidRDefault="00151166" w:rsidP="0085119C">
            <w:pPr>
              <w:textAlignment w:val="baseline"/>
              <w:rPr>
                <w:rFonts w:cstheme="minorHAnsi"/>
              </w:rPr>
            </w:pPr>
            <w:r w:rsidRPr="00414B96">
              <w:rPr>
                <w:rFonts w:ascii="Calibri" w:hAnsi="Calibri" w:cs="Calibri"/>
                <w:color w:val="000000"/>
              </w:rPr>
              <w:t>42.3%</w:t>
            </w:r>
          </w:p>
        </w:tc>
        <w:tc>
          <w:tcPr>
            <w:tcW w:w="1080" w:type="dxa"/>
            <w:tcBorders>
              <w:top w:val="nil"/>
              <w:left w:val="nil"/>
              <w:bottom w:val="nil"/>
              <w:right w:val="nil"/>
            </w:tcBorders>
            <w:shd w:val="clear" w:color="auto" w:fill="auto"/>
            <w:vAlign w:val="center"/>
            <w:hideMark/>
          </w:tcPr>
          <w:p w14:paraId="161968DC" w14:textId="77777777" w:rsidR="00151166" w:rsidRPr="00CC0DEB" w:rsidRDefault="00151166" w:rsidP="0085119C">
            <w:pPr>
              <w:textAlignment w:val="baseline"/>
              <w:rPr>
                <w:rFonts w:cstheme="minorHAnsi"/>
              </w:rPr>
            </w:pPr>
            <w:r>
              <w:rPr>
                <w:rFonts w:ascii="Calibri" w:hAnsi="Calibri" w:cs="Calibri"/>
                <w:color w:val="000000"/>
              </w:rPr>
              <w:t>683</w:t>
            </w:r>
          </w:p>
        </w:tc>
        <w:tc>
          <w:tcPr>
            <w:tcW w:w="1350" w:type="dxa"/>
            <w:tcBorders>
              <w:top w:val="nil"/>
              <w:left w:val="nil"/>
              <w:bottom w:val="nil"/>
              <w:right w:val="nil"/>
            </w:tcBorders>
            <w:shd w:val="clear" w:color="auto" w:fill="auto"/>
            <w:vAlign w:val="center"/>
            <w:hideMark/>
          </w:tcPr>
          <w:p w14:paraId="67D8762B" w14:textId="77777777" w:rsidR="00151166" w:rsidRPr="00CC0DEB" w:rsidRDefault="00151166" w:rsidP="0085119C">
            <w:pPr>
              <w:textAlignment w:val="baseline"/>
              <w:rPr>
                <w:rFonts w:cstheme="minorHAnsi"/>
              </w:rPr>
            </w:pPr>
            <w:r>
              <w:rPr>
                <w:rFonts w:ascii="Calibri" w:hAnsi="Calibri" w:cs="Calibri"/>
                <w:color w:val="000000"/>
              </w:rPr>
              <w:t>396</w:t>
            </w:r>
          </w:p>
        </w:tc>
      </w:tr>
      <w:tr w:rsidR="00151166" w:rsidRPr="00B72B47" w14:paraId="0C921CEE" w14:textId="77777777" w:rsidTr="00F12147">
        <w:trPr>
          <w:trHeight w:val="300"/>
        </w:trPr>
        <w:tc>
          <w:tcPr>
            <w:tcW w:w="3240" w:type="dxa"/>
            <w:tcBorders>
              <w:top w:val="nil"/>
              <w:left w:val="nil"/>
              <w:bottom w:val="nil"/>
              <w:right w:val="nil"/>
            </w:tcBorders>
            <w:shd w:val="clear" w:color="auto" w:fill="auto"/>
            <w:vAlign w:val="bottom"/>
            <w:hideMark/>
          </w:tcPr>
          <w:p w14:paraId="3340C3EA" w14:textId="77777777" w:rsidR="00151166" w:rsidRPr="00B72B47" w:rsidRDefault="00151166" w:rsidP="004B1105">
            <w:pPr>
              <w:textAlignment w:val="baseline"/>
              <w:rPr>
                <w:rFonts w:cstheme="minorHAnsi"/>
              </w:rPr>
            </w:pPr>
            <w:r w:rsidRPr="00B72B47">
              <w:rPr>
                <w:rFonts w:cstheme="minorHAnsi"/>
              </w:rPr>
              <w:t>    East South Central </w:t>
            </w:r>
          </w:p>
        </w:tc>
        <w:tc>
          <w:tcPr>
            <w:tcW w:w="900" w:type="dxa"/>
            <w:tcBorders>
              <w:top w:val="nil"/>
              <w:left w:val="nil"/>
              <w:bottom w:val="nil"/>
              <w:right w:val="nil"/>
            </w:tcBorders>
            <w:shd w:val="clear" w:color="auto" w:fill="auto"/>
            <w:vAlign w:val="center"/>
            <w:hideMark/>
          </w:tcPr>
          <w:p w14:paraId="56A8C418" w14:textId="77777777" w:rsidR="00151166" w:rsidRPr="00CC0DEB" w:rsidRDefault="00151166" w:rsidP="0085119C">
            <w:pPr>
              <w:textAlignment w:val="baseline"/>
              <w:rPr>
                <w:rFonts w:cstheme="minorHAnsi"/>
              </w:rPr>
            </w:pPr>
            <w:r>
              <w:rPr>
                <w:rFonts w:ascii="Calibri" w:hAnsi="Calibri" w:cs="Calibri"/>
                <w:color w:val="000000"/>
              </w:rPr>
              <w:t>29.7%</w:t>
            </w:r>
          </w:p>
        </w:tc>
        <w:tc>
          <w:tcPr>
            <w:tcW w:w="1350" w:type="dxa"/>
            <w:tcBorders>
              <w:top w:val="nil"/>
              <w:left w:val="nil"/>
              <w:bottom w:val="nil"/>
              <w:right w:val="nil"/>
            </w:tcBorders>
            <w:shd w:val="clear" w:color="auto" w:fill="auto"/>
            <w:vAlign w:val="center"/>
            <w:hideMark/>
          </w:tcPr>
          <w:p w14:paraId="2377AFA0" w14:textId="77777777" w:rsidR="00151166" w:rsidRPr="00414B96" w:rsidRDefault="00151166" w:rsidP="0085119C">
            <w:pPr>
              <w:textAlignment w:val="baseline"/>
              <w:rPr>
                <w:rFonts w:cstheme="minorHAnsi"/>
              </w:rPr>
            </w:pPr>
            <w:r w:rsidRPr="00414B96">
              <w:rPr>
                <w:rFonts w:ascii="Calibri" w:hAnsi="Calibri" w:cs="Calibri"/>
                <w:color w:val="000000"/>
              </w:rPr>
              <w:t>41.0%</w:t>
            </w:r>
          </w:p>
        </w:tc>
        <w:tc>
          <w:tcPr>
            <w:tcW w:w="1080" w:type="dxa"/>
            <w:tcBorders>
              <w:top w:val="nil"/>
              <w:left w:val="nil"/>
              <w:bottom w:val="nil"/>
              <w:right w:val="nil"/>
            </w:tcBorders>
            <w:shd w:val="clear" w:color="auto" w:fill="auto"/>
            <w:vAlign w:val="center"/>
            <w:hideMark/>
          </w:tcPr>
          <w:p w14:paraId="41995DF9" w14:textId="77777777" w:rsidR="00151166" w:rsidRPr="00CC0DEB" w:rsidRDefault="00151166" w:rsidP="0085119C">
            <w:pPr>
              <w:textAlignment w:val="baseline"/>
              <w:rPr>
                <w:rFonts w:cstheme="minorHAnsi"/>
              </w:rPr>
            </w:pPr>
            <w:r>
              <w:rPr>
                <w:rFonts w:ascii="Calibri" w:hAnsi="Calibri" w:cs="Calibri"/>
                <w:color w:val="000000"/>
              </w:rPr>
              <w:t>406</w:t>
            </w:r>
          </w:p>
        </w:tc>
        <w:tc>
          <w:tcPr>
            <w:tcW w:w="1350" w:type="dxa"/>
            <w:tcBorders>
              <w:top w:val="nil"/>
              <w:left w:val="nil"/>
              <w:bottom w:val="nil"/>
              <w:right w:val="nil"/>
            </w:tcBorders>
            <w:shd w:val="clear" w:color="auto" w:fill="auto"/>
            <w:vAlign w:val="center"/>
            <w:hideMark/>
          </w:tcPr>
          <w:p w14:paraId="33B6F2EC" w14:textId="77777777" w:rsidR="00151166" w:rsidRPr="00CC0DEB" w:rsidRDefault="00151166" w:rsidP="0085119C">
            <w:pPr>
              <w:textAlignment w:val="baseline"/>
              <w:rPr>
                <w:rFonts w:cstheme="minorHAnsi"/>
              </w:rPr>
            </w:pPr>
            <w:r>
              <w:rPr>
                <w:rFonts w:ascii="Calibri" w:hAnsi="Calibri" w:cs="Calibri"/>
                <w:color w:val="000000"/>
              </w:rPr>
              <w:t>148</w:t>
            </w:r>
          </w:p>
        </w:tc>
      </w:tr>
      <w:tr w:rsidR="00151166" w:rsidRPr="00B72B47" w14:paraId="67B84D07" w14:textId="77777777" w:rsidTr="00F12147">
        <w:trPr>
          <w:trHeight w:val="300"/>
        </w:trPr>
        <w:tc>
          <w:tcPr>
            <w:tcW w:w="3240" w:type="dxa"/>
            <w:tcBorders>
              <w:top w:val="nil"/>
              <w:left w:val="nil"/>
              <w:bottom w:val="nil"/>
              <w:right w:val="nil"/>
            </w:tcBorders>
            <w:shd w:val="clear" w:color="auto" w:fill="auto"/>
            <w:vAlign w:val="bottom"/>
            <w:hideMark/>
          </w:tcPr>
          <w:p w14:paraId="5C6C9E17" w14:textId="77777777" w:rsidR="00151166" w:rsidRPr="00B72B47" w:rsidRDefault="00151166" w:rsidP="004B1105">
            <w:pPr>
              <w:textAlignment w:val="baseline"/>
              <w:rPr>
                <w:rFonts w:cstheme="minorHAnsi"/>
              </w:rPr>
            </w:pPr>
            <w:r w:rsidRPr="00B72B47">
              <w:rPr>
                <w:rFonts w:cstheme="minorHAnsi"/>
              </w:rPr>
              <w:t>    West South Central </w:t>
            </w:r>
          </w:p>
        </w:tc>
        <w:tc>
          <w:tcPr>
            <w:tcW w:w="900" w:type="dxa"/>
            <w:tcBorders>
              <w:top w:val="nil"/>
              <w:left w:val="nil"/>
              <w:bottom w:val="nil"/>
              <w:right w:val="nil"/>
            </w:tcBorders>
            <w:shd w:val="clear" w:color="auto" w:fill="auto"/>
            <w:vAlign w:val="center"/>
            <w:hideMark/>
          </w:tcPr>
          <w:p w14:paraId="4DF9CB12" w14:textId="77777777" w:rsidR="00151166" w:rsidRPr="00CC0DEB" w:rsidRDefault="00151166" w:rsidP="0085119C">
            <w:pPr>
              <w:textAlignment w:val="baseline"/>
              <w:rPr>
                <w:rFonts w:cstheme="minorHAnsi"/>
              </w:rPr>
            </w:pPr>
            <w:r>
              <w:rPr>
                <w:rFonts w:ascii="Calibri" w:hAnsi="Calibri" w:cs="Calibri"/>
                <w:color w:val="000000"/>
              </w:rPr>
              <w:t>34.2%</w:t>
            </w:r>
          </w:p>
        </w:tc>
        <w:tc>
          <w:tcPr>
            <w:tcW w:w="1350" w:type="dxa"/>
            <w:tcBorders>
              <w:top w:val="nil"/>
              <w:left w:val="nil"/>
              <w:bottom w:val="nil"/>
              <w:right w:val="nil"/>
            </w:tcBorders>
            <w:shd w:val="clear" w:color="auto" w:fill="auto"/>
            <w:vAlign w:val="center"/>
            <w:hideMark/>
          </w:tcPr>
          <w:p w14:paraId="02F04EE7" w14:textId="77777777" w:rsidR="00151166" w:rsidRPr="00414B96" w:rsidRDefault="00151166" w:rsidP="0085119C">
            <w:pPr>
              <w:textAlignment w:val="baseline"/>
              <w:rPr>
                <w:rFonts w:cstheme="minorHAnsi"/>
              </w:rPr>
            </w:pPr>
            <w:r w:rsidRPr="00414B96">
              <w:rPr>
                <w:rFonts w:ascii="Calibri" w:hAnsi="Calibri" w:cs="Calibri"/>
                <w:color w:val="000000"/>
              </w:rPr>
              <w:t>40.3%</w:t>
            </w:r>
          </w:p>
        </w:tc>
        <w:tc>
          <w:tcPr>
            <w:tcW w:w="1080" w:type="dxa"/>
            <w:tcBorders>
              <w:top w:val="nil"/>
              <w:left w:val="nil"/>
              <w:bottom w:val="nil"/>
              <w:right w:val="nil"/>
            </w:tcBorders>
            <w:shd w:val="clear" w:color="auto" w:fill="auto"/>
            <w:vAlign w:val="center"/>
            <w:hideMark/>
          </w:tcPr>
          <w:p w14:paraId="580FB3D5" w14:textId="77777777" w:rsidR="00151166" w:rsidRPr="00CC0DEB" w:rsidRDefault="00151166" w:rsidP="0085119C">
            <w:pPr>
              <w:textAlignment w:val="baseline"/>
              <w:rPr>
                <w:rFonts w:cstheme="minorHAnsi"/>
              </w:rPr>
            </w:pPr>
            <w:r>
              <w:rPr>
                <w:rFonts w:ascii="Calibri" w:hAnsi="Calibri" w:cs="Calibri"/>
                <w:color w:val="000000"/>
              </w:rPr>
              <w:t>353</w:t>
            </w:r>
          </w:p>
        </w:tc>
        <w:tc>
          <w:tcPr>
            <w:tcW w:w="1350" w:type="dxa"/>
            <w:tcBorders>
              <w:top w:val="nil"/>
              <w:left w:val="nil"/>
              <w:bottom w:val="nil"/>
              <w:right w:val="nil"/>
            </w:tcBorders>
            <w:shd w:val="clear" w:color="auto" w:fill="auto"/>
            <w:vAlign w:val="center"/>
            <w:hideMark/>
          </w:tcPr>
          <w:p w14:paraId="6D72C9E5" w14:textId="77777777" w:rsidR="00151166" w:rsidRPr="00CC0DEB" w:rsidRDefault="00151166" w:rsidP="0085119C">
            <w:pPr>
              <w:textAlignment w:val="baseline"/>
              <w:rPr>
                <w:rFonts w:cstheme="minorHAnsi"/>
              </w:rPr>
            </w:pPr>
            <w:r>
              <w:rPr>
                <w:rFonts w:ascii="Calibri" w:hAnsi="Calibri" w:cs="Calibri"/>
                <w:color w:val="000000"/>
              </w:rPr>
              <w:t>168</w:t>
            </w:r>
          </w:p>
        </w:tc>
      </w:tr>
      <w:tr w:rsidR="00151166" w:rsidRPr="00B72B47" w14:paraId="46A31EB1" w14:textId="77777777" w:rsidTr="00F12147">
        <w:trPr>
          <w:trHeight w:val="300"/>
        </w:trPr>
        <w:tc>
          <w:tcPr>
            <w:tcW w:w="3240" w:type="dxa"/>
            <w:tcBorders>
              <w:top w:val="nil"/>
              <w:left w:val="nil"/>
              <w:bottom w:val="nil"/>
              <w:right w:val="nil"/>
            </w:tcBorders>
            <w:shd w:val="clear" w:color="auto" w:fill="auto"/>
            <w:vAlign w:val="bottom"/>
            <w:hideMark/>
          </w:tcPr>
          <w:p w14:paraId="246FE288" w14:textId="77777777" w:rsidR="00151166" w:rsidRPr="00B72B47" w:rsidRDefault="00151166" w:rsidP="004B1105">
            <w:pPr>
              <w:textAlignment w:val="baseline"/>
              <w:rPr>
                <w:rFonts w:cstheme="minorHAnsi"/>
              </w:rPr>
            </w:pPr>
            <w:r w:rsidRPr="00B72B47">
              <w:rPr>
                <w:rFonts w:cstheme="minorHAnsi"/>
              </w:rPr>
              <w:t>    Mountain </w:t>
            </w:r>
          </w:p>
        </w:tc>
        <w:tc>
          <w:tcPr>
            <w:tcW w:w="900" w:type="dxa"/>
            <w:tcBorders>
              <w:top w:val="nil"/>
              <w:left w:val="nil"/>
              <w:bottom w:val="nil"/>
              <w:right w:val="nil"/>
            </w:tcBorders>
            <w:shd w:val="clear" w:color="auto" w:fill="auto"/>
            <w:vAlign w:val="center"/>
            <w:hideMark/>
          </w:tcPr>
          <w:p w14:paraId="73523ED7" w14:textId="77777777" w:rsidR="00151166" w:rsidRPr="00CC0DEB" w:rsidRDefault="00151166" w:rsidP="0085119C">
            <w:pPr>
              <w:textAlignment w:val="baseline"/>
              <w:rPr>
                <w:rFonts w:cstheme="minorHAnsi"/>
              </w:rPr>
            </w:pPr>
            <w:r>
              <w:rPr>
                <w:rFonts w:ascii="Calibri" w:hAnsi="Calibri" w:cs="Calibri"/>
                <w:color w:val="000000"/>
              </w:rPr>
              <w:t>35.0%</w:t>
            </w:r>
          </w:p>
        </w:tc>
        <w:tc>
          <w:tcPr>
            <w:tcW w:w="1350" w:type="dxa"/>
            <w:tcBorders>
              <w:top w:val="nil"/>
              <w:left w:val="nil"/>
              <w:bottom w:val="nil"/>
              <w:right w:val="nil"/>
            </w:tcBorders>
            <w:shd w:val="clear" w:color="auto" w:fill="auto"/>
            <w:vAlign w:val="center"/>
            <w:hideMark/>
          </w:tcPr>
          <w:p w14:paraId="3541AA3A" w14:textId="77777777" w:rsidR="00151166" w:rsidRPr="00414B96" w:rsidRDefault="00151166" w:rsidP="0085119C">
            <w:pPr>
              <w:textAlignment w:val="baseline"/>
              <w:rPr>
                <w:rFonts w:cstheme="minorHAnsi"/>
              </w:rPr>
            </w:pPr>
            <w:r w:rsidRPr="00414B96">
              <w:rPr>
                <w:rFonts w:ascii="Calibri" w:hAnsi="Calibri" w:cs="Calibri"/>
                <w:color w:val="000000"/>
              </w:rPr>
              <w:t>30.1%</w:t>
            </w:r>
          </w:p>
        </w:tc>
        <w:tc>
          <w:tcPr>
            <w:tcW w:w="1080" w:type="dxa"/>
            <w:tcBorders>
              <w:top w:val="nil"/>
              <w:left w:val="nil"/>
              <w:bottom w:val="nil"/>
              <w:right w:val="nil"/>
            </w:tcBorders>
            <w:shd w:val="clear" w:color="auto" w:fill="auto"/>
            <w:vAlign w:val="center"/>
            <w:hideMark/>
          </w:tcPr>
          <w:p w14:paraId="332C511B" w14:textId="77777777" w:rsidR="00151166" w:rsidRPr="00CC0DEB" w:rsidRDefault="00151166" w:rsidP="0085119C">
            <w:pPr>
              <w:textAlignment w:val="baseline"/>
              <w:rPr>
                <w:rFonts w:cstheme="minorHAnsi"/>
              </w:rPr>
            </w:pPr>
            <w:r>
              <w:rPr>
                <w:rFonts w:ascii="Calibri" w:hAnsi="Calibri" w:cs="Calibri"/>
                <w:color w:val="000000"/>
              </w:rPr>
              <w:t>682</w:t>
            </w:r>
          </w:p>
        </w:tc>
        <w:tc>
          <w:tcPr>
            <w:tcW w:w="1350" w:type="dxa"/>
            <w:tcBorders>
              <w:top w:val="nil"/>
              <w:left w:val="nil"/>
              <w:bottom w:val="nil"/>
              <w:right w:val="nil"/>
            </w:tcBorders>
            <w:shd w:val="clear" w:color="auto" w:fill="auto"/>
            <w:vAlign w:val="center"/>
            <w:hideMark/>
          </w:tcPr>
          <w:p w14:paraId="46305113" w14:textId="77777777" w:rsidR="00151166" w:rsidRPr="00CC0DEB" w:rsidRDefault="00151166" w:rsidP="0085119C">
            <w:pPr>
              <w:textAlignment w:val="baseline"/>
              <w:rPr>
                <w:rFonts w:cstheme="minorHAnsi"/>
              </w:rPr>
            </w:pPr>
            <w:r>
              <w:rPr>
                <w:rFonts w:ascii="Calibri" w:hAnsi="Calibri" w:cs="Calibri"/>
                <w:color w:val="000000"/>
              </w:rPr>
              <w:t>344</w:t>
            </w:r>
          </w:p>
        </w:tc>
      </w:tr>
      <w:tr w:rsidR="00151166" w:rsidRPr="00B72B47" w14:paraId="496B4FD7" w14:textId="77777777" w:rsidTr="00F12147">
        <w:trPr>
          <w:trHeight w:val="300"/>
        </w:trPr>
        <w:tc>
          <w:tcPr>
            <w:tcW w:w="3240" w:type="dxa"/>
            <w:tcBorders>
              <w:top w:val="nil"/>
              <w:left w:val="nil"/>
              <w:bottom w:val="nil"/>
              <w:right w:val="nil"/>
            </w:tcBorders>
            <w:shd w:val="clear" w:color="auto" w:fill="auto"/>
            <w:vAlign w:val="bottom"/>
            <w:hideMark/>
          </w:tcPr>
          <w:p w14:paraId="7ADD4F81" w14:textId="77777777" w:rsidR="00151166" w:rsidRPr="00B72B47" w:rsidRDefault="00151166" w:rsidP="004B1105">
            <w:pPr>
              <w:textAlignment w:val="baseline"/>
              <w:rPr>
                <w:rFonts w:cstheme="minorHAnsi"/>
              </w:rPr>
            </w:pPr>
            <w:r w:rsidRPr="00B72B47">
              <w:rPr>
                <w:rFonts w:cstheme="minorHAnsi"/>
              </w:rPr>
              <w:t>    Pacific </w:t>
            </w:r>
          </w:p>
        </w:tc>
        <w:tc>
          <w:tcPr>
            <w:tcW w:w="900" w:type="dxa"/>
            <w:tcBorders>
              <w:top w:val="nil"/>
              <w:left w:val="nil"/>
              <w:bottom w:val="nil"/>
              <w:right w:val="nil"/>
            </w:tcBorders>
            <w:shd w:val="clear" w:color="auto" w:fill="auto"/>
            <w:vAlign w:val="center"/>
            <w:hideMark/>
          </w:tcPr>
          <w:p w14:paraId="173FF496" w14:textId="77777777" w:rsidR="00151166" w:rsidRPr="00CC0DEB" w:rsidRDefault="00151166" w:rsidP="0085119C">
            <w:pPr>
              <w:textAlignment w:val="baseline"/>
              <w:rPr>
                <w:rFonts w:cstheme="minorHAnsi"/>
              </w:rPr>
            </w:pPr>
            <w:r>
              <w:rPr>
                <w:rFonts w:ascii="Calibri" w:hAnsi="Calibri" w:cs="Calibri"/>
                <w:color w:val="000000"/>
              </w:rPr>
              <w:t>38.9%</w:t>
            </w:r>
          </w:p>
        </w:tc>
        <w:tc>
          <w:tcPr>
            <w:tcW w:w="1350" w:type="dxa"/>
            <w:tcBorders>
              <w:top w:val="nil"/>
              <w:left w:val="nil"/>
              <w:bottom w:val="nil"/>
              <w:right w:val="nil"/>
            </w:tcBorders>
            <w:shd w:val="clear" w:color="auto" w:fill="auto"/>
            <w:vAlign w:val="center"/>
            <w:hideMark/>
          </w:tcPr>
          <w:p w14:paraId="0B96E78D" w14:textId="77777777" w:rsidR="00151166" w:rsidRPr="00414B96" w:rsidRDefault="00151166" w:rsidP="0085119C">
            <w:pPr>
              <w:textAlignment w:val="baseline"/>
              <w:rPr>
                <w:rFonts w:cstheme="minorHAnsi"/>
              </w:rPr>
            </w:pPr>
            <w:r w:rsidRPr="00414B96">
              <w:rPr>
                <w:rFonts w:ascii="Calibri" w:hAnsi="Calibri" w:cs="Calibri"/>
                <w:color w:val="000000"/>
              </w:rPr>
              <w:t>38.4%</w:t>
            </w:r>
          </w:p>
        </w:tc>
        <w:tc>
          <w:tcPr>
            <w:tcW w:w="1080" w:type="dxa"/>
            <w:tcBorders>
              <w:top w:val="nil"/>
              <w:left w:val="nil"/>
              <w:bottom w:val="nil"/>
              <w:right w:val="nil"/>
            </w:tcBorders>
            <w:shd w:val="clear" w:color="auto" w:fill="auto"/>
            <w:vAlign w:val="center"/>
            <w:hideMark/>
          </w:tcPr>
          <w:p w14:paraId="373DC385" w14:textId="77777777" w:rsidR="00151166" w:rsidRPr="00CC0DEB" w:rsidRDefault="00151166" w:rsidP="0085119C">
            <w:pPr>
              <w:textAlignment w:val="baseline"/>
              <w:rPr>
                <w:rFonts w:cstheme="minorHAnsi"/>
              </w:rPr>
            </w:pPr>
            <w:r>
              <w:rPr>
                <w:rFonts w:ascii="Calibri" w:hAnsi="Calibri" w:cs="Calibri"/>
                <w:color w:val="000000"/>
              </w:rPr>
              <w:t>491</w:t>
            </w:r>
          </w:p>
        </w:tc>
        <w:tc>
          <w:tcPr>
            <w:tcW w:w="1350" w:type="dxa"/>
            <w:tcBorders>
              <w:top w:val="nil"/>
              <w:left w:val="nil"/>
              <w:bottom w:val="nil"/>
              <w:right w:val="nil"/>
            </w:tcBorders>
            <w:shd w:val="clear" w:color="auto" w:fill="auto"/>
            <w:vAlign w:val="center"/>
            <w:hideMark/>
          </w:tcPr>
          <w:p w14:paraId="5782A11A" w14:textId="77777777" w:rsidR="00151166" w:rsidRPr="00CC0DEB" w:rsidRDefault="00151166" w:rsidP="0085119C">
            <w:pPr>
              <w:textAlignment w:val="baseline"/>
              <w:rPr>
                <w:rFonts w:cstheme="minorHAnsi"/>
              </w:rPr>
            </w:pPr>
            <w:r>
              <w:rPr>
                <w:rFonts w:ascii="Calibri" w:hAnsi="Calibri" w:cs="Calibri"/>
                <w:color w:val="000000"/>
              </w:rPr>
              <w:t>384</w:t>
            </w:r>
          </w:p>
        </w:tc>
      </w:tr>
      <w:tr w:rsidR="00151166" w:rsidRPr="00B72B47" w14:paraId="60A28D94" w14:textId="77777777" w:rsidTr="00F12147">
        <w:trPr>
          <w:trHeight w:val="300"/>
        </w:trPr>
        <w:tc>
          <w:tcPr>
            <w:tcW w:w="3240" w:type="dxa"/>
            <w:tcBorders>
              <w:top w:val="nil"/>
              <w:left w:val="nil"/>
              <w:bottom w:val="nil"/>
              <w:right w:val="nil"/>
            </w:tcBorders>
            <w:shd w:val="clear" w:color="auto" w:fill="auto"/>
            <w:vAlign w:val="bottom"/>
            <w:hideMark/>
          </w:tcPr>
          <w:p w14:paraId="34E2CC70" w14:textId="7BB06985" w:rsidR="00151166" w:rsidRPr="00B72B47" w:rsidRDefault="00151166" w:rsidP="004B1105">
            <w:pPr>
              <w:textAlignment w:val="baseline"/>
              <w:rPr>
                <w:rFonts w:cstheme="minorHAnsi"/>
              </w:rPr>
            </w:pPr>
            <w:r w:rsidRPr="00B72B47">
              <w:rPr>
                <w:rFonts w:cstheme="minorHAnsi"/>
                <w:b/>
              </w:rPr>
              <w:t xml:space="preserve">  At </w:t>
            </w:r>
            <w:r w:rsidR="001E7ECE">
              <w:rPr>
                <w:rFonts w:cstheme="minorHAnsi"/>
                <w:b/>
              </w:rPr>
              <w:t>L</w:t>
            </w:r>
            <w:r w:rsidRPr="00B72B47">
              <w:rPr>
                <w:rFonts w:cstheme="minorHAnsi"/>
                <w:b/>
              </w:rPr>
              <w:t xml:space="preserve">east 1 </w:t>
            </w:r>
            <w:r w:rsidR="001E7ECE">
              <w:rPr>
                <w:rFonts w:cstheme="minorHAnsi"/>
                <w:b/>
              </w:rPr>
              <w:t>W</w:t>
            </w:r>
            <w:r w:rsidRPr="00B72B47">
              <w:rPr>
                <w:rFonts w:cstheme="minorHAnsi"/>
                <w:b/>
              </w:rPr>
              <w:t xml:space="preserve">ealth </w:t>
            </w:r>
            <w:r w:rsidR="001E7ECE">
              <w:rPr>
                <w:rFonts w:cstheme="minorHAnsi"/>
                <w:b/>
              </w:rPr>
              <w:t>T</w:t>
            </w:r>
            <w:r w:rsidRPr="00B72B47">
              <w:rPr>
                <w:rFonts w:cstheme="minorHAnsi"/>
                <w:b/>
              </w:rPr>
              <w:t>ransfer</w:t>
            </w:r>
            <w:r w:rsidRPr="00B72B47">
              <w:rPr>
                <w:rFonts w:cstheme="minorHAnsi"/>
              </w:rPr>
              <w:t> </w:t>
            </w:r>
          </w:p>
        </w:tc>
        <w:tc>
          <w:tcPr>
            <w:tcW w:w="900" w:type="dxa"/>
            <w:tcBorders>
              <w:top w:val="nil"/>
              <w:left w:val="nil"/>
              <w:bottom w:val="nil"/>
              <w:right w:val="nil"/>
            </w:tcBorders>
            <w:shd w:val="clear" w:color="auto" w:fill="auto"/>
            <w:hideMark/>
          </w:tcPr>
          <w:p w14:paraId="7BC9BCA6" w14:textId="77777777" w:rsidR="00151166" w:rsidRPr="00CC0DEB" w:rsidRDefault="00151166" w:rsidP="0085119C">
            <w:pPr>
              <w:textAlignment w:val="baseline"/>
              <w:rPr>
                <w:rFonts w:cstheme="minorHAnsi"/>
              </w:rPr>
            </w:pPr>
          </w:p>
        </w:tc>
        <w:tc>
          <w:tcPr>
            <w:tcW w:w="1350" w:type="dxa"/>
            <w:tcBorders>
              <w:top w:val="nil"/>
              <w:left w:val="nil"/>
              <w:bottom w:val="nil"/>
              <w:right w:val="nil"/>
            </w:tcBorders>
            <w:shd w:val="clear" w:color="auto" w:fill="auto"/>
            <w:hideMark/>
          </w:tcPr>
          <w:p w14:paraId="055735F4" w14:textId="77777777" w:rsidR="00151166" w:rsidRPr="00CC0DEB" w:rsidRDefault="00151166" w:rsidP="0085119C">
            <w:pPr>
              <w:textAlignment w:val="baseline"/>
              <w:rPr>
                <w:rFonts w:cstheme="minorHAnsi"/>
              </w:rPr>
            </w:pPr>
          </w:p>
        </w:tc>
        <w:tc>
          <w:tcPr>
            <w:tcW w:w="1080" w:type="dxa"/>
            <w:tcBorders>
              <w:top w:val="nil"/>
              <w:left w:val="nil"/>
              <w:bottom w:val="nil"/>
              <w:right w:val="nil"/>
            </w:tcBorders>
            <w:shd w:val="clear" w:color="auto" w:fill="auto"/>
            <w:hideMark/>
          </w:tcPr>
          <w:p w14:paraId="7DBD78AD" w14:textId="77777777" w:rsidR="00151166" w:rsidRPr="00CC0DEB" w:rsidRDefault="00151166" w:rsidP="0085119C">
            <w:pPr>
              <w:textAlignment w:val="baseline"/>
              <w:rPr>
                <w:rFonts w:cstheme="minorHAnsi"/>
              </w:rPr>
            </w:pPr>
          </w:p>
        </w:tc>
        <w:tc>
          <w:tcPr>
            <w:tcW w:w="1350" w:type="dxa"/>
            <w:tcBorders>
              <w:top w:val="nil"/>
              <w:left w:val="nil"/>
              <w:bottom w:val="nil"/>
              <w:right w:val="nil"/>
            </w:tcBorders>
            <w:shd w:val="clear" w:color="auto" w:fill="auto"/>
            <w:hideMark/>
          </w:tcPr>
          <w:p w14:paraId="68CB7709" w14:textId="77777777" w:rsidR="00151166" w:rsidRPr="00CC0DEB" w:rsidRDefault="00151166" w:rsidP="0085119C">
            <w:pPr>
              <w:textAlignment w:val="baseline"/>
              <w:rPr>
                <w:rFonts w:cstheme="minorHAnsi"/>
              </w:rPr>
            </w:pPr>
          </w:p>
        </w:tc>
      </w:tr>
      <w:tr w:rsidR="00151166" w:rsidRPr="00B72B47" w14:paraId="07BDC9DB" w14:textId="77777777" w:rsidTr="00F12147">
        <w:trPr>
          <w:trHeight w:val="300"/>
        </w:trPr>
        <w:tc>
          <w:tcPr>
            <w:tcW w:w="3240" w:type="dxa"/>
            <w:tcBorders>
              <w:top w:val="nil"/>
              <w:left w:val="nil"/>
              <w:bottom w:val="nil"/>
              <w:right w:val="nil"/>
            </w:tcBorders>
            <w:shd w:val="clear" w:color="auto" w:fill="auto"/>
            <w:vAlign w:val="bottom"/>
            <w:hideMark/>
          </w:tcPr>
          <w:p w14:paraId="571E4387" w14:textId="77777777" w:rsidR="00151166" w:rsidRPr="00B72B47" w:rsidRDefault="00151166" w:rsidP="004B1105">
            <w:pPr>
              <w:textAlignment w:val="baseline"/>
              <w:rPr>
                <w:rFonts w:cstheme="minorHAnsi"/>
              </w:rPr>
            </w:pPr>
            <w:r w:rsidRPr="00B72B47">
              <w:rPr>
                <w:rFonts w:cstheme="minorHAnsi"/>
              </w:rPr>
              <w:t>    New England </w:t>
            </w:r>
          </w:p>
        </w:tc>
        <w:tc>
          <w:tcPr>
            <w:tcW w:w="900" w:type="dxa"/>
            <w:tcBorders>
              <w:top w:val="nil"/>
              <w:left w:val="nil"/>
              <w:bottom w:val="nil"/>
              <w:right w:val="nil"/>
            </w:tcBorders>
            <w:shd w:val="clear" w:color="auto" w:fill="auto"/>
            <w:vAlign w:val="center"/>
            <w:hideMark/>
          </w:tcPr>
          <w:p w14:paraId="3F1166F0" w14:textId="77777777" w:rsidR="00151166" w:rsidRPr="00CC0DEB" w:rsidRDefault="00151166" w:rsidP="0085119C">
            <w:pPr>
              <w:textAlignment w:val="baseline"/>
              <w:rPr>
                <w:rFonts w:cstheme="minorHAnsi"/>
              </w:rPr>
            </w:pPr>
            <w:r>
              <w:rPr>
                <w:rFonts w:ascii="Calibri" w:hAnsi="Calibri" w:cs="Calibri"/>
                <w:color w:val="000000"/>
              </w:rPr>
              <w:t>59.7%</w:t>
            </w:r>
          </w:p>
        </w:tc>
        <w:tc>
          <w:tcPr>
            <w:tcW w:w="1350" w:type="dxa"/>
            <w:tcBorders>
              <w:top w:val="nil"/>
              <w:left w:val="nil"/>
              <w:bottom w:val="nil"/>
              <w:right w:val="nil"/>
            </w:tcBorders>
            <w:shd w:val="clear" w:color="auto" w:fill="auto"/>
            <w:vAlign w:val="center"/>
            <w:hideMark/>
          </w:tcPr>
          <w:p w14:paraId="19A6D750" w14:textId="77777777" w:rsidR="00151166" w:rsidRPr="00CC0DEB" w:rsidRDefault="00151166" w:rsidP="0085119C">
            <w:pPr>
              <w:textAlignment w:val="baseline"/>
              <w:rPr>
                <w:rFonts w:cstheme="minorHAnsi"/>
              </w:rPr>
            </w:pPr>
            <w:r w:rsidRPr="00CC0DEB">
              <w:rPr>
                <w:rFonts w:ascii="Calibri" w:hAnsi="Calibri" w:cs="Calibri"/>
                <w:color w:val="000000"/>
              </w:rPr>
              <w:t>58.3</w:t>
            </w:r>
            <w:r>
              <w:rPr>
                <w:rFonts w:ascii="Calibri" w:hAnsi="Calibri" w:cs="Calibri"/>
                <w:color w:val="000000"/>
              </w:rPr>
              <w:t>%</w:t>
            </w:r>
          </w:p>
        </w:tc>
        <w:tc>
          <w:tcPr>
            <w:tcW w:w="1080" w:type="dxa"/>
            <w:tcBorders>
              <w:top w:val="nil"/>
              <w:left w:val="nil"/>
              <w:bottom w:val="nil"/>
              <w:right w:val="nil"/>
            </w:tcBorders>
            <w:shd w:val="clear" w:color="auto" w:fill="auto"/>
            <w:vAlign w:val="center"/>
            <w:hideMark/>
          </w:tcPr>
          <w:p w14:paraId="309ECE89" w14:textId="77777777" w:rsidR="00151166" w:rsidRPr="00CC0DEB" w:rsidRDefault="00151166" w:rsidP="0085119C">
            <w:pPr>
              <w:textAlignment w:val="baseline"/>
              <w:rPr>
                <w:rFonts w:cstheme="minorHAnsi"/>
              </w:rPr>
            </w:pPr>
            <w:r>
              <w:rPr>
                <w:rFonts w:ascii="Calibri" w:hAnsi="Calibri" w:cs="Calibri"/>
                <w:color w:val="000000"/>
              </w:rPr>
              <w:t>191</w:t>
            </w:r>
          </w:p>
        </w:tc>
        <w:tc>
          <w:tcPr>
            <w:tcW w:w="1350" w:type="dxa"/>
            <w:tcBorders>
              <w:top w:val="nil"/>
              <w:left w:val="nil"/>
              <w:bottom w:val="nil"/>
              <w:right w:val="nil"/>
            </w:tcBorders>
            <w:shd w:val="clear" w:color="auto" w:fill="auto"/>
            <w:vAlign w:val="center"/>
            <w:hideMark/>
          </w:tcPr>
          <w:p w14:paraId="576639A1" w14:textId="77777777" w:rsidR="00151166" w:rsidRPr="00CC0DEB" w:rsidRDefault="00151166" w:rsidP="0085119C">
            <w:pPr>
              <w:textAlignment w:val="baseline"/>
              <w:rPr>
                <w:rFonts w:cstheme="minorHAnsi"/>
              </w:rPr>
            </w:pPr>
            <w:r>
              <w:rPr>
                <w:rFonts w:ascii="Calibri" w:hAnsi="Calibri" w:cs="Calibri"/>
                <w:color w:val="000000"/>
              </w:rPr>
              <w:t>44</w:t>
            </w:r>
          </w:p>
        </w:tc>
      </w:tr>
      <w:tr w:rsidR="00151166" w:rsidRPr="00B72B47" w14:paraId="45231E20" w14:textId="77777777" w:rsidTr="00F12147">
        <w:trPr>
          <w:trHeight w:val="300"/>
        </w:trPr>
        <w:tc>
          <w:tcPr>
            <w:tcW w:w="3240" w:type="dxa"/>
            <w:tcBorders>
              <w:top w:val="nil"/>
              <w:left w:val="nil"/>
              <w:bottom w:val="nil"/>
              <w:right w:val="nil"/>
            </w:tcBorders>
            <w:shd w:val="clear" w:color="auto" w:fill="auto"/>
            <w:vAlign w:val="bottom"/>
            <w:hideMark/>
          </w:tcPr>
          <w:p w14:paraId="16F58D69" w14:textId="77777777" w:rsidR="00151166" w:rsidRPr="00B72B47" w:rsidRDefault="00151166" w:rsidP="004B1105">
            <w:pPr>
              <w:textAlignment w:val="baseline"/>
              <w:rPr>
                <w:rFonts w:cstheme="minorHAnsi"/>
              </w:rPr>
            </w:pPr>
            <w:r w:rsidRPr="00B72B47">
              <w:rPr>
                <w:rFonts w:cstheme="minorHAnsi"/>
              </w:rPr>
              <w:t>    Middle Atlantic </w:t>
            </w:r>
          </w:p>
        </w:tc>
        <w:tc>
          <w:tcPr>
            <w:tcW w:w="900" w:type="dxa"/>
            <w:tcBorders>
              <w:top w:val="nil"/>
              <w:left w:val="nil"/>
              <w:bottom w:val="nil"/>
              <w:right w:val="nil"/>
            </w:tcBorders>
            <w:shd w:val="clear" w:color="auto" w:fill="auto"/>
            <w:vAlign w:val="center"/>
            <w:hideMark/>
          </w:tcPr>
          <w:p w14:paraId="653EA71F" w14:textId="77777777" w:rsidR="00151166" w:rsidRPr="00CC0DEB" w:rsidRDefault="00151166" w:rsidP="0085119C">
            <w:pPr>
              <w:textAlignment w:val="baseline"/>
              <w:rPr>
                <w:rFonts w:cstheme="minorHAnsi"/>
              </w:rPr>
            </w:pPr>
            <w:r>
              <w:rPr>
                <w:rFonts w:ascii="Calibri" w:hAnsi="Calibri" w:cs="Calibri"/>
                <w:color w:val="000000"/>
              </w:rPr>
              <w:t>72.2%</w:t>
            </w:r>
          </w:p>
        </w:tc>
        <w:tc>
          <w:tcPr>
            <w:tcW w:w="1350" w:type="dxa"/>
            <w:tcBorders>
              <w:top w:val="nil"/>
              <w:left w:val="nil"/>
              <w:bottom w:val="nil"/>
              <w:right w:val="nil"/>
            </w:tcBorders>
            <w:shd w:val="clear" w:color="auto" w:fill="auto"/>
            <w:vAlign w:val="center"/>
            <w:hideMark/>
          </w:tcPr>
          <w:p w14:paraId="2F9E3005" w14:textId="77777777" w:rsidR="00151166" w:rsidRPr="00CC0DEB" w:rsidRDefault="00151166" w:rsidP="0085119C">
            <w:pPr>
              <w:textAlignment w:val="baseline"/>
              <w:rPr>
                <w:rFonts w:cstheme="minorHAnsi"/>
              </w:rPr>
            </w:pPr>
            <w:r w:rsidRPr="00CC0DEB">
              <w:rPr>
                <w:rFonts w:ascii="Calibri" w:hAnsi="Calibri" w:cs="Calibri"/>
                <w:color w:val="000000"/>
              </w:rPr>
              <w:t>77.9</w:t>
            </w:r>
            <w:r>
              <w:rPr>
                <w:rFonts w:ascii="Calibri" w:hAnsi="Calibri" w:cs="Calibri"/>
                <w:color w:val="000000"/>
              </w:rPr>
              <w:t>%</w:t>
            </w:r>
          </w:p>
        </w:tc>
        <w:tc>
          <w:tcPr>
            <w:tcW w:w="1080" w:type="dxa"/>
            <w:tcBorders>
              <w:top w:val="nil"/>
              <w:left w:val="nil"/>
              <w:bottom w:val="nil"/>
              <w:right w:val="nil"/>
            </w:tcBorders>
            <w:shd w:val="clear" w:color="auto" w:fill="auto"/>
            <w:vAlign w:val="center"/>
            <w:hideMark/>
          </w:tcPr>
          <w:p w14:paraId="62A50EE6" w14:textId="77777777" w:rsidR="00151166" w:rsidRPr="00CC0DEB" w:rsidRDefault="00151166" w:rsidP="0085119C">
            <w:pPr>
              <w:textAlignment w:val="baseline"/>
              <w:rPr>
                <w:rFonts w:cstheme="minorHAnsi"/>
              </w:rPr>
            </w:pPr>
            <w:r>
              <w:rPr>
                <w:rFonts w:ascii="Calibri" w:hAnsi="Calibri" w:cs="Calibri"/>
                <w:color w:val="000000"/>
              </w:rPr>
              <w:t>84</w:t>
            </w:r>
          </w:p>
        </w:tc>
        <w:tc>
          <w:tcPr>
            <w:tcW w:w="1350" w:type="dxa"/>
            <w:tcBorders>
              <w:top w:val="nil"/>
              <w:left w:val="nil"/>
              <w:bottom w:val="nil"/>
              <w:right w:val="nil"/>
            </w:tcBorders>
            <w:shd w:val="clear" w:color="auto" w:fill="auto"/>
            <w:vAlign w:val="center"/>
            <w:hideMark/>
          </w:tcPr>
          <w:p w14:paraId="71397AA6" w14:textId="77777777" w:rsidR="00151166" w:rsidRPr="00CC0DEB" w:rsidRDefault="00151166" w:rsidP="0085119C">
            <w:pPr>
              <w:textAlignment w:val="baseline"/>
              <w:rPr>
                <w:rFonts w:cstheme="minorHAnsi"/>
              </w:rPr>
            </w:pPr>
            <w:r>
              <w:rPr>
                <w:rFonts w:ascii="Calibri" w:hAnsi="Calibri" w:cs="Calibri"/>
                <w:color w:val="000000"/>
              </w:rPr>
              <w:t>49</w:t>
            </w:r>
          </w:p>
        </w:tc>
      </w:tr>
      <w:tr w:rsidR="00151166" w:rsidRPr="00B72B47" w14:paraId="5D30AFE9" w14:textId="77777777" w:rsidTr="00F12147">
        <w:trPr>
          <w:trHeight w:val="300"/>
        </w:trPr>
        <w:tc>
          <w:tcPr>
            <w:tcW w:w="3240" w:type="dxa"/>
            <w:tcBorders>
              <w:top w:val="nil"/>
              <w:left w:val="nil"/>
              <w:bottom w:val="nil"/>
              <w:right w:val="nil"/>
            </w:tcBorders>
            <w:shd w:val="clear" w:color="auto" w:fill="auto"/>
            <w:vAlign w:val="bottom"/>
            <w:hideMark/>
          </w:tcPr>
          <w:p w14:paraId="6F479A26" w14:textId="77777777" w:rsidR="00151166" w:rsidRPr="00B72B47" w:rsidRDefault="00151166" w:rsidP="004B1105">
            <w:pPr>
              <w:textAlignment w:val="baseline"/>
              <w:rPr>
                <w:rFonts w:cstheme="minorHAnsi"/>
              </w:rPr>
            </w:pPr>
            <w:r w:rsidRPr="00B72B47">
              <w:rPr>
                <w:rFonts w:cstheme="minorHAnsi"/>
              </w:rPr>
              <w:t>    East North Central </w:t>
            </w:r>
          </w:p>
        </w:tc>
        <w:tc>
          <w:tcPr>
            <w:tcW w:w="900" w:type="dxa"/>
            <w:tcBorders>
              <w:top w:val="nil"/>
              <w:left w:val="nil"/>
              <w:bottom w:val="nil"/>
              <w:right w:val="nil"/>
            </w:tcBorders>
            <w:shd w:val="clear" w:color="auto" w:fill="auto"/>
            <w:vAlign w:val="center"/>
            <w:hideMark/>
          </w:tcPr>
          <w:p w14:paraId="28F18C8E" w14:textId="77777777" w:rsidR="00151166" w:rsidRPr="00CC0DEB" w:rsidRDefault="00151166" w:rsidP="0085119C">
            <w:pPr>
              <w:textAlignment w:val="baseline"/>
              <w:rPr>
                <w:rFonts w:cstheme="minorHAnsi"/>
              </w:rPr>
            </w:pPr>
            <w:r>
              <w:rPr>
                <w:rFonts w:ascii="Calibri" w:hAnsi="Calibri" w:cs="Calibri"/>
                <w:color w:val="000000"/>
              </w:rPr>
              <w:t>63.5%</w:t>
            </w:r>
          </w:p>
        </w:tc>
        <w:tc>
          <w:tcPr>
            <w:tcW w:w="1350" w:type="dxa"/>
            <w:tcBorders>
              <w:top w:val="nil"/>
              <w:left w:val="nil"/>
              <w:bottom w:val="nil"/>
              <w:right w:val="nil"/>
            </w:tcBorders>
            <w:shd w:val="clear" w:color="auto" w:fill="auto"/>
            <w:vAlign w:val="center"/>
            <w:hideMark/>
          </w:tcPr>
          <w:p w14:paraId="55A9FAE0" w14:textId="77777777" w:rsidR="00151166" w:rsidRPr="00CC0DEB" w:rsidRDefault="00151166" w:rsidP="0085119C">
            <w:pPr>
              <w:textAlignment w:val="baseline"/>
              <w:rPr>
                <w:rFonts w:cstheme="minorHAnsi"/>
              </w:rPr>
            </w:pPr>
            <w:r w:rsidRPr="00CC0DEB">
              <w:rPr>
                <w:rFonts w:ascii="Calibri" w:hAnsi="Calibri" w:cs="Calibri"/>
                <w:color w:val="000000"/>
              </w:rPr>
              <w:t>57.2</w:t>
            </w:r>
            <w:r>
              <w:rPr>
                <w:rFonts w:ascii="Calibri" w:hAnsi="Calibri" w:cs="Calibri"/>
                <w:color w:val="000000"/>
              </w:rPr>
              <w:t>%</w:t>
            </w:r>
          </w:p>
        </w:tc>
        <w:tc>
          <w:tcPr>
            <w:tcW w:w="1080" w:type="dxa"/>
            <w:tcBorders>
              <w:top w:val="nil"/>
              <w:left w:val="nil"/>
              <w:bottom w:val="nil"/>
              <w:right w:val="nil"/>
            </w:tcBorders>
            <w:shd w:val="clear" w:color="auto" w:fill="auto"/>
            <w:vAlign w:val="center"/>
            <w:hideMark/>
          </w:tcPr>
          <w:p w14:paraId="750A54AA" w14:textId="77777777" w:rsidR="00151166" w:rsidRPr="00CC0DEB" w:rsidRDefault="00151166" w:rsidP="0085119C">
            <w:pPr>
              <w:textAlignment w:val="baseline"/>
              <w:rPr>
                <w:rFonts w:cstheme="minorHAnsi"/>
              </w:rPr>
            </w:pPr>
            <w:r>
              <w:rPr>
                <w:rFonts w:ascii="Calibri" w:hAnsi="Calibri" w:cs="Calibri"/>
                <w:color w:val="000000"/>
              </w:rPr>
              <w:t>153</w:t>
            </w:r>
          </w:p>
        </w:tc>
        <w:tc>
          <w:tcPr>
            <w:tcW w:w="1350" w:type="dxa"/>
            <w:tcBorders>
              <w:top w:val="nil"/>
              <w:left w:val="nil"/>
              <w:bottom w:val="nil"/>
              <w:right w:val="nil"/>
            </w:tcBorders>
            <w:shd w:val="clear" w:color="auto" w:fill="auto"/>
            <w:vAlign w:val="center"/>
            <w:hideMark/>
          </w:tcPr>
          <w:p w14:paraId="285EF02D" w14:textId="77777777" w:rsidR="00151166" w:rsidRPr="00CC0DEB" w:rsidRDefault="00151166" w:rsidP="0085119C">
            <w:pPr>
              <w:textAlignment w:val="baseline"/>
              <w:rPr>
                <w:rFonts w:cstheme="minorHAnsi"/>
              </w:rPr>
            </w:pPr>
            <w:r>
              <w:rPr>
                <w:rFonts w:ascii="Calibri" w:hAnsi="Calibri" w:cs="Calibri"/>
                <w:color w:val="000000"/>
              </w:rPr>
              <w:t>44</w:t>
            </w:r>
          </w:p>
        </w:tc>
      </w:tr>
      <w:tr w:rsidR="00151166" w:rsidRPr="00B72B47" w14:paraId="62EA62E3" w14:textId="77777777" w:rsidTr="00F12147">
        <w:trPr>
          <w:trHeight w:val="300"/>
        </w:trPr>
        <w:tc>
          <w:tcPr>
            <w:tcW w:w="3240" w:type="dxa"/>
            <w:tcBorders>
              <w:top w:val="nil"/>
              <w:left w:val="nil"/>
              <w:bottom w:val="nil"/>
              <w:right w:val="nil"/>
            </w:tcBorders>
            <w:shd w:val="clear" w:color="auto" w:fill="auto"/>
            <w:vAlign w:val="bottom"/>
            <w:hideMark/>
          </w:tcPr>
          <w:p w14:paraId="2FD95503" w14:textId="77777777" w:rsidR="00151166" w:rsidRPr="00B72B47" w:rsidRDefault="00151166" w:rsidP="004B1105">
            <w:pPr>
              <w:textAlignment w:val="baseline"/>
              <w:rPr>
                <w:rFonts w:cstheme="minorHAnsi"/>
              </w:rPr>
            </w:pPr>
            <w:r w:rsidRPr="00B72B47">
              <w:rPr>
                <w:rFonts w:cstheme="minorHAnsi"/>
              </w:rPr>
              <w:t>    West North Central </w:t>
            </w:r>
          </w:p>
        </w:tc>
        <w:tc>
          <w:tcPr>
            <w:tcW w:w="900" w:type="dxa"/>
            <w:tcBorders>
              <w:top w:val="nil"/>
              <w:left w:val="nil"/>
              <w:bottom w:val="nil"/>
              <w:right w:val="nil"/>
            </w:tcBorders>
            <w:shd w:val="clear" w:color="auto" w:fill="auto"/>
            <w:vAlign w:val="center"/>
            <w:hideMark/>
          </w:tcPr>
          <w:p w14:paraId="3F9F25FD" w14:textId="77777777" w:rsidR="00151166" w:rsidRPr="00CC0DEB" w:rsidRDefault="00151166" w:rsidP="0085119C">
            <w:pPr>
              <w:textAlignment w:val="baseline"/>
              <w:rPr>
                <w:rFonts w:cstheme="minorHAnsi"/>
              </w:rPr>
            </w:pPr>
            <w:r>
              <w:rPr>
                <w:rFonts w:ascii="Calibri" w:hAnsi="Calibri" w:cs="Calibri"/>
                <w:color w:val="000000"/>
              </w:rPr>
              <w:t>52.8%</w:t>
            </w:r>
          </w:p>
        </w:tc>
        <w:tc>
          <w:tcPr>
            <w:tcW w:w="1350" w:type="dxa"/>
            <w:tcBorders>
              <w:top w:val="nil"/>
              <w:left w:val="nil"/>
              <w:bottom w:val="nil"/>
              <w:right w:val="nil"/>
            </w:tcBorders>
            <w:shd w:val="clear" w:color="auto" w:fill="auto"/>
            <w:vAlign w:val="center"/>
            <w:hideMark/>
          </w:tcPr>
          <w:p w14:paraId="578122D7" w14:textId="77777777" w:rsidR="00151166" w:rsidRPr="00CC0DEB" w:rsidRDefault="00151166" w:rsidP="0085119C">
            <w:pPr>
              <w:textAlignment w:val="baseline"/>
              <w:rPr>
                <w:rFonts w:cstheme="minorHAnsi"/>
              </w:rPr>
            </w:pPr>
            <w:r w:rsidRPr="00CC0DEB">
              <w:rPr>
                <w:rFonts w:ascii="Calibri" w:hAnsi="Calibri" w:cs="Calibri"/>
                <w:color w:val="000000"/>
              </w:rPr>
              <w:t>78.8</w:t>
            </w:r>
            <w:r>
              <w:rPr>
                <w:rFonts w:ascii="Calibri" w:hAnsi="Calibri" w:cs="Calibri"/>
                <w:color w:val="000000"/>
              </w:rPr>
              <w:t>%</w:t>
            </w:r>
          </w:p>
        </w:tc>
        <w:tc>
          <w:tcPr>
            <w:tcW w:w="1080" w:type="dxa"/>
            <w:tcBorders>
              <w:top w:val="nil"/>
              <w:left w:val="nil"/>
              <w:bottom w:val="nil"/>
              <w:right w:val="nil"/>
            </w:tcBorders>
            <w:shd w:val="clear" w:color="auto" w:fill="auto"/>
            <w:vAlign w:val="center"/>
            <w:hideMark/>
          </w:tcPr>
          <w:p w14:paraId="10227A55" w14:textId="77777777" w:rsidR="00151166" w:rsidRPr="00CC0DEB" w:rsidRDefault="00151166" w:rsidP="0085119C">
            <w:pPr>
              <w:textAlignment w:val="baseline"/>
              <w:rPr>
                <w:rFonts w:cstheme="minorHAnsi"/>
              </w:rPr>
            </w:pPr>
            <w:r>
              <w:rPr>
                <w:rFonts w:ascii="Calibri" w:hAnsi="Calibri" w:cs="Calibri"/>
                <w:color w:val="000000"/>
              </w:rPr>
              <w:t>218</w:t>
            </w:r>
          </w:p>
        </w:tc>
        <w:tc>
          <w:tcPr>
            <w:tcW w:w="1350" w:type="dxa"/>
            <w:tcBorders>
              <w:top w:val="nil"/>
              <w:left w:val="nil"/>
              <w:bottom w:val="nil"/>
              <w:right w:val="nil"/>
            </w:tcBorders>
            <w:shd w:val="clear" w:color="auto" w:fill="auto"/>
            <w:vAlign w:val="center"/>
            <w:hideMark/>
          </w:tcPr>
          <w:p w14:paraId="15BBDBC2" w14:textId="77777777" w:rsidR="00151166" w:rsidRPr="00CC0DEB" w:rsidRDefault="00151166" w:rsidP="0085119C">
            <w:pPr>
              <w:textAlignment w:val="baseline"/>
              <w:rPr>
                <w:rFonts w:cstheme="minorHAnsi"/>
              </w:rPr>
            </w:pPr>
            <w:r>
              <w:rPr>
                <w:rFonts w:ascii="Calibri" w:hAnsi="Calibri" w:cs="Calibri"/>
                <w:color w:val="000000"/>
              </w:rPr>
              <w:t>43</w:t>
            </w:r>
          </w:p>
        </w:tc>
      </w:tr>
      <w:tr w:rsidR="00151166" w:rsidRPr="00B72B47" w14:paraId="399330CE" w14:textId="77777777" w:rsidTr="00F12147">
        <w:trPr>
          <w:trHeight w:val="300"/>
        </w:trPr>
        <w:tc>
          <w:tcPr>
            <w:tcW w:w="3240" w:type="dxa"/>
            <w:tcBorders>
              <w:top w:val="nil"/>
              <w:left w:val="nil"/>
              <w:bottom w:val="nil"/>
              <w:right w:val="nil"/>
            </w:tcBorders>
            <w:shd w:val="clear" w:color="auto" w:fill="auto"/>
            <w:vAlign w:val="bottom"/>
            <w:hideMark/>
          </w:tcPr>
          <w:p w14:paraId="54E08E42" w14:textId="77777777" w:rsidR="00151166" w:rsidRPr="00B72B47" w:rsidRDefault="00151166" w:rsidP="004B1105">
            <w:pPr>
              <w:textAlignment w:val="baseline"/>
              <w:rPr>
                <w:rFonts w:cstheme="minorHAnsi"/>
              </w:rPr>
            </w:pPr>
            <w:r w:rsidRPr="00B72B47">
              <w:rPr>
                <w:rFonts w:cstheme="minorHAnsi"/>
              </w:rPr>
              <w:t>    South Atlantic </w:t>
            </w:r>
          </w:p>
        </w:tc>
        <w:tc>
          <w:tcPr>
            <w:tcW w:w="900" w:type="dxa"/>
            <w:tcBorders>
              <w:top w:val="nil"/>
              <w:left w:val="nil"/>
              <w:bottom w:val="nil"/>
              <w:right w:val="nil"/>
            </w:tcBorders>
            <w:shd w:val="clear" w:color="auto" w:fill="auto"/>
            <w:vAlign w:val="center"/>
            <w:hideMark/>
          </w:tcPr>
          <w:p w14:paraId="45BE541E" w14:textId="77777777" w:rsidR="00151166" w:rsidRPr="00CC0DEB" w:rsidRDefault="00151166" w:rsidP="0085119C">
            <w:pPr>
              <w:textAlignment w:val="baseline"/>
              <w:rPr>
                <w:rFonts w:cstheme="minorHAnsi"/>
              </w:rPr>
            </w:pPr>
            <w:r>
              <w:rPr>
                <w:rFonts w:ascii="Calibri" w:hAnsi="Calibri" w:cs="Calibri"/>
                <w:color w:val="000000"/>
              </w:rPr>
              <w:t>65.4%</w:t>
            </w:r>
          </w:p>
        </w:tc>
        <w:tc>
          <w:tcPr>
            <w:tcW w:w="1350" w:type="dxa"/>
            <w:tcBorders>
              <w:top w:val="nil"/>
              <w:left w:val="nil"/>
              <w:bottom w:val="nil"/>
              <w:right w:val="nil"/>
            </w:tcBorders>
            <w:shd w:val="clear" w:color="auto" w:fill="auto"/>
            <w:vAlign w:val="center"/>
            <w:hideMark/>
          </w:tcPr>
          <w:p w14:paraId="31ADCA15" w14:textId="77777777" w:rsidR="00151166" w:rsidRPr="00CC0DEB" w:rsidRDefault="00151166" w:rsidP="0085119C">
            <w:pPr>
              <w:textAlignment w:val="baseline"/>
              <w:rPr>
                <w:rFonts w:cstheme="minorHAnsi"/>
              </w:rPr>
            </w:pPr>
            <w:r w:rsidRPr="00CC0DEB">
              <w:rPr>
                <w:rFonts w:ascii="Calibri" w:hAnsi="Calibri" w:cs="Calibri"/>
                <w:color w:val="000000"/>
              </w:rPr>
              <w:t>77.6</w:t>
            </w:r>
            <w:r>
              <w:rPr>
                <w:rFonts w:ascii="Calibri" w:hAnsi="Calibri" w:cs="Calibri"/>
                <w:color w:val="000000"/>
              </w:rPr>
              <w:t>%</w:t>
            </w:r>
          </w:p>
        </w:tc>
        <w:tc>
          <w:tcPr>
            <w:tcW w:w="1080" w:type="dxa"/>
            <w:tcBorders>
              <w:top w:val="nil"/>
              <w:left w:val="nil"/>
              <w:bottom w:val="nil"/>
              <w:right w:val="nil"/>
            </w:tcBorders>
            <w:shd w:val="clear" w:color="auto" w:fill="auto"/>
            <w:vAlign w:val="center"/>
            <w:hideMark/>
          </w:tcPr>
          <w:p w14:paraId="732E5088" w14:textId="77777777" w:rsidR="00151166" w:rsidRPr="00CC0DEB" w:rsidRDefault="00151166" w:rsidP="0085119C">
            <w:pPr>
              <w:textAlignment w:val="baseline"/>
              <w:rPr>
                <w:rFonts w:cstheme="minorHAnsi"/>
              </w:rPr>
            </w:pPr>
            <w:r>
              <w:rPr>
                <w:rFonts w:ascii="Calibri" w:hAnsi="Calibri" w:cs="Calibri"/>
                <w:color w:val="000000"/>
              </w:rPr>
              <w:t>266</w:t>
            </w:r>
          </w:p>
        </w:tc>
        <w:tc>
          <w:tcPr>
            <w:tcW w:w="1350" w:type="dxa"/>
            <w:tcBorders>
              <w:top w:val="nil"/>
              <w:left w:val="nil"/>
              <w:bottom w:val="nil"/>
              <w:right w:val="nil"/>
            </w:tcBorders>
            <w:shd w:val="clear" w:color="auto" w:fill="auto"/>
            <w:vAlign w:val="center"/>
            <w:hideMark/>
          </w:tcPr>
          <w:p w14:paraId="52D4677E" w14:textId="77777777" w:rsidR="00151166" w:rsidRPr="00CC0DEB" w:rsidRDefault="00151166" w:rsidP="0085119C">
            <w:pPr>
              <w:textAlignment w:val="baseline"/>
              <w:rPr>
                <w:rFonts w:cstheme="minorHAnsi"/>
              </w:rPr>
            </w:pPr>
            <w:r>
              <w:rPr>
                <w:rFonts w:ascii="Calibri" w:hAnsi="Calibri" w:cs="Calibri"/>
                <w:color w:val="000000"/>
              </w:rPr>
              <w:t>118</w:t>
            </w:r>
          </w:p>
        </w:tc>
      </w:tr>
      <w:tr w:rsidR="00151166" w:rsidRPr="00B72B47" w14:paraId="69287295" w14:textId="77777777" w:rsidTr="00F12147">
        <w:trPr>
          <w:trHeight w:val="300"/>
        </w:trPr>
        <w:tc>
          <w:tcPr>
            <w:tcW w:w="3240" w:type="dxa"/>
            <w:tcBorders>
              <w:top w:val="nil"/>
              <w:left w:val="nil"/>
              <w:bottom w:val="nil"/>
              <w:right w:val="nil"/>
            </w:tcBorders>
            <w:shd w:val="clear" w:color="auto" w:fill="auto"/>
            <w:vAlign w:val="bottom"/>
            <w:hideMark/>
          </w:tcPr>
          <w:p w14:paraId="5EC4151E" w14:textId="77777777" w:rsidR="00151166" w:rsidRPr="00B72B47" w:rsidRDefault="00151166" w:rsidP="004B1105">
            <w:pPr>
              <w:textAlignment w:val="baseline"/>
              <w:rPr>
                <w:rFonts w:cstheme="minorHAnsi"/>
              </w:rPr>
            </w:pPr>
            <w:r w:rsidRPr="00B72B47">
              <w:rPr>
                <w:rFonts w:cstheme="minorHAnsi"/>
              </w:rPr>
              <w:t>    East South Central </w:t>
            </w:r>
          </w:p>
        </w:tc>
        <w:tc>
          <w:tcPr>
            <w:tcW w:w="900" w:type="dxa"/>
            <w:tcBorders>
              <w:top w:val="nil"/>
              <w:left w:val="nil"/>
              <w:bottom w:val="nil"/>
              <w:right w:val="nil"/>
            </w:tcBorders>
            <w:shd w:val="clear" w:color="auto" w:fill="auto"/>
            <w:vAlign w:val="center"/>
            <w:hideMark/>
          </w:tcPr>
          <w:p w14:paraId="236B0847" w14:textId="77777777" w:rsidR="00151166" w:rsidRPr="00CC0DEB" w:rsidRDefault="00151166" w:rsidP="0085119C">
            <w:pPr>
              <w:textAlignment w:val="baseline"/>
              <w:rPr>
                <w:rFonts w:cstheme="minorHAnsi"/>
              </w:rPr>
            </w:pPr>
            <w:r>
              <w:rPr>
                <w:rFonts w:ascii="Calibri" w:hAnsi="Calibri" w:cs="Calibri"/>
                <w:color w:val="000000"/>
              </w:rPr>
              <w:t>58.0%</w:t>
            </w:r>
          </w:p>
        </w:tc>
        <w:tc>
          <w:tcPr>
            <w:tcW w:w="1350" w:type="dxa"/>
            <w:tcBorders>
              <w:top w:val="nil"/>
              <w:left w:val="nil"/>
              <w:bottom w:val="nil"/>
              <w:right w:val="nil"/>
            </w:tcBorders>
            <w:shd w:val="clear" w:color="auto" w:fill="auto"/>
            <w:vAlign w:val="center"/>
            <w:hideMark/>
          </w:tcPr>
          <w:p w14:paraId="5C29403E" w14:textId="77777777" w:rsidR="00151166" w:rsidRPr="00CC0DEB" w:rsidRDefault="00151166" w:rsidP="0085119C">
            <w:pPr>
              <w:textAlignment w:val="baseline"/>
              <w:rPr>
                <w:rFonts w:cstheme="minorHAnsi"/>
              </w:rPr>
            </w:pPr>
            <w:r w:rsidRPr="00CC0DEB">
              <w:rPr>
                <w:rFonts w:ascii="Calibri" w:hAnsi="Calibri" w:cs="Calibri"/>
                <w:color w:val="000000"/>
              </w:rPr>
              <w:t>59.8</w:t>
            </w:r>
            <w:r>
              <w:rPr>
                <w:rFonts w:ascii="Calibri" w:hAnsi="Calibri" w:cs="Calibri"/>
                <w:color w:val="000000"/>
              </w:rPr>
              <w:t>%</w:t>
            </w:r>
          </w:p>
        </w:tc>
        <w:tc>
          <w:tcPr>
            <w:tcW w:w="1080" w:type="dxa"/>
            <w:tcBorders>
              <w:top w:val="nil"/>
              <w:left w:val="nil"/>
              <w:bottom w:val="nil"/>
              <w:right w:val="nil"/>
            </w:tcBorders>
            <w:shd w:val="clear" w:color="auto" w:fill="auto"/>
            <w:vAlign w:val="center"/>
            <w:hideMark/>
          </w:tcPr>
          <w:p w14:paraId="35926A0F" w14:textId="77777777" w:rsidR="00151166" w:rsidRPr="00CC0DEB" w:rsidRDefault="00151166" w:rsidP="0085119C">
            <w:pPr>
              <w:textAlignment w:val="baseline"/>
              <w:rPr>
                <w:rFonts w:cstheme="minorHAnsi"/>
              </w:rPr>
            </w:pPr>
            <w:r>
              <w:rPr>
                <w:rFonts w:ascii="Calibri" w:hAnsi="Calibri" w:cs="Calibri"/>
                <w:color w:val="000000"/>
              </w:rPr>
              <w:t>112</w:t>
            </w:r>
          </w:p>
        </w:tc>
        <w:tc>
          <w:tcPr>
            <w:tcW w:w="1350" w:type="dxa"/>
            <w:tcBorders>
              <w:top w:val="nil"/>
              <w:left w:val="nil"/>
              <w:bottom w:val="nil"/>
              <w:right w:val="nil"/>
            </w:tcBorders>
            <w:shd w:val="clear" w:color="auto" w:fill="auto"/>
            <w:vAlign w:val="center"/>
            <w:hideMark/>
          </w:tcPr>
          <w:p w14:paraId="4CFB8BA1" w14:textId="77777777" w:rsidR="00151166" w:rsidRPr="00CC0DEB" w:rsidRDefault="00151166" w:rsidP="0085119C">
            <w:pPr>
              <w:textAlignment w:val="baseline"/>
              <w:rPr>
                <w:rFonts w:cstheme="minorHAnsi"/>
              </w:rPr>
            </w:pPr>
            <w:r>
              <w:rPr>
                <w:rFonts w:ascii="Calibri" w:hAnsi="Calibri" w:cs="Calibri"/>
                <w:color w:val="000000"/>
              </w:rPr>
              <w:t>54</w:t>
            </w:r>
          </w:p>
        </w:tc>
      </w:tr>
      <w:tr w:rsidR="00151166" w:rsidRPr="00B72B47" w14:paraId="06B3938D" w14:textId="77777777" w:rsidTr="00F12147">
        <w:trPr>
          <w:trHeight w:val="300"/>
        </w:trPr>
        <w:tc>
          <w:tcPr>
            <w:tcW w:w="3240" w:type="dxa"/>
            <w:tcBorders>
              <w:top w:val="nil"/>
              <w:left w:val="nil"/>
              <w:bottom w:val="nil"/>
              <w:right w:val="nil"/>
            </w:tcBorders>
            <w:shd w:val="clear" w:color="auto" w:fill="auto"/>
            <w:vAlign w:val="bottom"/>
            <w:hideMark/>
          </w:tcPr>
          <w:p w14:paraId="4FC0A8D3" w14:textId="77777777" w:rsidR="00151166" w:rsidRPr="00B72B47" w:rsidRDefault="00151166" w:rsidP="004B1105">
            <w:pPr>
              <w:textAlignment w:val="baseline"/>
              <w:rPr>
                <w:rFonts w:cstheme="minorHAnsi"/>
              </w:rPr>
            </w:pPr>
            <w:r w:rsidRPr="00B72B47">
              <w:rPr>
                <w:rFonts w:cstheme="minorHAnsi"/>
              </w:rPr>
              <w:t>    West South Central </w:t>
            </w:r>
          </w:p>
        </w:tc>
        <w:tc>
          <w:tcPr>
            <w:tcW w:w="900" w:type="dxa"/>
            <w:tcBorders>
              <w:top w:val="nil"/>
              <w:left w:val="nil"/>
              <w:bottom w:val="nil"/>
              <w:right w:val="nil"/>
            </w:tcBorders>
            <w:shd w:val="clear" w:color="auto" w:fill="auto"/>
            <w:vAlign w:val="center"/>
            <w:hideMark/>
          </w:tcPr>
          <w:p w14:paraId="2D1999AB" w14:textId="77777777" w:rsidR="00151166" w:rsidRPr="00CC0DEB" w:rsidRDefault="00151166" w:rsidP="0085119C">
            <w:pPr>
              <w:textAlignment w:val="baseline"/>
              <w:rPr>
                <w:rFonts w:cstheme="minorHAnsi"/>
              </w:rPr>
            </w:pPr>
            <w:r>
              <w:rPr>
                <w:rFonts w:ascii="Calibri" w:hAnsi="Calibri" w:cs="Calibri"/>
                <w:color w:val="000000"/>
              </w:rPr>
              <w:t>65.5%</w:t>
            </w:r>
          </w:p>
        </w:tc>
        <w:tc>
          <w:tcPr>
            <w:tcW w:w="1350" w:type="dxa"/>
            <w:tcBorders>
              <w:top w:val="nil"/>
              <w:left w:val="nil"/>
              <w:bottom w:val="nil"/>
              <w:right w:val="nil"/>
            </w:tcBorders>
            <w:shd w:val="clear" w:color="auto" w:fill="auto"/>
            <w:vAlign w:val="center"/>
            <w:hideMark/>
          </w:tcPr>
          <w:p w14:paraId="4A2907FE" w14:textId="77777777" w:rsidR="00151166" w:rsidRPr="00CC0DEB" w:rsidRDefault="00151166" w:rsidP="0085119C">
            <w:pPr>
              <w:textAlignment w:val="baseline"/>
              <w:rPr>
                <w:rFonts w:cstheme="minorHAnsi"/>
              </w:rPr>
            </w:pPr>
            <w:r w:rsidRPr="00CC0DEB">
              <w:rPr>
                <w:rFonts w:ascii="Calibri" w:hAnsi="Calibri" w:cs="Calibri"/>
                <w:color w:val="000000"/>
              </w:rPr>
              <w:t>62.5</w:t>
            </w:r>
            <w:r>
              <w:rPr>
                <w:rFonts w:ascii="Calibri" w:hAnsi="Calibri" w:cs="Calibri"/>
                <w:color w:val="000000"/>
              </w:rPr>
              <w:t>%</w:t>
            </w:r>
          </w:p>
        </w:tc>
        <w:tc>
          <w:tcPr>
            <w:tcW w:w="1080" w:type="dxa"/>
            <w:tcBorders>
              <w:top w:val="nil"/>
              <w:left w:val="nil"/>
              <w:bottom w:val="nil"/>
              <w:right w:val="nil"/>
            </w:tcBorders>
            <w:shd w:val="clear" w:color="auto" w:fill="auto"/>
            <w:vAlign w:val="center"/>
            <w:hideMark/>
          </w:tcPr>
          <w:p w14:paraId="23247112" w14:textId="77777777" w:rsidR="00151166" w:rsidRPr="00CC0DEB" w:rsidRDefault="00151166" w:rsidP="0085119C">
            <w:pPr>
              <w:textAlignment w:val="baseline"/>
              <w:rPr>
                <w:rFonts w:cstheme="minorHAnsi"/>
              </w:rPr>
            </w:pPr>
            <w:r>
              <w:rPr>
                <w:rFonts w:ascii="Calibri" w:hAnsi="Calibri" w:cs="Calibri"/>
                <w:color w:val="000000"/>
              </w:rPr>
              <w:t>139</w:t>
            </w:r>
          </w:p>
        </w:tc>
        <w:tc>
          <w:tcPr>
            <w:tcW w:w="1350" w:type="dxa"/>
            <w:tcBorders>
              <w:top w:val="nil"/>
              <w:left w:val="nil"/>
              <w:bottom w:val="nil"/>
              <w:right w:val="nil"/>
            </w:tcBorders>
            <w:shd w:val="clear" w:color="auto" w:fill="auto"/>
            <w:vAlign w:val="center"/>
            <w:hideMark/>
          </w:tcPr>
          <w:p w14:paraId="48127231" w14:textId="77777777" w:rsidR="00151166" w:rsidRPr="00CC0DEB" w:rsidRDefault="00151166" w:rsidP="0085119C">
            <w:pPr>
              <w:textAlignment w:val="baseline"/>
              <w:rPr>
                <w:rFonts w:cstheme="minorHAnsi"/>
              </w:rPr>
            </w:pPr>
            <w:r>
              <w:rPr>
                <w:rFonts w:ascii="Calibri" w:hAnsi="Calibri" w:cs="Calibri"/>
                <w:color w:val="000000"/>
              </w:rPr>
              <w:t>55</w:t>
            </w:r>
          </w:p>
        </w:tc>
      </w:tr>
      <w:tr w:rsidR="00151166" w:rsidRPr="00B72B47" w14:paraId="636D51BF" w14:textId="77777777" w:rsidTr="00F12147">
        <w:trPr>
          <w:trHeight w:val="300"/>
        </w:trPr>
        <w:tc>
          <w:tcPr>
            <w:tcW w:w="3240" w:type="dxa"/>
            <w:tcBorders>
              <w:top w:val="nil"/>
              <w:left w:val="nil"/>
              <w:bottom w:val="nil"/>
              <w:right w:val="nil"/>
            </w:tcBorders>
            <w:shd w:val="clear" w:color="auto" w:fill="auto"/>
            <w:vAlign w:val="bottom"/>
            <w:hideMark/>
          </w:tcPr>
          <w:p w14:paraId="32304238" w14:textId="77777777" w:rsidR="00151166" w:rsidRPr="00B72B47" w:rsidRDefault="00151166" w:rsidP="004B1105">
            <w:pPr>
              <w:textAlignment w:val="baseline"/>
              <w:rPr>
                <w:rFonts w:cstheme="minorHAnsi"/>
              </w:rPr>
            </w:pPr>
            <w:r w:rsidRPr="00B72B47">
              <w:rPr>
                <w:rFonts w:cstheme="minorHAnsi"/>
              </w:rPr>
              <w:t>    Mountain </w:t>
            </w:r>
          </w:p>
        </w:tc>
        <w:tc>
          <w:tcPr>
            <w:tcW w:w="900" w:type="dxa"/>
            <w:tcBorders>
              <w:top w:val="nil"/>
              <w:left w:val="nil"/>
              <w:bottom w:val="nil"/>
              <w:right w:val="nil"/>
            </w:tcBorders>
            <w:shd w:val="clear" w:color="auto" w:fill="auto"/>
            <w:vAlign w:val="center"/>
            <w:hideMark/>
          </w:tcPr>
          <w:p w14:paraId="00692874" w14:textId="77777777" w:rsidR="00151166" w:rsidRPr="00CC0DEB" w:rsidRDefault="00151166" w:rsidP="0085119C">
            <w:pPr>
              <w:textAlignment w:val="baseline"/>
              <w:rPr>
                <w:rFonts w:cstheme="minorHAnsi"/>
              </w:rPr>
            </w:pPr>
            <w:r>
              <w:rPr>
                <w:rFonts w:ascii="Calibri" w:hAnsi="Calibri" w:cs="Calibri"/>
                <w:color w:val="000000"/>
              </w:rPr>
              <w:t>59.2%</w:t>
            </w:r>
          </w:p>
        </w:tc>
        <w:tc>
          <w:tcPr>
            <w:tcW w:w="1350" w:type="dxa"/>
            <w:tcBorders>
              <w:top w:val="nil"/>
              <w:left w:val="nil"/>
              <w:bottom w:val="nil"/>
              <w:right w:val="nil"/>
            </w:tcBorders>
            <w:shd w:val="clear" w:color="auto" w:fill="auto"/>
            <w:vAlign w:val="center"/>
            <w:hideMark/>
          </w:tcPr>
          <w:p w14:paraId="5D418FE7" w14:textId="77777777" w:rsidR="00151166" w:rsidRPr="00CC0DEB" w:rsidRDefault="00151166" w:rsidP="0085119C">
            <w:pPr>
              <w:textAlignment w:val="baseline"/>
              <w:rPr>
                <w:rFonts w:cstheme="minorHAnsi"/>
              </w:rPr>
            </w:pPr>
            <w:r w:rsidRPr="00CC0DEB">
              <w:rPr>
                <w:rFonts w:ascii="Calibri" w:hAnsi="Calibri" w:cs="Calibri"/>
                <w:color w:val="000000"/>
              </w:rPr>
              <w:t>61.6</w:t>
            </w:r>
            <w:r>
              <w:rPr>
                <w:rFonts w:ascii="Calibri" w:hAnsi="Calibri" w:cs="Calibri"/>
                <w:color w:val="000000"/>
              </w:rPr>
              <w:t>%</w:t>
            </w:r>
          </w:p>
        </w:tc>
        <w:tc>
          <w:tcPr>
            <w:tcW w:w="1080" w:type="dxa"/>
            <w:tcBorders>
              <w:top w:val="nil"/>
              <w:left w:val="nil"/>
              <w:bottom w:val="nil"/>
              <w:right w:val="nil"/>
            </w:tcBorders>
            <w:shd w:val="clear" w:color="auto" w:fill="auto"/>
            <w:vAlign w:val="center"/>
            <w:hideMark/>
          </w:tcPr>
          <w:p w14:paraId="373A7FBD" w14:textId="77777777" w:rsidR="00151166" w:rsidRPr="00CC0DEB" w:rsidRDefault="00151166" w:rsidP="0085119C">
            <w:pPr>
              <w:textAlignment w:val="baseline"/>
              <w:rPr>
                <w:rFonts w:cstheme="minorHAnsi"/>
              </w:rPr>
            </w:pPr>
            <w:r>
              <w:rPr>
                <w:rFonts w:ascii="Calibri" w:hAnsi="Calibri" w:cs="Calibri"/>
                <w:color w:val="000000"/>
              </w:rPr>
              <w:t>242</w:t>
            </w:r>
          </w:p>
        </w:tc>
        <w:tc>
          <w:tcPr>
            <w:tcW w:w="1350" w:type="dxa"/>
            <w:tcBorders>
              <w:top w:val="nil"/>
              <w:left w:val="nil"/>
              <w:bottom w:val="nil"/>
              <w:right w:val="nil"/>
            </w:tcBorders>
            <w:shd w:val="clear" w:color="auto" w:fill="auto"/>
            <w:vAlign w:val="center"/>
            <w:hideMark/>
          </w:tcPr>
          <w:p w14:paraId="5A435052" w14:textId="77777777" w:rsidR="00151166" w:rsidRPr="00CC0DEB" w:rsidRDefault="00151166" w:rsidP="0085119C">
            <w:pPr>
              <w:textAlignment w:val="baseline"/>
              <w:rPr>
                <w:rFonts w:cstheme="minorHAnsi"/>
              </w:rPr>
            </w:pPr>
            <w:r>
              <w:rPr>
                <w:rFonts w:ascii="Calibri" w:hAnsi="Calibri" w:cs="Calibri"/>
                <w:color w:val="000000"/>
              </w:rPr>
              <w:t>77</w:t>
            </w:r>
          </w:p>
        </w:tc>
      </w:tr>
      <w:tr w:rsidR="00151166" w:rsidRPr="00B72B47" w14:paraId="03F6F145" w14:textId="77777777" w:rsidTr="00F12147">
        <w:trPr>
          <w:trHeight w:val="300"/>
        </w:trPr>
        <w:tc>
          <w:tcPr>
            <w:tcW w:w="3240" w:type="dxa"/>
            <w:tcBorders>
              <w:top w:val="nil"/>
              <w:left w:val="nil"/>
              <w:bottom w:val="single" w:sz="4" w:space="0" w:color="auto"/>
              <w:right w:val="nil"/>
            </w:tcBorders>
            <w:shd w:val="clear" w:color="auto" w:fill="auto"/>
            <w:vAlign w:val="bottom"/>
            <w:hideMark/>
          </w:tcPr>
          <w:p w14:paraId="73E6052B" w14:textId="77777777" w:rsidR="00151166" w:rsidRPr="00B72B47" w:rsidRDefault="00151166" w:rsidP="004B1105">
            <w:pPr>
              <w:textAlignment w:val="baseline"/>
              <w:rPr>
                <w:rFonts w:cstheme="minorHAnsi"/>
              </w:rPr>
            </w:pPr>
            <w:r w:rsidRPr="00B72B47">
              <w:rPr>
                <w:rFonts w:cstheme="minorHAnsi"/>
              </w:rPr>
              <w:t>    Pacific </w:t>
            </w:r>
          </w:p>
        </w:tc>
        <w:tc>
          <w:tcPr>
            <w:tcW w:w="900" w:type="dxa"/>
            <w:tcBorders>
              <w:top w:val="nil"/>
              <w:left w:val="nil"/>
              <w:bottom w:val="single" w:sz="4" w:space="0" w:color="auto"/>
              <w:right w:val="nil"/>
            </w:tcBorders>
            <w:shd w:val="clear" w:color="auto" w:fill="auto"/>
            <w:vAlign w:val="center"/>
            <w:hideMark/>
          </w:tcPr>
          <w:p w14:paraId="5A613B54" w14:textId="77777777" w:rsidR="00151166" w:rsidRPr="00CC0DEB" w:rsidRDefault="00151166" w:rsidP="0085119C">
            <w:pPr>
              <w:textAlignment w:val="baseline"/>
              <w:rPr>
                <w:rFonts w:cstheme="minorHAnsi"/>
              </w:rPr>
            </w:pPr>
            <w:r>
              <w:rPr>
                <w:rFonts w:ascii="Calibri" w:hAnsi="Calibri" w:cs="Calibri"/>
                <w:color w:val="000000"/>
              </w:rPr>
              <w:t>70.5%</w:t>
            </w:r>
          </w:p>
        </w:tc>
        <w:tc>
          <w:tcPr>
            <w:tcW w:w="1350" w:type="dxa"/>
            <w:tcBorders>
              <w:top w:val="nil"/>
              <w:left w:val="nil"/>
              <w:bottom w:val="single" w:sz="4" w:space="0" w:color="auto"/>
              <w:right w:val="nil"/>
            </w:tcBorders>
            <w:shd w:val="clear" w:color="auto" w:fill="auto"/>
            <w:vAlign w:val="center"/>
            <w:hideMark/>
          </w:tcPr>
          <w:p w14:paraId="5F2DF755" w14:textId="77777777" w:rsidR="00151166" w:rsidRPr="00CC0DEB" w:rsidRDefault="00151166" w:rsidP="0085119C">
            <w:pPr>
              <w:textAlignment w:val="baseline"/>
              <w:rPr>
                <w:rFonts w:cstheme="minorHAnsi"/>
              </w:rPr>
            </w:pPr>
            <w:r w:rsidRPr="00CC0DEB">
              <w:rPr>
                <w:rFonts w:ascii="Calibri" w:hAnsi="Calibri" w:cs="Calibri"/>
                <w:color w:val="000000"/>
              </w:rPr>
              <w:t>62.4</w:t>
            </w:r>
            <w:r>
              <w:rPr>
                <w:rFonts w:ascii="Calibri" w:hAnsi="Calibri" w:cs="Calibri"/>
                <w:color w:val="000000"/>
              </w:rPr>
              <w:t>%</w:t>
            </w:r>
          </w:p>
        </w:tc>
        <w:tc>
          <w:tcPr>
            <w:tcW w:w="1080" w:type="dxa"/>
            <w:tcBorders>
              <w:top w:val="nil"/>
              <w:left w:val="nil"/>
              <w:bottom w:val="single" w:sz="4" w:space="0" w:color="auto"/>
              <w:right w:val="nil"/>
            </w:tcBorders>
            <w:shd w:val="clear" w:color="auto" w:fill="auto"/>
            <w:vAlign w:val="center"/>
            <w:hideMark/>
          </w:tcPr>
          <w:p w14:paraId="01764E5A" w14:textId="77777777" w:rsidR="00151166" w:rsidRPr="00CC0DEB" w:rsidRDefault="00151166" w:rsidP="0085119C">
            <w:pPr>
              <w:textAlignment w:val="baseline"/>
              <w:rPr>
                <w:rFonts w:cstheme="minorHAnsi"/>
              </w:rPr>
            </w:pPr>
            <w:r>
              <w:rPr>
                <w:rFonts w:ascii="Calibri" w:hAnsi="Calibri" w:cs="Calibri"/>
                <w:color w:val="000000"/>
              </w:rPr>
              <w:t>240</w:t>
            </w:r>
          </w:p>
        </w:tc>
        <w:tc>
          <w:tcPr>
            <w:tcW w:w="1350" w:type="dxa"/>
            <w:tcBorders>
              <w:top w:val="nil"/>
              <w:left w:val="nil"/>
              <w:bottom w:val="single" w:sz="4" w:space="0" w:color="auto"/>
              <w:right w:val="nil"/>
            </w:tcBorders>
            <w:shd w:val="clear" w:color="auto" w:fill="auto"/>
            <w:vAlign w:val="center"/>
            <w:hideMark/>
          </w:tcPr>
          <w:p w14:paraId="32A87756" w14:textId="77777777" w:rsidR="00151166" w:rsidRPr="00CC0DEB" w:rsidRDefault="00151166" w:rsidP="0085119C">
            <w:pPr>
              <w:textAlignment w:val="baseline"/>
              <w:rPr>
                <w:rFonts w:cstheme="minorHAnsi"/>
              </w:rPr>
            </w:pPr>
            <w:r>
              <w:rPr>
                <w:rFonts w:ascii="Calibri" w:hAnsi="Calibri" w:cs="Calibri"/>
                <w:color w:val="000000"/>
              </w:rPr>
              <w:t>124</w:t>
            </w:r>
          </w:p>
        </w:tc>
      </w:tr>
      <w:tr w:rsidR="00151166" w:rsidRPr="00B72B47" w14:paraId="443777C7" w14:textId="77777777" w:rsidTr="00F12147">
        <w:trPr>
          <w:trHeight w:val="300"/>
        </w:trPr>
        <w:tc>
          <w:tcPr>
            <w:tcW w:w="7919" w:type="dxa"/>
            <w:gridSpan w:val="5"/>
            <w:tcBorders>
              <w:top w:val="single" w:sz="4" w:space="0" w:color="auto"/>
              <w:left w:val="nil"/>
              <w:bottom w:val="nil"/>
              <w:right w:val="nil"/>
            </w:tcBorders>
            <w:shd w:val="clear" w:color="auto" w:fill="auto"/>
            <w:vAlign w:val="bottom"/>
          </w:tcPr>
          <w:p w14:paraId="33928692" w14:textId="5DEA18B8" w:rsidR="00151166" w:rsidRPr="0085119C" w:rsidRDefault="00151166" w:rsidP="004B1105">
            <w:pPr>
              <w:textAlignment w:val="baseline"/>
              <w:rPr>
                <w:rFonts w:ascii="Calibri" w:eastAsiaTheme="minorEastAsia" w:hAnsi="Calibri" w:cs="Calibri"/>
                <w:color w:val="000000"/>
                <w:sz w:val="20"/>
                <w:szCs w:val="21"/>
              </w:rPr>
            </w:pPr>
            <w:r w:rsidRPr="0085119C">
              <w:rPr>
                <w:rFonts w:ascii="Calibri" w:hAnsi="Calibri" w:cs="Calibri"/>
                <w:color w:val="000000"/>
                <w:sz w:val="20"/>
                <w:szCs w:val="21"/>
              </w:rPr>
              <w:t xml:space="preserve">Respondents of color groups individuals who identify </w:t>
            </w:r>
            <w:r w:rsidRPr="00456E21">
              <w:rPr>
                <w:rFonts w:ascii="Calibri" w:hAnsi="Calibri" w:cs="Calibri"/>
                <w:color w:val="000000"/>
                <w:sz w:val="20"/>
                <w:szCs w:val="21"/>
              </w:rPr>
              <w:t xml:space="preserve">as AAPI, Black, Latinx, or Another Race. </w:t>
            </w:r>
            <w:r w:rsidRPr="00456E21">
              <w:rPr>
                <w:rFonts w:cstheme="minorHAnsi"/>
                <w:color w:val="000000"/>
                <w:sz w:val="20"/>
                <w:szCs w:val="20"/>
              </w:rPr>
              <w:t xml:space="preserve">Data </w:t>
            </w:r>
            <w:r w:rsidR="00D37E91" w:rsidRPr="00456E21">
              <w:rPr>
                <w:rFonts w:cstheme="minorHAnsi"/>
                <w:color w:val="000000"/>
                <w:sz w:val="20"/>
                <w:szCs w:val="20"/>
              </w:rPr>
              <w:t xml:space="preserve">are limited to individuals with </w:t>
            </w:r>
            <w:proofErr w:type="gramStart"/>
            <w:r w:rsidR="00D37E91" w:rsidRPr="00456E21">
              <w:rPr>
                <w:rFonts w:cstheme="minorHAnsi"/>
                <w:color w:val="000000"/>
                <w:sz w:val="20"/>
                <w:szCs w:val="20"/>
              </w:rPr>
              <w:t>children, and</w:t>
            </w:r>
            <w:proofErr w:type="gramEnd"/>
            <w:r w:rsidR="00D37E91" w:rsidRPr="00456E21">
              <w:rPr>
                <w:rFonts w:cstheme="minorHAnsi"/>
                <w:color w:val="000000"/>
                <w:sz w:val="20"/>
                <w:szCs w:val="20"/>
              </w:rPr>
              <w:t xml:space="preserve"> </w:t>
            </w:r>
            <w:r w:rsidRPr="00456E21">
              <w:rPr>
                <w:rFonts w:cstheme="minorHAnsi"/>
                <w:color w:val="000000"/>
                <w:sz w:val="20"/>
                <w:szCs w:val="20"/>
              </w:rPr>
              <w:t>weighted using the regional (</w:t>
            </w:r>
            <w:r w:rsidR="003335FB">
              <w:rPr>
                <w:rFonts w:cstheme="minorHAnsi"/>
                <w:color w:val="000000"/>
                <w:sz w:val="20"/>
                <w:szCs w:val="20"/>
              </w:rPr>
              <w:t>C</w:t>
            </w:r>
            <w:r w:rsidR="003335FB" w:rsidRPr="00456E21">
              <w:rPr>
                <w:rFonts w:cstheme="minorHAnsi"/>
                <w:color w:val="000000"/>
                <w:sz w:val="20"/>
                <w:szCs w:val="20"/>
              </w:rPr>
              <w:t xml:space="preserve">ensus </w:t>
            </w:r>
            <w:r w:rsidR="003335FB">
              <w:rPr>
                <w:rFonts w:cstheme="minorHAnsi"/>
                <w:color w:val="000000"/>
                <w:sz w:val="20"/>
                <w:szCs w:val="20"/>
              </w:rPr>
              <w:t>D</w:t>
            </w:r>
            <w:r w:rsidR="003335FB" w:rsidRPr="00456E21">
              <w:rPr>
                <w:rFonts w:cstheme="minorHAnsi"/>
                <w:color w:val="000000"/>
                <w:sz w:val="20"/>
                <w:szCs w:val="20"/>
              </w:rPr>
              <w:t>ivision</w:t>
            </w:r>
            <w:r w:rsidRPr="00456E21">
              <w:rPr>
                <w:rFonts w:cstheme="minorHAnsi"/>
                <w:color w:val="000000"/>
                <w:sz w:val="20"/>
                <w:szCs w:val="20"/>
              </w:rPr>
              <w:t>) survey weight</w:t>
            </w:r>
            <w:r w:rsidR="00456E21">
              <w:rPr>
                <w:rFonts w:cstheme="minorHAnsi"/>
                <w:color w:val="000000"/>
                <w:sz w:val="20"/>
                <w:szCs w:val="20"/>
              </w:rPr>
              <w:t>.</w:t>
            </w:r>
            <w:r w:rsidRPr="00456E21">
              <w:rPr>
                <w:rFonts w:cstheme="minorHAnsi"/>
                <w:color w:val="000000"/>
                <w:sz w:val="20"/>
                <w:szCs w:val="20"/>
              </w:rPr>
              <w:t xml:space="preserve"> </w:t>
            </w:r>
          </w:p>
          <w:p w14:paraId="17416E77" w14:textId="77777777" w:rsidR="00151166" w:rsidRPr="00414B96" w:rsidRDefault="00151166" w:rsidP="004B1105">
            <w:pPr>
              <w:textAlignment w:val="baseline"/>
              <w:rPr>
                <w:rFonts w:ascii="Calibri" w:hAnsi="Calibri" w:cs="Calibri"/>
                <w:color w:val="000000"/>
              </w:rPr>
            </w:pPr>
            <w:r w:rsidRPr="0085119C">
              <w:rPr>
                <w:rFonts w:cstheme="minorHAnsi"/>
                <w:color w:val="000000"/>
                <w:sz w:val="20"/>
                <w:szCs w:val="20"/>
              </w:rPr>
              <w:t xml:space="preserve">Source: </w:t>
            </w:r>
            <w:r w:rsidRPr="0085119C">
              <w:rPr>
                <w:rFonts w:eastAsiaTheme="minorEastAsia"/>
                <w:sz w:val="20"/>
                <w:szCs w:val="20"/>
              </w:rPr>
              <w:t xml:space="preserve">IHEP analysis of </w:t>
            </w:r>
            <w:r w:rsidRPr="0085119C">
              <w:rPr>
                <w:rFonts w:cstheme="minorHAnsi"/>
                <w:color w:val="000000"/>
                <w:sz w:val="20"/>
                <w:szCs w:val="20"/>
              </w:rPr>
              <w:t>FINRA Foundation, NFCS 2021 State-by-State Survey Data.</w:t>
            </w:r>
          </w:p>
        </w:tc>
      </w:tr>
    </w:tbl>
    <w:p w14:paraId="5B62149C" w14:textId="77777777" w:rsidR="000B0F3E" w:rsidRDefault="000B0F3E" w:rsidP="004B1105"/>
    <w:tbl>
      <w:tblPr>
        <w:tblpPr w:leftFromText="180" w:rightFromText="180" w:vertAnchor="text" w:horzAnchor="margin" w:tblpY="-26"/>
        <w:tblW w:w="98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75"/>
        <w:gridCol w:w="900"/>
        <w:gridCol w:w="865"/>
        <w:gridCol w:w="852"/>
        <w:gridCol w:w="44"/>
        <w:gridCol w:w="219"/>
        <w:gridCol w:w="44"/>
        <w:gridCol w:w="900"/>
        <w:gridCol w:w="822"/>
        <w:gridCol w:w="828"/>
        <w:gridCol w:w="251"/>
        <w:gridCol w:w="852"/>
        <w:gridCol w:w="904"/>
        <w:gridCol w:w="883"/>
      </w:tblGrid>
      <w:tr w:rsidR="00DC3ED3" w:rsidRPr="0054370F" w14:paraId="1495D7E2" w14:textId="77777777" w:rsidTr="6A9E2235">
        <w:trPr>
          <w:trHeight w:val="340"/>
        </w:trPr>
        <w:tc>
          <w:tcPr>
            <w:tcW w:w="9839" w:type="dxa"/>
            <w:gridSpan w:val="14"/>
            <w:tcBorders>
              <w:top w:val="nil"/>
              <w:left w:val="nil"/>
              <w:bottom w:val="single" w:sz="12" w:space="0" w:color="auto"/>
              <w:right w:val="nil"/>
            </w:tcBorders>
          </w:tcPr>
          <w:p w14:paraId="73C62C13" w14:textId="39CD201B" w:rsidR="00DC3ED3" w:rsidRPr="0054370F" w:rsidRDefault="005141C3" w:rsidP="004B1105">
            <w:pPr>
              <w:rPr>
                <w:rFonts w:cstheme="minorBidi"/>
                <w:b/>
                <w:color w:val="000000"/>
              </w:rPr>
            </w:pPr>
            <w:r>
              <w:rPr>
                <w:b/>
                <w:bCs/>
              </w:rPr>
              <w:lastRenderedPageBreak/>
              <w:t>Table A-</w:t>
            </w:r>
            <w:r w:rsidR="00AF49EC">
              <w:rPr>
                <w:b/>
                <w:bCs/>
              </w:rPr>
              <w:t>2</w:t>
            </w:r>
            <w:r w:rsidR="005F6AF2">
              <w:rPr>
                <w:b/>
                <w:bCs/>
              </w:rPr>
              <w:t>.</w:t>
            </w:r>
            <w:r w:rsidR="00DC3ED3" w:rsidRPr="0054370F">
              <w:rPr>
                <w:b/>
                <w:bCs/>
              </w:rPr>
              <w:t xml:space="preserve"> </w:t>
            </w:r>
            <w:r w:rsidR="00DC3ED3" w:rsidRPr="001979DE">
              <w:t>Enrollment, Completion, and Borrowing</w:t>
            </w:r>
            <w:r w:rsidR="00E73B39">
              <w:t>,</w:t>
            </w:r>
            <w:r w:rsidR="00DC3ED3" w:rsidRPr="001979DE">
              <w:t xml:space="preserve"> by Race</w:t>
            </w:r>
            <w:r w:rsidR="00021FFE">
              <w:t xml:space="preserve"> and </w:t>
            </w:r>
            <w:r w:rsidR="00DC3ED3" w:rsidRPr="001979DE">
              <w:t>Ethnicity</w:t>
            </w:r>
            <w:r w:rsidR="00DC3ED3">
              <w:t xml:space="preserve"> (Income and Wealth Separately) </w:t>
            </w:r>
            <w:r w:rsidR="0018616D">
              <w:t xml:space="preserve">Unweighted </w:t>
            </w:r>
            <w:r w:rsidR="00DC3ED3">
              <w:t>Sample Sizes</w:t>
            </w:r>
          </w:p>
        </w:tc>
      </w:tr>
      <w:tr w:rsidR="00DC3ED3" w:rsidRPr="00DB5EFD" w14:paraId="15B92B5A" w14:textId="77777777" w:rsidTr="6A9E2235">
        <w:trPr>
          <w:trHeight w:val="320"/>
        </w:trPr>
        <w:tc>
          <w:tcPr>
            <w:tcW w:w="1475" w:type="dxa"/>
            <w:tcBorders>
              <w:top w:val="single" w:sz="12" w:space="0" w:color="auto"/>
              <w:left w:val="nil"/>
              <w:bottom w:val="nil"/>
              <w:right w:val="nil"/>
            </w:tcBorders>
            <w:shd w:val="clear" w:color="auto" w:fill="auto"/>
            <w:noWrap/>
            <w:vAlign w:val="center"/>
            <w:hideMark/>
          </w:tcPr>
          <w:p w14:paraId="5387B0C6" w14:textId="77777777" w:rsidR="00DC3ED3" w:rsidRPr="00DB5EFD" w:rsidRDefault="00DC3ED3" w:rsidP="00F12147">
            <w:pPr>
              <w:rPr>
                <w:rFonts w:cstheme="minorBidi"/>
                <w:color w:val="000000"/>
              </w:rPr>
            </w:pPr>
          </w:p>
        </w:tc>
        <w:tc>
          <w:tcPr>
            <w:tcW w:w="2617" w:type="dxa"/>
            <w:gridSpan w:val="3"/>
            <w:tcBorders>
              <w:top w:val="single" w:sz="12" w:space="0" w:color="auto"/>
              <w:left w:val="nil"/>
              <w:bottom w:val="single" w:sz="12" w:space="0" w:color="auto"/>
              <w:right w:val="nil"/>
            </w:tcBorders>
            <w:shd w:val="clear" w:color="auto" w:fill="auto"/>
            <w:noWrap/>
            <w:vAlign w:val="bottom"/>
            <w:hideMark/>
          </w:tcPr>
          <w:p w14:paraId="17957433" w14:textId="77777777" w:rsidR="00DC3ED3" w:rsidRPr="00DB5EFD" w:rsidRDefault="00DC3ED3" w:rsidP="00F12147">
            <w:pPr>
              <w:rPr>
                <w:rFonts w:cstheme="minorBidi"/>
                <w:color w:val="000000"/>
              </w:rPr>
            </w:pPr>
            <w:r w:rsidRPr="1BC1F171">
              <w:rPr>
                <w:rFonts w:cstheme="minorBidi"/>
                <w:color w:val="000000" w:themeColor="text1"/>
              </w:rPr>
              <w:t>% Attended College</w:t>
            </w:r>
          </w:p>
        </w:tc>
        <w:tc>
          <w:tcPr>
            <w:tcW w:w="263" w:type="dxa"/>
            <w:gridSpan w:val="2"/>
            <w:tcBorders>
              <w:top w:val="single" w:sz="12" w:space="0" w:color="auto"/>
              <w:left w:val="nil"/>
              <w:bottom w:val="single" w:sz="12" w:space="0" w:color="auto"/>
              <w:right w:val="nil"/>
            </w:tcBorders>
            <w:vAlign w:val="bottom"/>
          </w:tcPr>
          <w:p w14:paraId="5B977AF4" w14:textId="77777777" w:rsidR="00DC3ED3" w:rsidRPr="00DB5EFD" w:rsidRDefault="00DC3ED3" w:rsidP="00F12147">
            <w:pPr>
              <w:rPr>
                <w:rFonts w:cstheme="minorBidi"/>
                <w:color w:val="000000"/>
              </w:rPr>
            </w:pPr>
          </w:p>
        </w:tc>
        <w:tc>
          <w:tcPr>
            <w:tcW w:w="2594" w:type="dxa"/>
            <w:gridSpan w:val="4"/>
            <w:tcBorders>
              <w:top w:val="single" w:sz="12" w:space="0" w:color="auto"/>
              <w:left w:val="nil"/>
              <w:bottom w:val="single" w:sz="12" w:space="0" w:color="auto"/>
              <w:right w:val="nil"/>
            </w:tcBorders>
            <w:shd w:val="clear" w:color="auto" w:fill="auto"/>
            <w:noWrap/>
            <w:vAlign w:val="bottom"/>
            <w:hideMark/>
          </w:tcPr>
          <w:p w14:paraId="5D54C5D8" w14:textId="77777777" w:rsidR="00DC3ED3" w:rsidRPr="00DB5EFD" w:rsidRDefault="00DC3ED3" w:rsidP="00F12147">
            <w:pPr>
              <w:rPr>
                <w:rFonts w:cstheme="minorBidi"/>
                <w:color w:val="000000"/>
              </w:rPr>
            </w:pPr>
            <w:r w:rsidRPr="1BC1F171">
              <w:rPr>
                <w:rFonts w:cstheme="minorBidi"/>
                <w:color w:val="000000" w:themeColor="text1"/>
              </w:rPr>
              <w:t>% Completed Degree</w:t>
            </w:r>
          </w:p>
        </w:tc>
        <w:tc>
          <w:tcPr>
            <w:tcW w:w="251" w:type="dxa"/>
            <w:tcBorders>
              <w:top w:val="single" w:sz="12" w:space="0" w:color="auto"/>
              <w:left w:val="nil"/>
              <w:bottom w:val="single" w:sz="12" w:space="0" w:color="auto"/>
              <w:right w:val="nil"/>
            </w:tcBorders>
            <w:vAlign w:val="bottom"/>
          </w:tcPr>
          <w:p w14:paraId="1836DC31" w14:textId="77777777" w:rsidR="00DC3ED3" w:rsidRPr="00DB5EFD" w:rsidRDefault="00DC3ED3" w:rsidP="00F12147">
            <w:pPr>
              <w:rPr>
                <w:rFonts w:cstheme="minorBidi"/>
                <w:color w:val="000000"/>
              </w:rPr>
            </w:pPr>
          </w:p>
        </w:tc>
        <w:tc>
          <w:tcPr>
            <w:tcW w:w="2639" w:type="dxa"/>
            <w:gridSpan w:val="3"/>
            <w:tcBorders>
              <w:top w:val="single" w:sz="12" w:space="0" w:color="auto"/>
              <w:left w:val="nil"/>
              <w:bottom w:val="single" w:sz="12" w:space="0" w:color="auto"/>
              <w:right w:val="nil"/>
            </w:tcBorders>
            <w:shd w:val="clear" w:color="auto" w:fill="auto"/>
            <w:noWrap/>
            <w:vAlign w:val="bottom"/>
            <w:hideMark/>
          </w:tcPr>
          <w:p w14:paraId="0BAA0CC9" w14:textId="77777777" w:rsidR="00DC3ED3" w:rsidRPr="00DB5EFD" w:rsidRDefault="00DC3ED3" w:rsidP="00F12147">
            <w:pPr>
              <w:rPr>
                <w:rFonts w:cstheme="minorBidi"/>
                <w:color w:val="000000"/>
              </w:rPr>
            </w:pPr>
            <w:r w:rsidRPr="1BC1F171">
              <w:rPr>
                <w:rFonts w:cstheme="minorBidi"/>
                <w:color w:val="000000" w:themeColor="text1"/>
              </w:rPr>
              <w:t>% Ever Borrowed</w:t>
            </w:r>
          </w:p>
        </w:tc>
      </w:tr>
      <w:tr w:rsidR="00DC3ED3" w:rsidRPr="00DB5EFD" w14:paraId="73FBE55F" w14:textId="77777777" w:rsidTr="6A9E2235">
        <w:trPr>
          <w:trHeight w:val="340"/>
        </w:trPr>
        <w:tc>
          <w:tcPr>
            <w:tcW w:w="1475" w:type="dxa"/>
            <w:tcBorders>
              <w:top w:val="nil"/>
              <w:left w:val="nil"/>
              <w:bottom w:val="nil"/>
              <w:right w:val="nil"/>
            </w:tcBorders>
            <w:shd w:val="clear" w:color="auto" w:fill="auto"/>
            <w:noWrap/>
            <w:vAlign w:val="bottom"/>
          </w:tcPr>
          <w:p w14:paraId="7BC0D53D" w14:textId="57EA7C67" w:rsidR="00DC3ED3" w:rsidRPr="006F5F20" w:rsidRDefault="00DC3ED3" w:rsidP="004B1105">
            <w:pPr>
              <w:rPr>
                <w:rFonts w:cstheme="minorBidi"/>
                <w:b/>
                <w:color w:val="000000"/>
              </w:rPr>
            </w:pPr>
            <w:r w:rsidRPr="006F5F20">
              <w:rPr>
                <w:rFonts w:cstheme="minorBidi"/>
                <w:b/>
                <w:color w:val="000000" w:themeColor="text1"/>
              </w:rPr>
              <w:t xml:space="preserve">Income </w:t>
            </w:r>
          </w:p>
        </w:tc>
        <w:tc>
          <w:tcPr>
            <w:tcW w:w="900" w:type="dxa"/>
            <w:tcBorders>
              <w:top w:val="single" w:sz="12" w:space="0" w:color="auto"/>
              <w:left w:val="nil"/>
              <w:bottom w:val="single" w:sz="12" w:space="0" w:color="auto"/>
              <w:right w:val="nil"/>
            </w:tcBorders>
            <w:shd w:val="clear" w:color="auto" w:fill="FFFFFF" w:themeFill="background1"/>
            <w:noWrap/>
            <w:vAlign w:val="bottom"/>
          </w:tcPr>
          <w:p w14:paraId="2FC1722F" w14:textId="5D382844" w:rsidR="00DC3ED3" w:rsidRPr="00DB5EFD" w:rsidRDefault="009C7064" w:rsidP="00F12147">
            <w:pPr>
              <w:rPr>
                <w:rFonts w:cstheme="minorBidi"/>
              </w:rPr>
            </w:pPr>
            <w:r>
              <w:rPr>
                <w:rFonts w:eastAsiaTheme="minorEastAsia"/>
                <w:color w:val="000000" w:themeColor="text1"/>
                <w:sz w:val="20"/>
                <w:szCs w:val="20"/>
              </w:rPr>
              <w:t>Low</w:t>
            </w:r>
          </w:p>
        </w:tc>
        <w:tc>
          <w:tcPr>
            <w:tcW w:w="865" w:type="dxa"/>
            <w:tcBorders>
              <w:top w:val="single" w:sz="12" w:space="0" w:color="auto"/>
              <w:left w:val="nil"/>
              <w:bottom w:val="single" w:sz="12" w:space="0" w:color="auto"/>
              <w:right w:val="nil"/>
            </w:tcBorders>
            <w:shd w:val="clear" w:color="auto" w:fill="FFFFFF" w:themeFill="background1"/>
            <w:noWrap/>
            <w:vAlign w:val="bottom"/>
          </w:tcPr>
          <w:p w14:paraId="2B4633A4" w14:textId="77777777" w:rsidR="00DC3ED3" w:rsidRPr="00DB5EFD" w:rsidRDefault="00DC3ED3" w:rsidP="00F12147">
            <w:pPr>
              <w:rPr>
                <w:rFonts w:cstheme="minorBidi"/>
              </w:rPr>
            </w:pPr>
            <w:r w:rsidRPr="1BC1F171">
              <w:rPr>
                <w:rFonts w:eastAsiaTheme="minorEastAsia"/>
                <w:color w:val="000000" w:themeColor="text1"/>
                <w:sz w:val="20"/>
                <w:szCs w:val="20"/>
              </w:rPr>
              <w:t xml:space="preserve">Middle </w:t>
            </w:r>
          </w:p>
        </w:tc>
        <w:tc>
          <w:tcPr>
            <w:tcW w:w="896" w:type="dxa"/>
            <w:gridSpan w:val="2"/>
            <w:tcBorders>
              <w:top w:val="single" w:sz="12" w:space="0" w:color="auto"/>
              <w:left w:val="nil"/>
              <w:bottom w:val="single" w:sz="12" w:space="0" w:color="auto"/>
              <w:right w:val="nil"/>
            </w:tcBorders>
            <w:shd w:val="clear" w:color="auto" w:fill="FFFFFF" w:themeFill="background1"/>
            <w:noWrap/>
            <w:vAlign w:val="bottom"/>
          </w:tcPr>
          <w:p w14:paraId="3F37E7C1" w14:textId="6FE7329E" w:rsidR="00DC3ED3" w:rsidRPr="00DB5EFD" w:rsidRDefault="009C7064" w:rsidP="00F12147">
            <w:pPr>
              <w:rPr>
                <w:rFonts w:cstheme="minorBidi"/>
                <w:b/>
              </w:rPr>
            </w:pPr>
            <w:r>
              <w:rPr>
                <w:rFonts w:eastAsiaTheme="minorEastAsia"/>
                <w:color w:val="000000" w:themeColor="text1"/>
                <w:sz w:val="20"/>
                <w:szCs w:val="20"/>
              </w:rPr>
              <w:t xml:space="preserve">High </w:t>
            </w:r>
          </w:p>
        </w:tc>
        <w:tc>
          <w:tcPr>
            <w:tcW w:w="263" w:type="dxa"/>
            <w:gridSpan w:val="2"/>
            <w:tcBorders>
              <w:top w:val="single" w:sz="12" w:space="0" w:color="auto"/>
              <w:left w:val="nil"/>
              <w:bottom w:val="single" w:sz="12" w:space="0" w:color="auto"/>
              <w:right w:val="nil"/>
            </w:tcBorders>
            <w:shd w:val="clear" w:color="auto" w:fill="FFFFFF" w:themeFill="background1"/>
            <w:vAlign w:val="bottom"/>
          </w:tcPr>
          <w:p w14:paraId="5EC2B466" w14:textId="77777777" w:rsidR="00DC3ED3" w:rsidRPr="00DB5EFD" w:rsidRDefault="00DC3ED3" w:rsidP="00F12147">
            <w:pPr>
              <w:rPr>
                <w:rFonts w:cstheme="minorBidi"/>
              </w:rPr>
            </w:pPr>
          </w:p>
        </w:tc>
        <w:tc>
          <w:tcPr>
            <w:tcW w:w="900" w:type="dxa"/>
            <w:tcBorders>
              <w:top w:val="single" w:sz="12" w:space="0" w:color="auto"/>
              <w:left w:val="nil"/>
              <w:bottom w:val="single" w:sz="12" w:space="0" w:color="auto"/>
              <w:right w:val="nil"/>
            </w:tcBorders>
            <w:shd w:val="clear" w:color="auto" w:fill="FFFFFF" w:themeFill="background1"/>
            <w:noWrap/>
            <w:vAlign w:val="bottom"/>
          </w:tcPr>
          <w:p w14:paraId="6E8F8C5C" w14:textId="138DBFA0" w:rsidR="00DC3ED3" w:rsidRPr="00DB5EFD" w:rsidRDefault="009C7064" w:rsidP="00F12147">
            <w:pPr>
              <w:rPr>
                <w:rFonts w:cstheme="minorBidi"/>
              </w:rPr>
            </w:pPr>
            <w:r>
              <w:rPr>
                <w:rFonts w:eastAsiaTheme="minorEastAsia"/>
                <w:color w:val="000000" w:themeColor="text1"/>
                <w:sz w:val="20"/>
                <w:szCs w:val="20"/>
              </w:rPr>
              <w:t>Low</w:t>
            </w:r>
          </w:p>
        </w:tc>
        <w:tc>
          <w:tcPr>
            <w:tcW w:w="822" w:type="dxa"/>
            <w:tcBorders>
              <w:top w:val="single" w:sz="12" w:space="0" w:color="auto"/>
              <w:left w:val="nil"/>
              <w:bottom w:val="single" w:sz="12" w:space="0" w:color="auto"/>
              <w:right w:val="nil"/>
            </w:tcBorders>
            <w:shd w:val="clear" w:color="auto" w:fill="FFFFFF" w:themeFill="background1"/>
            <w:noWrap/>
            <w:vAlign w:val="bottom"/>
          </w:tcPr>
          <w:p w14:paraId="1408A76D" w14:textId="3FFD2A14" w:rsidR="00DC3ED3" w:rsidRPr="00DB5EFD" w:rsidRDefault="00DC3ED3" w:rsidP="00F12147">
            <w:pPr>
              <w:rPr>
                <w:rFonts w:cstheme="minorBidi"/>
                <w:b/>
              </w:rPr>
            </w:pPr>
            <w:r w:rsidRPr="1BC1F171">
              <w:rPr>
                <w:rFonts w:eastAsiaTheme="minorEastAsia"/>
                <w:color w:val="000000" w:themeColor="text1"/>
                <w:sz w:val="20"/>
                <w:szCs w:val="20"/>
              </w:rPr>
              <w:t xml:space="preserve">Middle </w:t>
            </w:r>
          </w:p>
        </w:tc>
        <w:tc>
          <w:tcPr>
            <w:tcW w:w="828" w:type="dxa"/>
            <w:tcBorders>
              <w:top w:val="single" w:sz="12" w:space="0" w:color="auto"/>
              <w:left w:val="nil"/>
              <w:bottom w:val="single" w:sz="12" w:space="0" w:color="auto"/>
              <w:right w:val="nil"/>
            </w:tcBorders>
            <w:shd w:val="clear" w:color="auto" w:fill="FFFFFF" w:themeFill="background1"/>
            <w:noWrap/>
            <w:vAlign w:val="bottom"/>
          </w:tcPr>
          <w:p w14:paraId="2B0BB9C5" w14:textId="26403A4C" w:rsidR="00DC3ED3" w:rsidRPr="00DB5EFD" w:rsidRDefault="009C7064" w:rsidP="00F12147">
            <w:pPr>
              <w:rPr>
                <w:rFonts w:cstheme="minorBidi"/>
                <w:b/>
              </w:rPr>
            </w:pPr>
            <w:r>
              <w:rPr>
                <w:rFonts w:eastAsiaTheme="minorEastAsia"/>
                <w:color w:val="000000" w:themeColor="text1"/>
                <w:sz w:val="20"/>
                <w:szCs w:val="20"/>
              </w:rPr>
              <w:t xml:space="preserve">High </w:t>
            </w:r>
          </w:p>
        </w:tc>
        <w:tc>
          <w:tcPr>
            <w:tcW w:w="251" w:type="dxa"/>
            <w:tcBorders>
              <w:top w:val="single" w:sz="12" w:space="0" w:color="auto"/>
              <w:left w:val="nil"/>
              <w:bottom w:val="single" w:sz="12" w:space="0" w:color="auto"/>
              <w:right w:val="nil"/>
            </w:tcBorders>
            <w:shd w:val="clear" w:color="auto" w:fill="FFFFFF" w:themeFill="background1"/>
            <w:vAlign w:val="bottom"/>
          </w:tcPr>
          <w:p w14:paraId="7BE284BE" w14:textId="77777777" w:rsidR="00DC3ED3" w:rsidRPr="00DB5EFD" w:rsidRDefault="00DC3ED3" w:rsidP="00F12147">
            <w:pPr>
              <w:rPr>
                <w:rFonts w:cstheme="minorBidi"/>
                <w:b/>
              </w:rPr>
            </w:pPr>
          </w:p>
        </w:tc>
        <w:tc>
          <w:tcPr>
            <w:tcW w:w="852" w:type="dxa"/>
            <w:tcBorders>
              <w:top w:val="single" w:sz="12" w:space="0" w:color="auto"/>
              <w:left w:val="nil"/>
              <w:bottom w:val="single" w:sz="12" w:space="0" w:color="auto"/>
              <w:right w:val="nil"/>
            </w:tcBorders>
            <w:shd w:val="clear" w:color="auto" w:fill="FFFFFF" w:themeFill="background1"/>
            <w:noWrap/>
            <w:vAlign w:val="bottom"/>
          </w:tcPr>
          <w:p w14:paraId="3C0B667C" w14:textId="111B0F05" w:rsidR="00DC3ED3" w:rsidRPr="00DB5EFD" w:rsidRDefault="009C7064" w:rsidP="00F12147">
            <w:pPr>
              <w:rPr>
                <w:rFonts w:cstheme="minorBidi"/>
                <w:b/>
              </w:rPr>
            </w:pPr>
            <w:r>
              <w:rPr>
                <w:rFonts w:eastAsiaTheme="minorEastAsia"/>
                <w:color w:val="000000" w:themeColor="text1"/>
                <w:sz w:val="20"/>
                <w:szCs w:val="20"/>
              </w:rPr>
              <w:t>Low</w:t>
            </w:r>
          </w:p>
        </w:tc>
        <w:tc>
          <w:tcPr>
            <w:tcW w:w="904" w:type="dxa"/>
            <w:tcBorders>
              <w:top w:val="single" w:sz="12" w:space="0" w:color="auto"/>
              <w:left w:val="nil"/>
              <w:bottom w:val="single" w:sz="12" w:space="0" w:color="auto"/>
              <w:right w:val="nil"/>
            </w:tcBorders>
            <w:shd w:val="clear" w:color="auto" w:fill="FFFFFF" w:themeFill="background1"/>
            <w:noWrap/>
            <w:vAlign w:val="bottom"/>
          </w:tcPr>
          <w:p w14:paraId="1C676775" w14:textId="5DB6F4CF" w:rsidR="00DC3ED3" w:rsidRPr="00DB5EFD" w:rsidRDefault="00DC3ED3" w:rsidP="00F12147">
            <w:pPr>
              <w:rPr>
                <w:rFonts w:cstheme="minorBidi"/>
                <w:b/>
              </w:rPr>
            </w:pPr>
            <w:r w:rsidRPr="1BC1F171">
              <w:rPr>
                <w:rFonts w:eastAsiaTheme="minorEastAsia"/>
                <w:color w:val="000000" w:themeColor="text1"/>
                <w:sz w:val="20"/>
                <w:szCs w:val="20"/>
              </w:rPr>
              <w:t xml:space="preserve">Middle </w:t>
            </w:r>
          </w:p>
        </w:tc>
        <w:tc>
          <w:tcPr>
            <w:tcW w:w="883" w:type="dxa"/>
            <w:tcBorders>
              <w:top w:val="single" w:sz="12" w:space="0" w:color="auto"/>
              <w:left w:val="nil"/>
              <w:bottom w:val="single" w:sz="12" w:space="0" w:color="auto"/>
              <w:right w:val="nil"/>
            </w:tcBorders>
            <w:shd w:val="clear" w:color="auto" w:fill="FFFFFF" w:themeFill="background1"/>
            <w:noWrap/>
            <w:vAlign w:val="bottom"/>
          </w:tcPr>
          <w:p w14:paraId="45F8C720" w14:textId="2B34A444" w:rsidR="00DC3ED3" w:rsidRPr="00DB5EFD" w:rsidRDefault="009C7064" w:rsidP="00F12147">
            <w:pPr>
              <w:rPr>
                <w:rFonts w:cstheme="minorBidi"/>
              </w:rPr>
            </w:pPr>
            <w:r>
              <w:rPr>
                <w:rFonts w:eastAsiaTheme="minorEastAsia"/>
                <w:color w:val="000000" w:themeColor="text1"/>
                <w:sz w:val="20"/>
                <w:szCs w:val="20"/>
              </w:rPr>
              <w:t xml:space="preserve">High </w:t>
            </w:r>
          </w:p>
        </w:tc>
      </w:tr>
      <w:tr w:rsidR="00DC3ED3" w:rsidRPr="00DB5EFD" w14:paraId="2565CACA" w14:textId="77777777" w:rsidTr="6A9E2235">
        <w:trPr>
          <w:trHeight w:val="340"/>
        </w:trPr>
        <w:tc>
          <w:tcPr>
            <w:tcW w:w="1475" w:type="dxa"/>
            <w:tcBorders>
              <w:top w:val="nil"/>
              <w:left w:val="nil"/>
              <w:bottom w:val="nil"/>
              <w:right w:val="nil"/>
            </w:tcBorders>
            <w:shd w:val="clear" w:color="auto" w:fill="auto"/>
            <w:noWrap/>
            <w:vAlign w:val="bottom"/>
          </w:tcPr>
          <w:p w14:paraId="03FF5848" w14:textId="77777777" w:rsidR="00DC3ED3" w:rsidRDefault="00DC3ED3" w:rsidP="004B1105">
            <w:pPr>
              <w:rPr>
                <w:rFonts w:cstheme="minorBidi"/>
                <w:color w:val="000000"/>
              </w:rPr>
            </w:pPr>
            <w:bookmarkStart w:id="50" w:name="_Hlk160699760"/>
            <w:r w:rsidRPr="1BC1F171">
              <w:rPr>
                <w:rFonts w:cstheme="minorBidi"/>
                <w:color w:val="000000" w:themeColor="text1"/>
              </w:rPr>
              <w:t>Black</w:t>
            </w:r>
          </w:p>
        </w:tc>
        <w:tc>
          <w:tcPr>
            <w:tcW w:w="900" w:type="dxa"/>
            <w:tcBorders>
              <w:top w:val="nil"/>
              <w:left w:val="nil"/>
              <w:bottom w:val="nil"/>
              <w:right w:val="nil"/>
            </w:tcBorders>
            <w:shd w:val="clear" w:color="auto" w:fill="FFFFFF" w:themeFill="background1"/>
            <w:noWrap/>
            <w:vAlign w:val="bottom"/>
          </w:tcPr>
          <w:p w14:paraId="75EA79AD" w14:textId="77777777" w:rsidR="00DC3ED3" w:rsidRPr="00DB5EFD" w:rsidRDefault="00DC3ED3" w:rsidP="00F12147">
            <w:pPr>
              <w:rPr>
                <w:rFonts w:cstheme="minorBidi"/>
              </w:rPr>
            </w:pPr>
            <w:r w:rsidRPr="1BC1F171">
              <w:rPr>
                <w:rFonts w:ascii="Calibri" w:hAnsi="Calibri" w:cs="Calibri"/>
                <w:color w:val="000000" w:themeColor="text1"/>
              </w:rPr>
              <w:t>694</w:t>
            </w:r>
          </w:p>
        </w:tc>
        <w:tc>
          <w:tcPr>
            <w:tcW w:w="865" w:type="dxa"/>
            <w:tcBorders>
              <w:top w:val="nil"/>
              <w:left w:val="nil"/>
              <w:bottom w:val="nil"/>
              <w:right w:val="nil"/>
            </w:tcBorders>
            <w:shd w:val="clear" w:color="auto" w:fill="FFFFFF" w:themeFill="background1"/>
            <w:noWrap/>
            <w:vAlign w:val="bottom"/>
          </w:tcPr>
          <w:p w14:paraId="3F4AD28A" w14:textId="77777777" w:rsidR="00DC3ED3" w:rsidRPr="00DB5EFD" w:rsidRDefault="00DC3ED3" w:rsidP="00F12147">
            <w:pPr>
              <w:rPr>
                <w:rFonts w:cstheme="minorBidi"/>
              </w:rPr>
            </w:pPr>
            <w:r w:rsidRPr="1BC1F171">
              <w:rPr>
                <w:rFonts w:ascii="Calibri" w:hAnsi="Calibri" w:cs="Calibri"/>
                <w:color w:val="000000" w:themeColor="text1"/>
              </w:rPr>
              <w:t>543</w:t>
            </w:r>
          </w:p>
        </w:tc>
        <w:tc>
          <w:tcPr>
            <w:tcW w:w="896" w:type="dxa"/>
            <w:gridSpan w:val="2"/>
            <w:tcBorders>
              <w:top w:val="nil"/>
              <w:left w:val="nil"/>
              <w:bottom w:val="nil"/>
              <w:right w:val="nil"/>
            </w:tcBorders>
            <w:shd w:val="clear" w:color="auto" w:fill="FFFFFF" w:themeFill="background1"/>
            <w:noWrap/>
            <w:vAlign w:val="bottom"/>
          </w:tcPr>
          <w:p w14:paraId="347BD92A" w14:textId="77777777" w:rsidR="00DC3ED3" w:rsidRPr="00DB5EFD" w:rsidRDefault="00DC3ED3" w:rsidP="00F12147">
            <w:pPr>
              <w:rPr>
                <w:rFonts w:cstheme="minorBidi"/>
                <w:b/>
              </w:rPr>
            </w:pPr>
            <w:r w:rsidRPr="1BC1F171">
              <w:rPr>
                <w:rFonts w:ascii="Calibri" w:hAnsi="Calibri" w:cs="Calibri"/>
                <w:color w:val="000000" w:themeColor="text1"/>
              </w:rPr>
              <w:t>328</w:t>
            </w:r>
          </w:p>
        </w:tc>
        <w:tc>
          <w:tcPr>
            <w:tcW w:w="263" w:type="dxa"/>
            <w:gridSpan w:val="2"/>
            <w:tcBorders>
              <w:top w:val="nil"/>
              <w:left w:val="nil"/>
              <w:bottom w:val="nil"/>
              <w:right w:val="nil"/>
            </w:tcBorders>
            <w:shd w:val="clear" w:color="auto" w:fill="FFFFFF" w:themeFill="background1"/>
            <w:vAlign w:val="bottom"/>
          </w:tcPr>
          <w:p w14:paraId="0E4702B8" w14:textId="77777777" w:rsidR="00DC3ED3" w:rsidRPr="00DB5EFD" w:rsidRDefault="00DC3ED3" w:rsidP="00F12147">
            <w:pPr>
              <w:rPr>
                <w:rFonts w:cstheme="minorBidi"/>
              </w:rPr>
            </w:pPr>
          </w:p>
        </w:tc>
        <w:tc>
          <w:tcPr>
            <w:tcW w:w="900" w:type="dxa"/>
            <w:tcBorders>
              <w:top w:val="nil"/>
              <w:left w:val="nil"/>
              <w:bottom w:val="nil"/>
              <w:right w:val="nil"/>
            </w:tcBorders>
            <w:shd w:val="clear" w:color="auto" w:fill="FFFFFF" w:themeFill="background1"/>
            <w:noWrap/>
            <w:vAlign w:val="bottom"/>
          </w:tcPr>
          <w:p w14:paraId="553FF3E1" w14:textId="77777777" w:rsidR="00DC3ED3" w:rsidRPr="00DB5EFD" w:rsidRDefault="00DC3ED3" w:rsidP="00F12147">
            <w:pPr>
              <w:rPr>
                <w:rFonts w:cstheme="minorBidi"/>
              </w:rPr>
            </w:pPr>
            <w:r w:rsidRPr="1BC1F171">
              <w:rPr>
                <w:rFonts w:ascii="Calibri" w:hAnsi="Calibri" w:cs="Calibri"/>
                <w:color w:val="000000" w:themeColor="text1"/>
              </w:rPr>
              <w:t>384</w:t>
            </w:r>
          </w:p>
        </w:tc>
        <w:tc>
          <w:tcPr>
            <w:tcW w:w="822" w:type="dxa"/>
            <w:tcBorders>
              <w:top w:val="nil"/>
              <w:left w:val="nil"/>
              <w:bottom w:val="nil"/>
              <w:right w:val="nil"/>
            </w:tcBorders>
            <w:shd w:val="clear" w:color="auto" w:fill="FFFFFF" w:themeFill="background1"/>
            <w:noWrap/>
            <w:vAlign w:val="bottom"/>
          </w:tcPr>
          <w:p w14:paraId="117BF0EF" w14:textId="77777777" w:rsidR="00DC3ED3" w:rsidRPr="00DB5EFD" w:rsidRDefault="00DC3ED3" w:rsidP="00F12147">
            <w:pPr>
              <w:rPr>
                <w:rFonts w:cstheme="minorBidi"/>
                <w:b/>
              </w:rPr>
            </w:pPr>
            <w:r w:rsidRPr="1BC1F171">
              <w:rPr>
                <w:rFonts w:ascii="Calibri" w:hAnsi="Calibri" w:cs="Calibri"/>
                <w:color w:val="000000" w:themeColor="text1"/>
              </w:rPr>
              <w:t>372</w:t>
            </w:r>
          </w:p>
        </w:tc>
        <w:tc>
          <w:tcPr>
            <w:tcW w:w="828" w:type="dxa"/>
            <w:tcBorders>
              <w:top w:val="nil"/>
              <w:left w:val="nil"/>
              <w:bottom w:val="nil"/>
              <w:right w:val="nil"/>
            </w:tcBorders>
            <w:shd w:val="clear" w:color="auto" w:fill="FFFFFF" w:themeFill="background1"/>
            <w:noWrap/>
            <w:vAlign w:val="bottom"/>
          </w:tcPr>
          <w:p w14:paraId="5AD6AD68" w14:textId="77777777" w:rsidR="00DC3ED3" w:rsidRPr="00DB5EFD" w:rsidRDefault="00DC3ED3" w:rsidP="00F12147">
            <w:pPr>
              <w:rPr>
                <w:rFonts w:cstheme="minorBidi"/>
                <w:b/>
              </w:rPr>
            </w:pPr>
            <w:r w:rsidRPr="1BC1F171">
              <w:rPr>
                <w:rFonts w:ascii="Calibri" w:hAnsi="Calibri" w:cs="Calibri"/>
                <w:color w:val="000000" w:themeColor="text1"/>
              </w:rPr>
              <w:t>251</w:t>
            </w:r>
          </w:p>
        </w:tc>
        <w:tc>
          <w:tcPr>
            <w:tcW w:w="251" w:type="dxa"/>
            <w:tcBorders>
              <w:top w:val="nil"/>
              <w:left w:val="nil"/>
              <w:bottom w:val="nil"/>
              <w:right w:val="nil"/>
            </w:tcBorders>
            <w:shd w:val="clear" w:color="auto" w:fill="FFFFFF" w:themeFill="background1"/>
            <w:vAlign w:val="bottom"/>
          </w:tcPr>
          <w:p w14:paraId="78C74B8A" w14:textId="77777777" w:rsidR="00DC3ED3" w:rsidRPr="00DB5EFD" w:rsidRDefault="00DC3ED3" w:rsidP="00F12147">
            <w:pPr>
              <w:rPr>
                <w:rFonts w:cstheme="minorBidi"/>
                <w:b/>
              </w:rPr>
            </w:pPr>
          </w:p>
        </w:tc>
        <w:tc>
          <w:tcPr>
            <w:tcW w:w="852" w:type="dxa"/>
            <w:tcBorders>
              <w:top w:val="nil"/>
              <w:left w:val="nil"/>
              <w:bottom w:val="nil"/>
              <w:right w:val="nil"/>
            </w:tcBorders>
            <w:shd w:val="clear" w:color="auto" w:fill="FFFFFF" w:themeFill="background1"/>
            <w:noWrap/>
            <w:vAlign w:val="bottom"/>
          </w:tcPr>
          <w:p w14:paraId="10A9E865" w14:textId="77777777" w:rsidR="00DC3ED3" w:rsidRPr="00DB5EFD" w:rsidRDefault="00DC3ED3" w:rsidP="00F12147">
            <w:pPr>
              <w:rPr>
                <w:rFonts w:cstheme="minorBidi"/>
                <w:b/>
              </w:rPr>
            </w:pPr>
            <w:r w:rsidRPr="1BC1F171">
              <w:rPr>
                <w:rFonts w:ascii="Calibri" w:hAnsi="Calibri" w:cs="Calibri"/>
                <w:color w:val="000000" w:themeColor="text1"/>
              </w:rPr>
              <w:t>384</w:t>
            </w:r>
          </w:p>
        </w:tc>
        <w:tc>
          <w:tcPr>
            <w:tcW w:w="904" w:type="dxa"/>
            <w:tcBorders>
              <w:top w:val="nil"/>
              <w:left w:val="nil"/>
              <w:bottom w:val="nil"/>
              <w:right w:val="nil"/>
            </w:tcBorders>
            <w:shd w:val="clear" w:color="auto" w:fill="FFFFFF" w:themeFill="background1"/>
            <w:noWrap/>
            <w:vAlign w:val="bottom"/>
          </w:tcPr>
          <w:p w14:paraId="61451686" w14:textId="77777777" w:rsidR="00DC3ED3" w:rsidRPr="00DB5EFD" w:rsidRDefault="00DC3ED3" w:rsidP="00F12147">
            <w:pPr>
              <w:rPr>
                <w:rFonts w:cstheme="minorBidi"/>
                <w:b/>
              </w:rPr>
            </w:pPr>
            <w:r w:rsidRPr="1BC1F171">
              <w:rPr>
                <w:rFonts w:ascii="Calibri" w:hAnsi="Calibri" w:cs="Calibri"/>
                <w:color w:val="000000" w:themeColor="text1"/>
              </w:rPr>
              <w:t>372</w:t>
            </w:r>
          </w:p>
        </w:tc>
        <w:tc>
          <w:tcPr>
            <w:tcW w:w="883" w:type="dxa"/>
            <w:tcBorders>
              <w:top w:val="nil"/>
              <w:left w:val="nil"/>
              <w:bottom w:val="nil"/>
              <w:right w:val="nil"/>
            </w:tcBorders>
            <w:shd w:val="clear" w:color="auto" w:fill="FFFFFF" w:themeFill="background1"/>
            <w:noWrap/>
            <w:vAlign w:val="bottom"/>
          </w:tcPr>
          <w:p w14:paraId="327DF67C" w14:textId="77777777" w:rsidR="00DC3ED3" w:rsidRPr="00DB5EFD" w:rsidRDefault="00DC3ED3" w:rsidP="00F12147">
            <w:pPr>
              <w:rPr>
                <w:rFonts w:cstheme="minorBidi"/>
              </w:rPr>
            </w:pPr>
            <w:r w:rsidRPr="1BC1F171">
              <w:rPr>
                <w:rFonts w:ascii="Calibri" w:hAnsi="Calibri" w:cs="Calibri"/>
                <w:color w:val="000000" w:themeColor="text1"/>
              </w:rPr>
              <w:t>251</w:t>
            </w:r>
          </w:p>
        </w:tc>
      </w:tr>
      <w:tr w:rsidR="00DC3ED3" w:rsidRPr="00DB5EFD" w14:paraId="6BE4FB71" w14:textId="77777777" w:rsidTr="6A9E2235">
        <w:trPr>
          <w:trHeight w:val="340"/>
        </w:trPr>
        <w:tc>
          <w:tcPr>
            <w:tcW w:w="1475" w:type="dxa"/>
            <w:tcBorders>
              <w:top w:val="nil"/>
              <w:left w:val="nil"/>
              <w:bottom w:val="nil"/>
              <w:right w:val="nil"/>
            </w:tcBorders>
            <w:shd w:val="clear" w:color="auto" w:fill="auto"/>
            <w:noWrap/>
            <w:vAlign w:val="bottom"/>
          </w:tcPr>
          <w:p w14:paraId="4D2175C2" w14:textId="77777777" w:rsidR="00DC3ED3" w:rsidRDefault="00DC3ED3" w:rsidP="004B1105">
            <w:pPr>
              <w:rPr>
                <w:rFonts w:cstheme="minorBidi"/>
                <w:color w:val="000000"/>
              </w:rPr>
            </w:pPr>
            <w:r w:rsidRPr="1BC1F171">
              <w:rPr>
                <w:rFonts w:cstheme="minorBidi"/>
                <w:color w:val="000000" w:themeColor="text1"/>
              </w:rPr>
              <w:t>Latinx</w:t>
            </w:r>
          </w:p>
        </w:tc>
        <w:tc>
          <w:tcPr>
            <w:tcW w:w="900" w:type="dxa"/>
            <w:tcBorders>
              <w:top w:val="nil"/>
              <w:left w:val="nil"/>
              <w:bottom w:val="nil"/>
              <w:right w:val="nil"/>
            </w:tcBorders>
            <w:shd w:val="clear" w:color="auto" w:fill="FFFFFF" w:themeFill="background1"/>
            <w:noWrap/>
            <w:vAlign w:val="bottom"/>
          </w:tcPr>
          <w:p w14:paraId="17AF6D2B" w14:textId="77777777" w:rsidR="00DC3ED3" w:rsidRPr="00DB5EFD" w:rsidRDefault="00DC3ED3" w:rsidP="00F12147">
            <w:pPr>
              <w:rPr>
                <w:rFonts w:cstheme="minorBidi"/>
              </w:rPr>
            </w:pPr>
            <w:r w:rsidRPr="1BC1F171">
              <w:rPr>
                <w:rFonts w:ascii="Calibri" w:hAnsi="Calibri" w:cs="Calibri"/>
                <w:color w:val="000000" w:themeColor="text1"/>
              </w:rPr>
              <w:t>192</w:t>
            </w:r>
          </w:p>
        </w:tc>
        <w:tc>
          <w:tcPr>
            <w:tcW w:w="865" w:type="dxa"/>
            <w:tcBorders>
              <w:top w:val="nil"/>
              <w:left w:val="nil"/>
              <w:bottom w:val="nil"/>
              <w:right w:val="nil"/>
            </w:tcBorders>
            <w:shd w:val="clear" w:color="auto" w:fill="FFFFFF" w:themeFill="background1"/>
            <w:noWrap/>
            <w:vAlign w:val="bottom"/>
          </w:tcPr>
          <w:p w14:paraId="3FFBCE5B" w14:textId="77777777" w:rsidR="00DC3ED3" w:rsidRPr="00DB5EFD" w:rsidRDefault="00DC3ED3" w:rsidP="00F12147">
            <w:pPr>
              <w:rPr>
                <w:rFonts w:cstheme="minorBidi"/>
              </w:rPr>
            </w:pPr>
            <w:r w:rsidRPr="1BC1F171">
              <w:rPr>
                <w:rFonts w:ascii="Calibri" w:hAnsi="Calibri" w:cs="Calibri"/>
                <w:color w:val="000000" w:themeColor="text1"/>
              </w:rPr>
              <w:t>266</w:t>
            </w:r>
          </w:p>
        </w:tc>
        <w:tc>
          <w:tcPr>
            <w:tcW w:w="896" w:type="dxa"/>
            <w:gridSpan w:val="2"/>
            <w:tcBorders>
              <w:top w:val="nil"/>
              <w:left w:val="nil"/>
              <w:bottom w:val="nil"/>
              <w:right w:val="nil"/>
            </w:tcBorders>
            <w:shd w:val="clear" w:color="auto" w:fill="FFFFFF" w:themeFill="background1"/>
            <w:noWrap/>
            <w:vAlign w:val="bottom"/>
          </w:tcPr>
          <w:p w14:paraId="3A285AB1" w14:textId="77777777" w:rsidR="00DC3ED3" w:rsidRPr="00DB5EFD" w:rsidRDefault="00DC3ED3" w:rsidP="00F12147">
            <w:pPr>
              <w:rPr>
                <w:rFonts w:cstheme="minorBidi"/>
                <w:b/>
              </w:rPr>
            </w:pPr>
            <w:r w:rsidRPr="1BC1F171">
              <w:rPr>
                <w:rFonts w:ascii="Calibri" w:hAnsi="Calibri" w:cs="Calibri"/>
                <w:color w:val="000000" w:themeColor="text1"/>
              </w:rPr>
              <w:t>163</w:t>
            </w:r>
          </w:p>
        </w:tc>
        <w:tc>
          <w:tcPr>
            <w:tcW w:w="263" w:type="dxa"/>
            <w:gridSpan w:val="2"/>
            <w:tcBorders>
              <w:top w:val="nil"/>
              <w:left w:val="nil"/>
              <w:bottom w:val="nil"/>
              <w:right w:val="nil"/>
            </w:tcBorders>
            <w:shd w:val="clear" w:color="auto" w:fill="FFFFFF" w:themeFill="background1"/>
            <w:vAlign w:val="bottom"/>
          </w:tcPr>
          <w:p w14:paraId="392C05C7" w14:textId="77777777" w:rsidR="00DC3ED3" w:rsidRPr="00DB5EFD" w:rsidRDefault="00DC3ED3" w:rsidP="00F12147">
            <w:pPr>
              <w:rPr>
                <w:rFonts w:cstheme="minorBidi"/>
              </w:rPr>
            </w:pPr>
          </w:p>
        </w:tc>
        <w:tc>
          <w:tcPr>
            <w:tcW w:w="900" w:type="dxa"/>
            <w:tcBorders>
              <w:top w:val="nil"/>
              <w:left w:val="nil"/>
              <w:bottom w:val="nil"/>
              <w:right w:val="nil"/>
            </w:tcBorders>
            <w:shd w:val="clear" w:color="auto" w:fill="FFFFFF" w:themeFill="background1"/>
            <w:noWrap/>
            <w:vAlign w:val="bottom"/>
          </w:tcPr>
          <w:p w14:paraId="68E67616" w14:textId="77777777" w:rsidR="00DC3ED3" w:rsidRPr="00DB5EFD" w:rsidRDefault="00DC3ED3" w:rsidP="00F12147">
            <w:pPr>
              <w:rPr>
                <w:rFonts w:cstheme="minorBidi"/>
              </w:rPr>
            </w:pPr>
            <w:r w:rsidRPr="1BC1F171">
              <w:rPr>
                <w:rFonts w:ascii="Calibri" w:hAnsi="Calibri" w:cs="Calibri"/>
                <w:color w:val="000000" w:themeColor="text1"/>
              </w:rPr>
              <w:t>126</w:t>
            </w:r>
          </w:p>
        </w:tc>
        <w:tc>
          <w:tcPr>
            <w:tcW w:w="822" w:type="dxa"/>
            <w:tcBorders>
              <w:top w:val="nil"/>
              <w:left w:val="nil"/>
              <w:bottom w:val="nil"/>
              <w:right w:val="nil"/>
            </w:tcBorders>
            <w:shd w:val="clear" w:color="auto" w:fill="FFFFFF" w:themeFill="background1"/>
            <w:noWrap/>
            <w:vAlign w:val="bottom"/>
          </w:tcPr>
          <w:p w14:paraId="6C4D1F2D" w14:textId="77777777" w:rsidR="00DC3ED3" w:rsidRPr="00DB5EFD" w:rsidRDefault="00DC3ED3" w:rsidP="00F12147">
            <w:pPr>
              <w:rPr>
                <w:rFonts w:cstheme="minorBidi"/>
                <w:b/>
              </w:rPr>
            </w:pPr>
            <w:r w:rsidRPr="1BC1F171">
              <w:rPr>
                <w:rFonts w:ascii="Calibri" w:hAnsi="Calibri" w:cs="Calibri"/>
                <w:color w:val="000000" w:themeColor="text1"/>
              </w:rPr>
              <w:t>187</w:t>
            </w:r>
          </w:p>
        </w:tc>
        <w:tc>
          <w:tcPr>
            <w:tcW w:w="828" w:type="dxa"/>
            <w:tcBorders>
              <w:top w:val="nil"/>
              <w:left w:val="nil"/>
              <w:bottom w:val="nil"/>
              <w:right w:val="nil"/>
            </w:tcBorders>
            <w:shd w:val="clear" w:color="auto" w:fill="FFFFFF" w:themeFill="background1"/>
            <w:noWrap/>
            <w:vAlign w:val="bottom"/>
          </w:tcPr>
          <w:p w14:paraId="65B204D8" w14:textId="77777777" w:rsidR="00DC3ED3" w:rsidRPr="00DB5EFD" w:rsidRDefault="00DC3ED3" w:rsidP="00F12147">
            <w:pPr>
              <w:rPr>
                <w:rFonts w:cstheme="minorBidi"/>
                <w:b/>
              </w:rPr>
            </w:pPr>
            <w:r w:rsidRPr="1BC1F171">
              <w:rPr>
                <w:rFonts w:ascii="Calibri" w:hAnsi="Calibri" w:cs="Calibri"/>
                <w:color w:val="000000" w:themeColor="text1"/>
              </w:rPr>
              <w:t>131</w:t>
            </w:r>
          </w:p>
        </w:tc>
        <w:tc>
          <w:tcPr>
            <w:tcW w:w="251" w:type="dxa"/>
            <w:tcBorders>
              <w:top w:val="nil"/>
              <w:left w:val="nil"/>
              <w:bottom w:val="nil"/>
              <w:right w:val="nil"/>
            </w:tcBorders>
            <w:shd w:val="clear" w:color="auto" w:fill="FFFFFF" w:themeFill="background1"/>
            <w:vAlign w:val="bottom"/>
          </w:tcPr>
          <w:p w14:paraId="7970CA47" w14:textId="77777777" w:rsidR="00DC3ED3" w:rsidRPr="00DB5EFD" w:rsidRDefault="00DC3ED3" w:rsidP="00F12147">
            <w:pPr>
              <w:rPr>
                <w:rFonts w:cstheme="minorBidi"/>
                <w:b/>
              </w:rPr>
            </w:pPr>
          </w:p>
        </w:tc>
        <w:tc>
          <w:tcPr>
            <w:tcW w:w="852" w:type="dxa"/>
            <w:tcBorders>
              <w:top w:val="nil"/>
              <w:left w:val="nil"/>
              <w:bottom w:val="nil"/>
              <w:right w:val="nil"/>
            </w:tcBorders>
            <w:shd w:val="clear" w:color="auto" w:fill="FFFFFF" w:themeFill="background1"/>
            <w:noWrap/>
            <w:vAlign w:val="bottom"/>
          </w:tcPr>
          <w:p w14:paraId="770CF0A3" w14:textId="77777777" w:rsidR="00DC3ED3" w:rsidRPr="00DB5EFD" w:rsidRDefault="00DC3ED3" w:rsidP="00F12147">
            <w:pPr>
              <w:rPr>
                <w:rFonts w:cstheme="minorBidi"/>
                <w:b/>
              </w:rPr>
            </w:pPr>
            <w:r w:rsidRPr="1BC1F171">
              <w:rPr>
                <w:rFonts w:ascii="Calibri" w:hAnsi="Calibri" w:cs="Calibri"/>
                <w:color w:val="000000" w:themeColor="text1"/>
              </w:rPr>
              <w:t>126</w:t>
            </w:r>
          </w:p>
        </w:tc>
        <w:tc>
          <w:tcPr>
            <w:tcW w:w="904" w:type="dxa"/>
            <w:tcBorders>
              <w:top w:val="nil"/>
              <w:left w:val="nil"/>
              <w:bottom w:val="nil"/>
              <w:right w:val="nil"/>
            </w:tcBorders>
            <w:shd w:val="clear" w:color="auto" w:fill="FFFFFF" w:themeFill="background1"/>
            <w:noWrap/>
            <w:vAlign w:val="bottom"/>
          </w:tcPr>
          <w:p w14:paraId="46789E51" w14:textId="77777777" w:rsidR="00DC3ED3" w:rsidRPr="00DB5EFD" w:rsidRDefault="00DC3ED3" w:rsidP="00F12147">
            <w:pPr>
              <w:rPr>
                <w:rFonts w:cstheme="minorBidi"/>
                <w:b/>
              </w:rPr>
            </w:pPr>
            <w:r w:rsidRPr="1BC1F171">
              <w:rPr>
                <w:rFonts w:ascii="Calibri" w:hAnsi="Calibri" w:cs="Calibri"/>
                <w:color w:val="000000" w:themeColor="text1"/>
              </w:rPr>
              <w:t>187</w:t>
            </w:r>
          </w:p>
        </w:tc>
        <w:tc>
          <w:tcPr>
            <w:tcW w:w="883" w:type="dxa"/>
            <w:tcBorders>
              <w:top w:val="nil"/>
              <w:left w:val="nil"/>
              <w:bottom w:val="nil"/>
              <w:right w:val="nil"/>
            </w:tcBorders>
            <w:shd w:val="clear" w:color="auto" w:fill="FFFFFF" w:themeFill="background1"/>
            <w:noWrap/>
            <w:vAlign w:val="bottom"/>
          </w:tcPr>
          <w:p w14:paraId="1C5E6212" w14:textId="77777777" w:rsidR="00DC3ED3" w:rsidRPr="00DB5EFD" w:rsidRDefault="00DC3ED3" w:rsidP="00F12147">
            <w:pPr>
              <w:rPr>
                <w:rFonts w:cstheme="minorBidi"/>
              </w:rPr>
            </w:pPr>
            <w:r w:rsidRPr="1BC1F171">
              <w:rPr>
                <w:rFonts w:ascii="Calibri" w:hAnsi="Calibri" w:cs="Calibri"/>
                <w:color w:val="000000" w:themeColor="text1"/>
              </w:rPr>
              <w:t>131</w:t>
            </w:r>
          </w:p>
        </w:tc>
      </w:tr>
      <w:tr w:rsidR="00DC3ED3" w:rsidRPr="00DB5EFD" w14:paraId="21D956D8" w14:textId="77777777" w:rsidTr="6A9E2235">
        <w:trPr>
          <w:trHeight w:val="340"/>
        </w:trPr>
        <w:tc>
          <w:tcPr>
            <w:tcW w:w="1475" w:type="dxa"/>
            <w:tcBorders>
              <w:top w:val="nil"/>
              <w:left w:val="nil"/>
              <w:bottom w:val="nil"/>
              <w:right w:val="nil"/>
            </w:tcBorders>
            <w:shd w:val="clear" w:color="auto" w:fill="auto"/>
            <w:noWrap/>
            <w:vAlign w:val="bottom"/>
          </w:tcPr>
          <w:p w14:paraId="4A8F1303" w14:textId="77777777" w:rsidR="00DC3ED3" w:rsidRDefault="00DC3ED3" w:rsidP="004B1105">
            <w:pPr>
              <w:rPr>
                <w:rFonts w:cstheme="minorBidi"/>
                <w:color w:val="000000"/>
              </w:rPr>
            </w:pPr>
            <w:r w:rsidRPr="1BC1F171">
              <w:rPr>
                <w:rFonts w:cstheme="minorBidi"/>
                <w:color w:val="000000" w:themeColor="text1"/>
              </w:rPr>
              <w:t>White</w:t>
            </w:r>
          </w:p>
        </w:tc>
        <w:tc>
          <w:tcPr>
            <w:tcW w:w="900" w:type="dxa"/>
            <w:tcBorders>
              <w:top w:val="nil"/>
              <w:left w:val="nil"/>
              <w:bottom w:val="nil"/>
              <w:right w:val="nil"/>
            </w:tcBorders>
            <w:shd w:val="clear" w:color="auto" w:fill="FFFFFF" w:themeFill="background1"/>
            <w:noWrap/>
            <w:vAlign w:val="bottom"/>
          </w:tcPr>
          <w:p w14:paraId="6DD948C2" w14:textId="77777777" w:rsidR="00DC3ED3" w:rsidRPr="00DB5EFD" w:rsidRDefault="00DC3ED3" w:rsidP="00F12147">
            <w:pPr>
              <w:rPr>
                <w:rFonts w:cstheme="minorBidi"/>
              </w:rPr>
            </w:pPr>
            <w:r w:rsidRPr="1BC1F171">
              <w:rPr>
                <w:rFonts w:ascii="Calibri" w:hAnsi="Calibri" w:cs="Calibri"/>
                <w:color w:val="000000" w:themeColor="text1"/>
              </w:rPr>
              <w:t>222</w:t>
            </w:r>
          </w:p>
        </w:tc>
        <w:tc>
          <w:tcPr>
            <w:tcW w:w="865" w:type="dxa"/>
            <w:tcBorders>
              <w:top w:val="nil"/>
              <w:left w:val="nil"/>
              <w:bottom w:val="nil"/>
              <w:right w:val="nil"/>
            </w:tcBorders>
            <w:shd w:val="clear" w:color="auto" w:fill="FFFFFF" w:themeFill="background1"/>
            <w:noWrap/>
            <w:vAlign w:val="bottom"/>
          </w:tcPr>
          <w:p w14:paraId="43C91F2E" w14:textId="77777777" w:rsidR="00DC3ED3" w:rsidRPr="00DB5EFD" w:rsidRDefault="00DC3ED3" w:rsidP="00F12147">
            <w:pPr>
              <w:rPr>
                <w:rFonts w:cstheme="minorBidi"/>
              </w:rPr>
            </w:pPr>
            <w:r w:rsidRPr="1BC1F171">
              <w:rPr>
                <w:rFonts w:ascii="Calibri" w:hAnsi="Calibri" w:cs="Calibri"/>
                <w:color w:val="000000" w:themeColor="text1"/>
              </w:rPr>
              <w:t>369</w:t>
            </w:r>
          </w:p>
        </w:tc>
        <w:tc>
          <w:tcPr>
            <w:tcW w:w="896" w:type="dxa"/>
            <w:gridSpan w:val="2"/>
            <w:tcBorders>
              <w:top w:val="nil"/>
              <w:left w:val="nil"/>
              <w:bottom w:val="nil"/>
              <w:right w:val="nil"/>
            </w:tcBorders>
            <w:shd w:val="clear" w:color="auto" w:fill="FFFFFF" w:themeFill="background1"/>
            <w:noWrap/>
            <w:vAlign w:val="bottom"/>
          </w:tcPr>
          <w:p w14:paraId="15BE0659" w14:textId="77777777" w:rsidR="00DC3ED3" w:rsidRPr="00DB5EFD" w:rsidRDefault="00DC3ED3" w:rsidP="00F12147">
            <w:pPr>
              <w:rPr>
                <w:rFonts w:cstheme="minorBidi"/>
                <w:b/>
              </w:rPr>
            </w:pPr>
            <w:r w:rsidRPr="1BC1F171">
              <w:rPr>
                <w:rFonts w:ascii="Calibri" w:hAnsi="Calibri" w:cs="Calibri"/>
                <w:color w:val="000000" w:themeColor="text1"/>
              </w:rPr>
              <w:t>931</w:t>
            </w:r>
          </w:p>
        </w:tc>
        <w:tc>
          <w:tcPr>
            <w:tcW w:w="263" w:type="dxa"/>
            <w:gridSpan w:val="2"/>
            <w:tcBorders>
              <w:top w:val="nil"/>
              <w:left w:val="nil"/>
              <w:bottom w:val="nil"/>
              <w:right w:val="nil"/>
            </w:tcBorders>
            <w:shd w:val="clear" w:color="auto" w:fill="FFFFFF" w:themeFill="background1"/>
            <w:vAlign w:val="bottom"/>
          </w:tcPr>
          <w:p w14:paraId="3606479E" w14:textId="77777777" w:rsidR="00DC3ED3" w:rsidRPr="00DB5EFD" w:rsidRDefault="00DC3ED3" w:rsidP="00F12147">
            <w:pPr>
              <w:rPr>
                <w:rFonts w:cstheme="minorBidi"/>
              </w:rPr>
            </w:pPr>
          </w:p>
        </w:tc>
        <w:tc>
          <w:tcPr>
            <w:tcW w:w="900" w:type="dxa"/>
            <w:tcBorders>
              <w:top w:val="nil"/>
              <w:left w:val="nil"/>
              <w:bottom w:val="nil"/>
              <w:right w:val="nil"/>
            </w:tcBorders>
            <w:shd w:val="clear" w:color="auto" w:fill="FFFFFF" w:themeFill="background1"/>
            <w:noWrap/>
            <w:vAlign w:val="bottom"/>
          </w:tcPr>
          <w:p w14:paraId="29F65696" w14:textId="77777777" w:rsidR="00DC3ED3" w:rsidRPr="00DB5EFD" w:rsidRDefault="00DC3ED3" w:rsidP="00F12147">
            <w:pPr>
              <w:rPr>
                <w:rFonts w:cstheme="minorBidi"/>
              </w:rPr>
            </w:pPr>
            <w:r w:rsidRPr="1BC1F171">
              <w:rPr>
                <w:rFonts w:ascii="Calibri" w:hAnsi="Calibri" w:cs="Calibri"/>
                <w:color w:val="000000" w:themeColor="text1"/>
              </w:rPr>
              <w:t>105</w:t>
            </w:r>
          </w:p>
        </w:tc>
        <w:tc>
          <w:tcPr>
            <w:tcW w:w="822" w:type="dxa"/>
            <w:tcBorders>
              <w:top w:val="nil"/>
              <w:left w:val="nil"/>
              <w:bottom w:val="nil"/>
              <w:right w:val="nil"/>
            </w:tcBorders>
            <w:shd w:val="clear" w:color="auto" w:fill="FFFFFF" w:themeFill="background1"/>
            <w:noWrap/>
            <w:vAlign w:val="bottom"/>
          </w:tcPr>
          <w:p w14:paraId="6A647854" w14:textId="77777777" w:rsidR="00DC3ED3" w:rsidRPr="00DB5EFD" w:rsidRDefault="00DC3ED3" w:rsidP="00F12147">
            <w:pPr>
              <w:rPr>
                <w:rFonts w:cstheme="minorBidi"/>
                <w:b/>
              </w:rPr>
            </w:pPr>
            <w:r w:rsidRPr="1BC1F171">
              <w:rPr>
                <w:rFonts w:ascii="Calibri" w:hAnsi="Calibri" w:cs="Calibri"/>
                <w:color w:val="000000" w:themeColor="text1"/>
              </w:rPr>
              <w:t>258</w:t>
            </w:r>
          </w:p>
        </w:tc>
        <w:tc>
          <w:tcPr>
            <w:tcW w:w="828" w:type="dxa"/>
            <w:tcBorders>
              <w:top w:val="nil"/>
              <w:left w:val="nil"/>
              <w:bottom w:val="nil"/>
              <w:right w:val="nil"/>
            </w:tcBorders>
            <w:shd w:val="clear" w:color="auto" w:fill="FFFFFF" w:themeFill="background1"/>
            <w:noWrap/>
            <w:vAlign w:val="bottom"/>
          </w:tcPr>
          <w:p w14:paraId="2B69256E" w14:textId="77777777" w:rsidR="00DC3ED3" w:rsidRPr="00DB5EFD" w:rsidRDefault="00DC3ED3" w:rsidP="00F12147">
            <w:pPr>
              <w:rPr>
                <w:rFonts w:cstheme="minorBidi"/>
                <w:b/>
              </w:rPr>
            </w:pPr>
            <w:r w:rsidRPr="1BC1F171">
              <w:rPr>
                <w:rFonts w:ascii="Calibri" w:hAnsi="Calibri" w:cs="Calibri"/>
                <w:color w:val="000000" w:themeColor="text1"/>
              </w:rPr>
              <w:t>825</w:t>
            </w:r>
          </w:p>
        </w:tc>
        <w:tc>
          <w:tcPr>
            <w:tcW w:w="251" w:type="dxa"/>
            <w:tcBorders>
              <w:top w:val="nil"/>
              <w:left w:val="nil"/>
              <w:bottom w:val="nil"/>
              <w:right w:val="nil"/>
            </w:tcBorders>
            <w:shd w:val="clear" w:color="auto" w:fill="FFFFFF" w:themeFill="background1"/>
            <w:vAlign w:val="bottom"/>
          </w:tcPr>
          <w:p w14:paraId="7BCDAA8C" w14:textId="77777777" w:rsidR="00DC3ED3" w:rsidRPr="00DB5EFD" w:rsidRDefault="00DC3ED3" w:rsidP="00F12147">
            <w:pPr>
              <w:rPr>
                <w:rFonts w:cstheme="minorBidi"/>
                <w:b/>
              </w:rPr>
            </w:pPr>
          </w:p>
        </w:tc>
        <w:tc>
          <w:tcPr>
            <w:tcW w:w="852" w:type="dxa"/>
            <w:tcBorders>
              <w:top w:val="nil"/>
              <w:left w:val="nil"/>
              <w:bottom w:val="nil"/>
              <w:right w:val="nil"/>
            </w:tcBorders>
            <w:shd w:val="clear" w:color="auto" w:fill="FFFFFF" w:themeFill="background1"/>
            <w:noWrap/>
            <w:vAlign w:val="bottom"/>
          </w:tcPr>
          <w:p w14:paraId="1C14C8E7" w14:textId="77777777" w:rsidR="00DC3ED3" w:rsidRPr="00DB5EFD" w:rsidRDefault="00DC3ED3" w:rsidP="00F12147">
            <w:pPr>
              <w:rPr>
                <w:rFonts w:cstheme="minorBidi"/>
                <w:b/>
              </w:rPr>
            </w:pPr>
            <w:r w:rsidRPr="1BC1F171">
              <w:rPr>
                <w:rFonts w:ascii="Calibri" w:hAnsi="Calibri" w:cs="Calibri"/>
                <w:color w:val="000000" w:themeColor="text1"/>
              </w:rPr>
              <w:t>105</w:t>
            </w:r>
          </w:p>
        </w:tc>
        <w:tc>
          <w:tcPr>
            <w:tcW w:w="904" w:type="dxa"/>
            <w:tcBorders>
              <w:top w:val="nil"/>
              <w:left w:val="nil"/>
              <w:bottom w:val="nil"/>
              <w:right w:val="nil"/>
            </w:tcBorders>
            <w:shd w:val="clear" w:color="auto" w:fill="FFFFFF" w:themeFill="background1"/>
            <w:noWrap/>
            <w:vAlign w:val="bottom"/>
          </w:tcPr>
          <w:p w14:paraId="646C0C20" w14:textId="77777777" w:rsidR="00DC3ED3" w:rsidRPr="00DB5EFD" w:rsidRDefault="00DC3ED3" w:rsidP="00F12147">
            <w:pPr>
              <w:rPr>
                <w:rFonts w:cstheme="minorBidi"/>
                <w:b/>
              </w:rPr>
            </w:pPr>
            <w:r w:rsidRPr="1BC1F171">
              <w:rPr>
                <w:rFonts w:ascii="Calibri" w:hAnsi="Calibri" w:cs="Calibri"/>
                <w:color w:val="000000" w:themeColor="text1"/>
              </w:rPr>
              <w:t>258</w:t>
            </w:r>
          </w:p>
        </w:tc>
        <w:tc>
          <w:tcPr>
            <w:tcW w:w="883" w:type="dxa"/>
            <w:tcBorders>
              <w:top w:val="nil"/>
              <w:left w:val="nil"/>
              <w:bottom w:val="nil"/>
              <w:right w:val="nil"/>
            </w:tcBorders>
            <w:shd w:val="clear" w:color="auto" w:fill="FFFFFF" w:themeFill="background1"/>
            <w:noWrap/>
            <w:vAlign w:val="bottom"/>
          </w:tcPr>
          <w:p w14:paraId="201A0909" w14:textId="77777777" w:rsidR="00DC3ED3" w:rsidRPr="00DB5EFD" w:rsidRDefault="00DC3ED3" w:rsidP="00F12147">
            <w:pPr>
              <w:rPr>
                <w:rFonts w:cstheme="minorBidi"/>
              </w:rPr>
            </w:pPr>
            <w:r w:rsidRPr="1BC1F171">
              <w:rPr>
                <w:rFonts w:ascii="Calibri" w:hAnsi="Calibri" w:cs="Calibri"/>
                <w:color w:val="000000" w:themeColor="text1"/>
              </w:rPr>
              <w:t>825</w:t>
            </w:r>
          </w:p>
        </w:tc>
      </w:tr>
      <w:tr w:rsidR="00DC3ED3" w:rsidRPr="00DB5EFD" w14:paraId="6CD01CC3" w14:textId="77777777" w:rsidTr="6A9E2235">
        <w:trPr>
          <w:trHeight w:val="340"/>
        </w:trPr>
        <w:tc>
          <w:tcPr>
            <w:tcW w:w="1475" w:type="dxa"/>
            <w:tcBorders>
              <w:top w:val="nil"/>
              <w:left w:val="nil"/>
              <w:bottom w:val="nil"/>
              <w:right w:val="nil"/>
            </w:tcBorders>
            <w:shd w:val="clear" w:color="auto" w:fill="auto"/>
            <w:noWrap/>
            <w:vAlign w:val="bottom"/>
          </w:tcPr>
          <w:p w14:paraId="29E55544" w14:textId="20303C2A" w:rsidR="00DC3ED3" w:rsidRDefault="00DC3ED3" w:rsidP="004B1105">
            <w:pPr>
              <w:rPr>
                <w:rFonts w:cstheme="minorBidi"/>
                <w:color w:val="000000"/>
              </w:rPr>
            </w:pPr>
            <w:r w:rsidRPr="1BC1F171">
              <w:rPr>
                <w:rFonts w:cstheme="minorBidi"/>
                <w:color w:val="000000" w:themeColor="text1"/>
              </w:rPr>
              <w:t xml:space="preserve">Another </w:t>
            </w:r>
            <w:r w:rsidR="00AB449C">
              <w:rPr>
                <w:rFonts w:cstheme="minorBidi"/>
                <w:color w:val="000000" w:themeColor="text1"/>
              </w:rPr>
              <w:t>R</w:t>
            </w:r>
            <w:r w:rsidR="00AB449C" w:rsidRPr="1BC1F171">
              <w:rPr>
                <w:rFonts w:cstheme="minorBidi"/>
                <w:color w:val="000000" w:themeColor="text1"/>
              </w:rPr>
              <w:t>ace</w:t>
            </w:r>
          </w:p>
        </w:tc>
        <w:tc>
          <w:tcPr>
            <w:tcW w:w="900" w:type="dxa"/>
            <w:tcBorders>
              <w:top w:val="nil"/>
              <w:left w:val="nil"/>
              <w:bottom w:val="nil"/>
              <w:right w:val="nil"/>
            </w:tcBorders>
            <w:shd w:val="clear" w:color="auto" w:fill="FFFFFF" w:themeFill="background1"/>
            <w:noWrap/>
            <w:vAlign w:val="bottom"/>
          </w:tcPr>
          <w:p w14:paraId="5E04DF67" w14:textId="77777777" w:rsidR="00DC3ED3" w:rsidRPr="00DB5EFD" w:rsidRDefault="00DC3ED3" w:rsidP="00F12147">
            <w:pPr>
              <w:rPr>
                <w:rFonts w:cstheme="minorBidi"/>
              </w:rPr>
            </w:pPr>
            <w:r w:rsidRPr="1BC1F171">
              <w:rPr>
                <w:rFonts w:ascii="Calibri" w:hAnsi="Calibri" w:cs="Calibri"/>
                <w:color w:val="000000" w:themeColor="text1"/>
              </w:rPr>
              <w:t>181</w:t>
            </w:r>
          </w:p>
        </w:tc>
        <w:tc>
          <w:tcPr>
            <w:tcW w:w="865" w:type="dxa"/>
            <w:tcBorders>
              <w:top w:val="nil"/>
              <w:left w:val="nil"/>
              <w:bottom w:val="nil"/>
              <w:right w:val="nil"/>
            </w:tcBorders>
            <w:shd w:val="clear" w:color="auto" w:fill="FFFFFF" w:themeFill="background1"/>
            <w:noWrap/>
            <w:vAlign w:val="bottom"/>
          </w:tcPr>
          <w:p w14:paraId="7BFB5A1E" w14:textId="77777777" w:rsidR="00DC3ED3" w:rsidRPr="00DB5EFD" w:rsidRDefault="00DC3ED3" w:rsidP="00F12147">
            <w:pPr>
              <w:rPr>
                <w:rFonts w:cstheme="minorBidi"/>
              </w:rPr>
            </w:pPr>
            <w:r w:rsidRPr="1BC1F171">
              <w:rPr>
                <w:rFonts w:ascii="Calibri" w:hAnsi="Calibri" w:cs="Calibri"/>
                <w:color w:val="000000" w:themeColor="text1"/>
              </w:rPr>
              <w:t>172</w:t>
            </w:r>
          </w:p>
        </w:tc>
        <w:tc>
          <w:tcPr>
            <w:tcW w:w="896" w:type="dxa"/>
            <w:gridSpan w:val="2"/>
            <w:tcBorders>
              <w:top w:val="nil"/>
              <w:left w:val="nil"/>
              <w:bottom w:val="nil"/>
              <w:right w:val="nil"/>
            </w:tcBorders>
            <w:shd w:val="clear" w:color="auto" w:fill="FFFFFF" w:themeFill="background1"/>
            <w:noWrap/>
            <w:vAlign w:val="bottom"/>
          </w:tcPr>
          <w:p w14:paraId="74BD19B8" w14:textId="77777777" w:rsidR="00DC3ED3" w:rsidRPr="00DB5EFD" w:rsidRDefault="00DC3ED3" w:rsidP="00F12147">
            <w:pPr>
              <w:rPr>
                <w:rFonts w:cstheme="minorBidi"/>
                <w:b/>
              </w:rPr>
            </w:pPr>
            <w:r w:rsidRPr="1BC1F171">
              <w:rPr>
                <w:rFonts w:ascii="Calibri" w:hAnsi="Calibri" w:cs="Calibri"/>
                <w:color w:val="000000" w:themeColor="text1"/>
              </w:rPr>
              <w:t>184</w:t>
            </w:r>
          </w:p>
        </w:tc>
        <w:tc>
          <w:tcPr>
            <w:tcW w:w="263" w:type="dxa"/>
            <w:gridSpan w:val="2"/>
            <w:tcBorders>
              <w:top w:val="nil"/>
              <w:left w:val="nil"/>
              <w:bottom w:val="nil"/>
              <w:right w:val="nil"/>
            </w:tcBorders>
            <w:shd w:val="clear" w:color="auto" w:fill="FFFFFF" w:themeFill="background1"/>
            <w:vAlign w:val="bottom"/>
          </w:tcPr>
          <w:p w14:paraId="1590AC8B" w14:textId="77777777" w:rsidR="00DC3ED3" w:rsidRPr="00DB5EFD" w:rsidRDefault="00DC3ED3" w:rsidP="00F12147">
            <w:pPr>
              <w:rPr>
                <w:rFonts w:cstheme="minorBidi"/>
              </w:rPr>
            </w:pPr>
          </w:p>
        </w:tc>
        <w:tc>
          <w:tcPr>
            <w:tcW w:w="900" w:type="dxa"/>
            <w:tcBorders>
              <w:top w:val="nil"/>
              <w:left w:val="nil"/>
              <w:bottom w:val="nil"/>
              <w:right w:val="nil"/>
            </w:tcBorders>
            <w:shd w:val="clear" w:color="auto" w:fill="FFFFFF" w:themeFill="background1"/>
            <w:noWrap/>
            <w:vAlign w:val="bottom"/>
          </w:tcPr>
          <w:p w14:paraId="6A381E58" w14:textId="77777777" w:rsidR="00DC3ED3" w:rsidRPr="00DB5EFD" w:rsidRDefault="00DC3ED3" w:rsidP="00F12147">
            <w:pPr>
              <w:rPr>
                <w:rFonts w:cstheme="minorBidi"/>
              </w:rPr>
            </w:pPr>
            <w:r w:rsidRPr="1BC1F171">
              <w:rPr>
                <w:rFonts w:ascii="Calibri" w:hAnsi="Calibri" w:cs="Calibri"/>
                <w:color w:val="000000" w:themeColor="text1"/>
              </w:rPr>
              <w:t>105</w:t>
            </w:r>
          </w:p>
        </w:tc>
        <w:tc>
          <w:tcPr>
            <w:tcW w:w="822" w:type="dxa"/>
            <w:tcBorders>
              <w:top w:val="nil"/>
              <w:left w:val="nil"/>
              <w:bottom w:val="nil"/>
              <w:right w:val="nil"/>
            </w:tcBorders>
            <w:shd w:val="clear" w:color="auto" w:fill="FFFFFF" w:themeFill="background1"/>
            <w:noWrap/>
            <w:vAlign w:val="bottom"/>
          </w:tcPr>
          <w:p w14:paraId="05F10B9C" w14:textId="77777777" w:rsidR="00DC3ED3" w:rsidRPr="00DB5EFD" w:rsidRDefault="00DC3ED3" w:rsidP="00F12147">
            <w:pPr>
              <w:rPr>
                <w:rFonts w:cstheme="minorBidi"/>
                <w:b/>
              </w:rPr>
            </w:pPr>
            <w:r w:rsidRPr="1BC1F171">
              <w:rPr>
                <w:rFonts w:ascii="Calibri" w:hAnsi="Calibri" w:cs="Calibri"/>
                <w:color w:val="000000" w:themeColor="text1"/>
              </w:rPr>
              <w:t>117</w:t>
            </w:r>
          </w:p>
        </w:tc>
        <w:tc>
          <w:tcPr>
            <w:tcW w:w="828" w:type="dxa"/>
            <w:tcBorders>
              <w:top w:val="nil"/>
              <w:left w:val="nil"/>
              <w:bottom w:val="nil"/>
              <w:right w:val="nil"/>
            </w:tcBorders>
            <w:shd w:val="clear" w:color="auto" w:fill="FFFFFF" w:themeFill="background1"/>
            <w:noWrap/>
            <w:vAlign w:val="bottom"/>
          </w:tcPr>
          <w:p w14:paraId="0B5719E5" w14:textId="77777777" w:rsidR="00DC3ED3" w:rsidRPr="00DB5EFD" w:rsidRDefault="00DC3ED3" w:rsidP="00F12147">
            <w:pPr>
              <w:rPr>
                <w:rFonts w:cstheme="minorBidi"/>
                <w:b/>
              </w:rPr>
            </w:pPr>
            <w:r w:rsidRPr="1BC1F171">
              <w:rPr>
                <w:rFonts w:ascii="Calibri" w:hAnsi="Calibri" w:cs="Calibri"/>
                <w:color w:val="000000" w:themeColor="text1"/>
              </w:rPr>
              <w:t>156</w:t>
            </w:r>
          </w:p>
        </w:tc>
        <w:tc>
          <w:tcPr>
            <w:tcW w:w="251" w:type="dxa"/>
            <w:tcBorders>
              <w:top w:val="nil"/>
              <w:left w:val="nil"/>
              <w:bottom w:val="nil"/>
              <w:right w:val="nil"/>
            </w:tcBorders>
            <w:shd w:val="clear" w:color="auto" w:fill="FFFFFF" w:themeFill="background1"/>
            <w:vAlign w:val="bottom"/>
          </w:tcPr>
          <w:p w14:paraId="27891ED7" w14:textId="77777777" w:rsidR="00DC3ED3" w:rsidRPr="00DB5EFD" w:rsidRDefault="00DC3ED3" w:rsidP="00F12147">
            <w:pPr>
              <w:rPr>
                <w:rFonts w:cstheme="minorBidi"/>
                <w:b/>
              </w:rPr>
            </w:pPr>
          </w:p>
        </w:tc>
        <w:tc>
          <w:tcPr>
            <w:tcW w:w="852" w:type="dxa"/>
            <w:tcBorders>
              <w:top w:val="nil"/>
              <w:left w:val="nil"/>
              <w:bottom w:val="nil"/>
              <w:right w:val="nil"/>
            </w:tcBorders>
            <w:shd w:val="clear" w:color="auto" w:fill="FFFFFF" w:themeFill="background1"/>
            <w:noWrap/>
            <w:vAlign w:val="bottom"/>
          </w:tcPr>
          <w:p w14:paraId="5270DDDE" w14:textId="77777777" w:rsidR="00DC3ED3" w:rsidRPr="00DB5EFD" w:rsidRDefault="00DC3ED3" w:rsidP="00F12147">
            <w:pPr>
              <w:rPr>
                <w:rFonts w:cstheme="minorBidi"/>
                <w:b/>
              </w:rPr>
            </w:pPr>
            <w:r w:rsidRPr="1BC1F171">
              <w:rPr>
                <w:rFonts w:ascii="Calibri" w:hAnsi="Calibri" w:cs="Calibri"/>
                <w:color w:val="000000" w:themeColor="text1"/>
              </w:rPr>
              <w:t>105</w:t>
            </w:r>
          </w:p>
        </w:tc>
        <w:tc>
          <w:tcPr>
            <w:tcW w:w="904" w:type="dxa"/>
            <w:tcBorders>
              <w:top w:val="nil"/>
              <w:left w:val="nil"/>
              <w:bottom w:val="nil"/>
              <w:right w:val="nil"/>
            </w:tcBorders>
            <w:shd w:val="clear" w:color="auto" w:fill="FFFFFF" w:themeFill="background1"/>
            <w:noWrap/>
            <w:vAlign w:val="bottom"/>
          </w:tcPr>
          <w:p w14:paraId="4EFC7D97" w14:textId="77777777" w:rsidR="00DC3ED3" w:rsidRPr="00DB5EFD" w:rsidRDefault="00DC3ED3" w:rsidP="00F12147">
            <w:pPr>
              <w:rPr>
                <w:rFonts w:cstheme="minorBidi"/>
                <w:b/>
              </w:rPr>
            </w:pPr>
            <w:r w:rsidRPr="1BC1F171">
              <w:rPr>
                <w:rFonts w:ascii="Calibri" w:hAnsi="Calibri" w:cs="Calibri"/>
                <w:color w:val="000000" w:themeColor="text1"/>
              </w:rPr>
              <w:t>117</w:t>
            </w:r>
          </w:p>
        </w:tc>
        <w:tc>
          <w:tcPr>
            <w:tcW w:w="883" w:type="dxa"/>
            <w:tcBorders>
              <w:top w:val="nil"/>
              <w:left w:val="nil"/>
              <w:bottom w:val="nil"/>
              <w:right w:val="nil"/>
            </w:tcBorders>
            <w:shd w:val="clear" w:color="auto" w:fill="FFFFFF" w:themeFill="background1"/>
            <w:noWrap/>
            <w:vAlign w:val="bottom"/>
          </w:tcPr>
          <w:p w14:paraId="476AF1EE" w14:textId="77777777" w:rsidR="00DC3ED3" w:rsidRPr="00DB5EFD" w:rsidRDefault="00DC3ED3" w:rsidP="00F12147">
            <w:pPr>
              <w:rPr>
                <w:rFonts w:cstheme="minorBidi"/>
              </w:rPr>
            </w:pPr>
            <w:r w:rsidRPr="1BC1F171">
              <w:rPr>
                <w:rFonts w:ascii="Calibri" w:hAnsi="Calibri" w:cs="Calibri"/>
                <w:color w:val="000000" w:themeColor="text1"/>
              </w:rPr>
              <w:t>156</w:t>
            </w:r>
          </w:p>
        </w:tc>
      </w:tr>
      <w:bookmarkEnd w:id="50"/>
      <w:tr w:rsidR="00DC3ED3" w:rsidRPr="00DB5EFD" w14:paraId="0B5DD55B" w14:textId="77777777" w:rsidTr="6A9E2235">
        <w:trPr>
          <w:trHeight w:val="340"/>
        </w:trPr>
        <w:tc>
          <w:tcPr>
            <w:tcW w:w="1475" w:type="dxa"/>
            <w:tcBorders>
              <w:top w:val="nil"/>
              <w:left w:val="nil"/>
              <w:bottom w:val="nil"/>
              <w:right w:val="nil"/>
            </w:tcBorders>
            <w:shd w:val="clear" w:color="auto" w:fill="auto"/>
            <w:noWrap/>
            <w:vAlign w:val="center"/>
          </w:tcPr>
          <w:p w14:paraId="06EC54DD" w14:textId="77777777" w:rsidR="00DC3ED3" w:rsidRDefault="00DC3ED3" w:rsidP="004B1105">
            <w:pPr>
              <w:rPr>
                <w:rFonts w:cstheme="minorBidi"/>
                <w:color w:val="000000"/>
              </w:rPr>
            </w:pPr>
          </w:p>
        </w:tc>
        <w:tc>
          <w:tcPr>
            <w:tcW w:w="900" w:type="dxa"/>
            <w:tcBorders>
              <w:top w:val="nil"/>
              <w:left w:val="nil"/>
              <w:bottom w:val="single" w:sz="12" w:space="0" w:color="auto"/>
              <w:right w:val="nil"/>
            </w:tcBorders>
            <w:shd w:val="clear" w:color="auto" w:fill="FFFFFF" w:themeFill="background1"/>
            <w:noWrap/>
          </w:tcPr>
          <w:p w14:paraId="338044AE" w14:textId="77777777" w:rsidR="00DC3ED3" w:rsidRPr="00DB5EFD" w:rsidRDefault="00DC3ED3" w:rsidP="00F12147">
            <w:pPr>
              <w:rPr>
                <w:rFonts w:cstheme="minorBidi"/>
              </w:rPr>
            </w:pPr>
          </w:p>
        </w:tc>
        <w:tc>
          <w:tcPr>
            <w:tcW w:w="865" w:type="dxa"/>
            <w:tcBorders>
              <w:top w:val="nil"/>
              <w:left w:val="nil"/>
              <w:bottom w:val="single" w:sz="12" w:space="0" w:color="auto"/>
              <w:right w:val="nil"/>
            </w:tcBorders>
            <w:shd w:val="clear" w:color="auto" w:fill="FFFFFF" w:themeFill="background1"/>
            <w:noWrap/>
          </w:tcPr>
          <w:p w14:paraId="5AD788FF" w14:textId="77777777" w:rsidR="00DC3ED3" w:rsidRPr="00DB5EFD" w:rsidRDefault="00DC3ED3" w:rsidP="00F12147">
            <w:pPr>
              <w:rPr>
                <w:rFonts w:cstheme="minorBidi"/>
              </w:rPr>
            </w:pPr>
          </w:p>
        </w:tc>
        <w:tc>
          <w:tcPr>
            <w:tcW w:w="896" w:type="dxa"/>
            <w:gridSpan w:val="2"/>
            <w:tcBorders>
              <w:top w:val="nil"/>
              <w:left w:val="nil"/>
              <w:bottom w:val="single" w:sz="12" w:space="0" w:color="auto"/>
              <w:right w:val="nil"/>
            </w:tcBorders>
            <w:shd w:val="clear" w:color="auto" w:fill="FFFFFF" w:themeFill="background1"/>
            <w:noWrap/>
          </w:tcPr>
          <w:p w14:paraId="19AF8AE9" w14:textId="77777777" w:rsidR="00DC3ED3" w:rsidRPr="00DB5EFD" w:rsidRDefault="00DC3ED3" w:rsidP="00F12147">
            <w:pPr>
              <w:rPr>
                <w:rFonts w:cstheme="minorBidi"/>
                <w:b/>
              </w:rPr>
            </w:pPr>
          </w:p>
        </w:tc>
        <w:tc>
          <w:tcPr>
            <w:tcW w:w="263" w:type="dxa"/>
            <w:gridSpan w:val="2"/>
            <w:tcBorders>
              <w:top w:val="nil"/>
              <w:left w:val="nil"/>
              <w:bottom w:val="single" w:sz="12" w:space="0" w:color="auto"/>
              <w:right w:val="nil"/>
            </w:tcBorders>
            <w:shd w:val="clear" w:color="auto" w:fill="FFFFFF" w:themeFill="background1"/>
          </w:tcPr>
          <w:p w14:paraId="7E70D22D" w14:textId="77777777" w:rsidR="00DC3ED3" w:rsidRPr="00DB5EFD" w:rsidRDefault="00DC3ED3" w:rsidP="00F12147">
            <w:pPr>
              <w:rPr>
                <w:rFonts w:cstheme="minorBidi"/>
              </w:rPr>
            </w:pPr>
          </w:p>
        </w:tc>
        <w:tc>
          <w:tcPr>
            <w:tcW w:w="900" w:type="dxa"/>
            <w:tcBorders>
              <w:top w:val="nil"/>
              <w:left w:val="nil"/>
              <w:bottom w:val="single" w:sz="12" w:space="0" w:color="auto"/>
              <w:right w:val="nil"/>
            </w:tcBorders>
            <w:shd w:val="clear" w:color="auto" w:fill="FFFFFF" w:themeFill="background1"/>
            <w:noWrap/>
          </w:tcPr>
          <w:p w14:paraId="493BF7C4" w14:textId="77777777" w:rsidR="00DC3ED3" w:rsidRPr="00DB5EFD" w:rsidRDefault="00DC3ED3" w:rsidP="00F12147">
            <w:pPr>
              <w:rPr>
                <w:rFonts w:cstheme="minorBidi"/>
              </w:rPr>
            </w:pPr>
          </w:p>
        </w:tc>
        <w:tc>
          <w:tcPr>
            <w:tcW w:w="822" w:type="dxa"/>
            <w:tcBorders>
              <w:top w:val="nil"/>
              <w:left w:val="nil"/>
              <w:bottom w:val="single" w:sz="12" w:space="0" w:color="auto"/>
              <w:right w:val="nil"/>
            </w:tcBorders>
            <w:shd w:val="clear" w:color="auto" w:fill="FFFFFF" w:themeFill="background1"/>
            <w:noWrap/>
          </w:tcPr>
          <w:p w14:paraId="1C9CF7F1" w14:textId="77777777" w:rsidR="00DC3ED3" w:rsidRPr="00DB5EFD" w:rsidRDefault="00DC3ED3" w:rsidP="00F12147">
            <w:pPr>
              <w:rPr>
                <w:rFonts w:cstheme="minorBidi"/>
                <w:b/>
              </w:rPr>
            </w:pPr>
          </w:p>
        </w:tc>
        <w:tc>
          <w:tcPr>
            <w:tcW w:w="828" w:type="dxa"/>
            <w:tcBorders>
              <w:top w:val="nil"/>
              <w:left w:val="nil"/>
              <w:bottom w:val="single" w:sz="12" w:space="0" w:color="auto"/>
              <w:right w:val="nil"/>
            </w:tcBorders>
            <w:shd w:val="clear" w:color="auto" w:fill="FFFFFF" w:themeFill="background1"/>
            <w:noWrap/>
          </w:tcPr>
          <w:p w14:paraId="4CE094F1" w14:textId="77777777" w:rsidR="00DC3ED3" w:rsidRPr="00DB5EFD" w:rsidRDefault="00DC3ED3" w:rsidP="00F12147">
            <w:pPr>
              <w:rPr>
                <w:rFonts w:cstheme="minorBidi"/>
                <w:b/>
              </w:rPr>
            </w:pPr>
          </w:p>
        </w:tc>
        <w:tc>
          <w:tcPr>
            <w:tcW w:w="251" w:type="dxa"/>
            <w:tcBorders>
              <w:top w:val="nil"/>
              <w:left w:val="nil"/>
              <w:bottom w:val="single" w:sz="12" w:space="0" w:color="auto"/>
              <w:right w:val="nil"/>
            </w:tcBorders>
            <w:shd w:val="clear" w:color="auto" w:fill="FFFFFF" w:themeFill="background1"/>
          </w:tcPr>
          <w:p w14:paraId="5EBECAD3" w14:textId="77777777" w:rsidR="00DC3ED3" w:rsidRPr="00DB5EFD" w:rsidRDefault="00DC3ED3" w:rsidP="00F12147">
            <w:pPr>
              <w:rPr>
                <w:rFonts w:cstheme="minorBidi"/>
                <w:b/>
              </w:rPr>
            </w:pPr>
          </w:p>
        </w:tc>
        <w:tc>
          <w:tcPr>
            <w:tcW w:w="852" w:type="dxa"/>
            <w:tcBorders>
              <w:top w:val="nil"/>
              <w:left w:val="nil"/>
              <w:bottom w:val="single" w:sz="12" w:space="0" w:color="auto"/>
              <w:right w:val="nil"/>
            </w:tcBorders>
            <w:shd w:val="clear" w:color="auto" w:fill="FFFFFF" w:themeFill="background1"/>
            <w:noWrap/>
          </w:tcPr>
          <w:p w14:paraId="5877E25C" w14:textId="77777777" w:rsidR="00DC3ED3" w:rsidRPr="00DB5EFD" w:rsidRDefault="00DC3ED3" w:rsidP="00F12147">
            <w:pPr>
              <w:rPr>
                <w:rFonts w:cstheme="minorBidi"/>
                <w:b/>
              </w:rPr>
            </w:pPr>
          </w:p>
        </w:tc>
        <w:tc>
          <w:tcPr>
            <w:tcW w:w="904" w:type="dxa"/>
            <w:tcBorders>
              <w:top w:val="nil"/>
              <w:left w:val="nil"/>
              <w:bottom w:val="single" w:sz="12" w:space="0" w:color="auto"/>
              <w:right w:val="nil"/>
            </w:tcBorders>
            <w:shd w:val="clear" w:color="auto" w:fill="FFFFFF" w:themeFill="background1"/>
            <w:noWrap/>
          </w:tcPr>
          <w:p w14:paraId="0A33B7DF" w14:textId="77777777" w:rsidR="00DC3ED3" w:rsidRPr="00DB5EFD" w:rsidRDefault="00DC3ED3" w:rsidP="00F12147">
            <w:pPr>
              <w:rPr>
                <w:rFonts w:cstheme="minorBidi"/>
                <w:b/>
              </w:rPr>
            </w:pPr>
          </w:p>
        </w:tc>
        <w:tc>
          <w:tcPr>
            <w:tcW w:w="883" w:type="dxa"/>
            <w:tcBorders>
              <w:top w:val="nil"/>
              <w:left w:val="nil"/>
              <w:bottom w:val="single" w:sz="12" w:space="0" w:color="auto"/>
              <w:right w:val="nil"/>
            </w:tcBorders>
            <w:shd w:val="clear" w:color="auto" w:fill="FFFFFF" w:themeFill="background1"/>
            <w:noWrap/>
          </w:tcPr>
          <w:p w14:paraId="7D218E52" w14:textId="77777777" w:rsidR="00DC3ED3" w:rsidRPr="00DB5EFD" w:rsidRDefault="00DC3ED3" w:rsidP="00F12147">
            <w:pPr>
              <w:rPr>
                <w:rFonts w:cstheme="minorBidi"/>
              </w:rPr>
            </w:pPr>
          </w:p>
        </w:tc>
      </w:tr>
      <w:tr w:rsidR="00DC3ED3" w:rsidRPr="00DB5EFD" w14:paraId="3C718529" w14:textId="77777777" w:rsidTr="6A9E2235">
        <w:trPr>
          <w:trHeight w:val="340"/>
        </w:trPr>
        <w:tc>
          <w:tcPr>
            <w:tcW w:w="1475" w:type="dxa"/>
            <w:tcBorders>
              <w:top w:val="nil"/>
              <w:left w:val="nil"/>
              <w:bottom w:val="nil"/>
              <w:right w:val="nil"/>
            </w:tcBorders>
            <w:shd w:val="clear" w:color="auto" w:fill="auto"/>
            <w:noWrap/>
            <w:vAlign w:val="center"/>
          </w:tcPr>
          <w:p w14:paraId="29CEB763" w14:textId="5B93E93A" w:rsidR="00DC3ED3" w:rsidRDefault="00DC3ED3" w:rsidP="004B1105">
            <w:pPr>
              <w:rPr>
                <w:rFonts w:cstheme="minorBidi"/>
                <w:color w:val="000000"/>
              </w:rPr>
            </w:pPr>
            <w:r w:rsidRPr="1BC1F171">
              <w:rPr>
                <w:rFonts w:cstheme="minorBidi"/>
                <w:b/>
                <w:color w:val="000000" w:themeColor="text1"/>
              </w:rPr>
              <w:t xml:space="preserve">Wealth </w:t>
            </w:r>
          </w:p>
        </w:tc>
        <w:tc>
          <w:tcPr>
            <w:tcW w:w="900" w:type="dxa"/>
            <w:tcBorders>
              <w:top w:val="single" w:sz="12" w:space="0" w:color="auto"/>
              <w:left w:val="nil"/>
              <w:bottom w:val="single" w:sz="12" w:space="0" w:color="auto"/>
              <w:right w:val="nil"/>
            </w:tcBorders>
            <w:shd w:val="clear" w:color="auto" w:fill="FFFFFF" w:themeFill="background1"/>
            <w:noWrap/>
            <w:vAlign w:val="bottom"/>
          </w:tcPr>
          <w:p w14:paraId="7A5E14B2" w14:textId="439C9C0C" w:rsidR="00DC3ED3" w:rsidRPr="00DB5EFD" w:rsidRDefault="009C7064" w:rsidP="00F12147">
            <w:pPr>
              <w:rPr>
                <w:rFonts w:cstheme="minorBidi"/>
              </w:rPr>
            </w:pPr>
            <w:r>
              <w:rPr>
                <w:rFonts w:eastAsiaTheme="minorEastAsia"/>
                <w:color w:val="000000" w:themeColor="text1"/>
                <w:sz w:val="20"/>
                <w:szCs w:val="20"/>
              </w:rPr>
              <w:t>Low</w:t>
            </w:r>
          </w:p>
        </w:tc>
        <w:tc>
          <w:tcPr>
            <w:tcW w:w="865" w:type="dxa"/>
            <w:tcBorders>
              <w:top w:val="single" w:sz="12" w:space="0" w:color="auto"/>
              <w:left w:val="nil"/>
              <w:bottom w:val="single" w:sz="12" w:space="0" w:color="auto"/>
              <w:right w:val="nil"/>
            </w:tcBorders>
            <w:shd w:val="clear" w:color="auto" w:fill="FFFFFF" w:themeFill="background1"/>
            <w:noWrap/>
            <w:vAlign w:val="bottom"/>
          </w:tcPr>
          <w:p w14:paraId="064CF8AA" w14:textId="6A1B598A" w:rsidR="00DC3ED3" w:rsidRPr="00DB5EFD" w:rsidRDefault="00DC3ED3" w:rsidP="00F12147">
            <w:pPr>
              <w:rPr>
                <w:rFonts w:cstheme="minorBidi"/>
              </w:rPr>
            </w:pPr>
            <w:r w:rsidRPr="1BC1F171">
              <w:rPr>
                <w:rFonts w:eastAsiaTheme="minorEastAsia"/>
                <w:color w:val="000000" w:themeColor="text1"/>
                <w:sz w:val="20"/>
                <w:szCs w:val="20"/>
              </w:rPr>
              <w:t xml:space="preserve">Middle </w:t>
            </w:r>
          </w:p>
        </w:tc>
        <w:tc>
          <w:tcPr>
            <w:tcW w:w="896" w:type="dxa"/>
            <w:gridSpan w:val="2"/>
            <w:tcBorders>
              <w:top w:val="single" w:sz="12" w:space="0" w:color="auto"/>
              <w:left w:val="nil"/>
              <w:bottom w:val="single" w:sz="12" w:space="0" w:color="auto"/>
              <w:right w:val="nil"/>
            </w:tcBorders>
            <w:shd w:val="clear" w:color="auto" w:fill="FFFFFF" w:themeFill="background1"/>
            <w:noWrap/>
            <w:vAlign w:val="bottom"/>
          </w:tcPr>
          <w:p w14:paraId="51EC38F2" w14:textId="5AF94733" w:rsidR="00DC3ED3" w:rsidRPr="00DB5EFD" w:rsidRDefault="009C7064" w:rsidP="00F12147">
            <w:pPr>
              <w:rPr>
                <w:rFonts w:cstheme="minorBidi"/>
                <w:b/>
              </w:rPr>
            </w:pPr>
            <w:r>
              <w:rPr>
                <w:rFonts w:eastAsiaTheme="minorEastAsia"/>
                <w:color w:val="000000" w:themeColor="text1"/>
                <w:sz w:val="20"/>
                <w:szCs w:val="20"/>
              </w:rPr>
              <w:t xml:space="preserve">High </w:t>
            </w:r>
          </w:p>
        </w:tc>
        <w:tc>
          <w:tcPr>
            <w:tcW w:w="263" w:type="dxa"/>
            <w:gridSpan w:val="2"/>
            <w:tcBorders>
              <w:top w:val="single" w:sz="12" w:space="0" w:color="auto"/>
              <w:left w:val="nil"/>
              <w:bottom w:val="single" w:sz="12" w:space="0" w:color="auto"/>
              <w:right w:val="nil"/>
            </w:tcBorders>
            <w:shd w:val="clear" w:color="auto" w:fill="FFFFFF" w:themeFill="background1"/>
            <w:vAlign w:val="bottom"/>
          </w:tcPr>
          <w:p w14:paraId="6E5175AD" w14:textId="77777777" w:rsidR="00DC3ED3" w:rsidRPr="00DB5EFD" w:rsidRDefault="00DC3ED3" w:rsidP="00F12147">
            <w:pPr>
              <w:rPr>
                <w:rFonts w:cstheme="minorBidi"/>
              </w:rPr>
            </w:pPr>
          </w:p>
        </w:tc>
        <w:tc>
          <w:tcPr>
            <w:tcW w:w="900" w:type="dxa"/>
            <w:tcBorders>
              <w:top w:val="single" w:sz="12" w:space="0" w:color="auto"/>
              <w:left w:val="nil"/>
              <w:bottom w:val="single" w:sz="12" w:space="0" w:color="auto"/>
              <w:right w:val="nil"/>
            </w:tcBorders>
            <w:shd w:val="clear" w:color="auto" w:fill="FFFFFF" w:themeFill="background1"/>
            <w:noWrap/>
            <w:vAlign w:val="bottom"/>
          </w:tcPr>
          <w:p w14:paraId="461C5EEA" w14:textId="282D6278" w:rsidR="00DC3ED3" w:rsidRPr="00DB5EFD" w:rsidRDefault="009C7064" w:rsidP="00F12147">
            <w:pPr>
              <w:rPr>
                <w:rFonts w:cstheme="minorBidi"/>
              </w:rPr>
            </w:pPr>
            <w:r>
              <w:rPr>
                <w:rFonts w:eastAsiaTheme="minorEastAsia"/>
                <w:color w:val="000000" w:themeColor="text1"/>
                <w:sz w:val="20"/>
                <w:szCs w:val="20"/>
              </w:rPr>
              <w:t>Low</w:t>
            </w:r>
          </w:p>
        </w:tc>
        <w:tc>
          <w:tcPr>
            <w:tcW w:w="822" w:type="dxa"/>
            <w:tcBorders>
              <w:top w:val="single" w:sz="12" w:space="0" w:color="auto"/>
              <w:left w:val="nil"/>
              <w:bottom w:val="single" w:sz="12" w:space="0" w:color="auto"/>
              <w:right w:val="nil"/>
            </w:tcBorders>
            <w:shd w:val="clear" w:color="auto" w:fill="FFFFFF" w:themeFill="background1"/>
            <w:noWrap/>
            <w:vAlign w:val="bottom"/>
          </w:tcPr>
          <w:p w14:paraId="49721498" w14:textId="7027617E" w:rsidR="00DC3ED3" w:rsidRPr="00DB5EFD" w:rsidRDefault="00DC3ED3" w:rsidP="00F12147">
            <w:pPr>
              <w:rPr>
                <w:rFonts w:cstheme="minorBidi"/>
                <w:b/>
              </w:rPr>
            </w:pPr>
            <w:r w:rsidRPr="1BC1F171">
              <w:rPr>
                <w:rFonts w:eastAsiaTheme="minorEastAsia"/>
                <w:color w:val="000000" w:themeColor="text1"/>
                <w:sz w:val="20"/>
                <w:szCs w:val="20"/>
              </w:rPr>
              <w:t xml:space="preserve">Middle </w:t>
            </w:r>
          </w:p>
        </w:tc>
        <w:tc>
          <w:tcPr>
            <w:tcW w:w="828" w:type="dxa"/>
            <w:tcBorders>
              <w:top w:val="single" w:sz="12" w:space="0" w:color="auto"/>
              <w:left w:val="nil"/>
              <w:bottom w:val="single" w:sz="12" w:space="0" w:color="auto"/>
              <w:right w:val="nil"/>
            </w:tcBorders>
            <w:shd w:val="clear" w:color="auto" w:fill="FFFFFF" w:themeFill="background1"/>
            <w:noWrap/>
            <w:vAlign w:val="bottom"/>
          </w:tcPr>
          <w:p w14:paraId="388CE00A" w14:textId="31B80E5D" w:rsidR="00DC3ED3" w:rsidRPr="00DB5EFD" w:rsidRDefault="009C7064" w:rsidP="00F12147">
            <w:pPr>
              <w:rPr>
                <w:rFonts w:cstheme="minorBidi"/>
                <w:b/>
              </w:rPr>
            </w:pPr>
            <w:r>
              <w:rPr>
                <w:rFonts w:eastAsiaTheme="minorEastAsia"/>
                <w:color w:val="000000" w:themeColor="text1"/>
                <w:sz w:val="20"/>
                <w:szCs w:val="20"/>
              </w:rPr>
              <w:t xml:space="preserve">High </w:t>
            </w:r>
          </w:p>
        </w:tc>
        <w:tc>
          <w:tcPr>
            <w:tcW w:w="251" w:type="dxa"/>
            <w:tcBorders>
              <w:top w:val="single" w:sz="12" w:space="0" w:color="auto"/>
              <w:left w:val="nil"/>
              <w:bottom w:val="single" w:sz="12" w:space="0" w:color="auto"/>
              <w:right w:val="nil"/>
            </w:tcBorders>
            <w:shd w:val="clear" w:color="auto" w:fill="FFFFFF" w:themeFill="background1"/>
            <w:vAlign w:val="bottom"/>
          </w:tcPr>
          <w:p w14:paraId="0F7BAACA" w14:textId="77777777" w:rsidR="00DC3ED3" w:rsidRPr="00DB5EFD" w:rsidRDefault="00DC3ED3" w:rsidP="00F12147">
            <w:pPr>
              <w:rPr>
                <w:rFonts w:cstheme="minorBidi"/>
                <w:b/>
              </w:rPr>
            </w:pPr>
          </w:p>
        </w:tc>
        <w:tc>
          <w:tcPr>
            <w:tcW w:w="852" w:type="dxa"/>
            <w:tcBorders>
              <w:top w:val="single" w:sz="12" w:space="0" w:color="auto"/>
              <w:left w:val="nil"/>
              <w:bottom w:val="single" w:sz="12" w:space="0" w:color="auto"/>
              <w:right w:val="nil"/>
            </w:tcBorders>
            <w:shd w:val="clear" w:color="auto" w:fill="FFFFFF" w:themeFill="background1"/>
            <w:noWrap/>
            <w:vAlign w:val="bottom"/>
          </w:tcPr>
          <w:p w14:paraId="1653C1FB" w14:textId="6845CFC1" w:rsidR="00DC3ED3" w:rsidRPr="00DB5EFD" w:rsidRDefault="009C7064" w:rsidP="00F12147">
            <w:pPr>
              <w:rPr>
                <w:rFonts w:cstheme="minorBidi"/>
                <w:b/>
              </w:rPr>
            </w:pPr>
            <w:r>
              <w:rPr>
                <w:rFonts w:eastAsiaTheme="minorEastAsia"/>
                <w:color w:val="000000" w:themeColor="text1"/>
                <w:sz w:val="20"/>
                <w:szCs w:val="20"/>
              </w:rPr>
              <w:t>Low</w:t>
            </w:r>
          </w:p>
        </w:tc>
        <w:tc>
          <w:tcPr>
            <w:tcW w:w="904" w:type="dxa"/>
            <w:tcBorders>
              <w:top w:val="single" w:sz="12" w:space="0" w:color="auto"/>
              <w:left w:val="nil"/>
              <w:bottom w:val="single" w:sz="12" w:space="0" w:color="auto"/>
              <w:right w:val="nil"/>
            </w:tcBorders>
            <w:shd w:val="clear" w:color="auto" w:fill="FFFFFF" w:themeFill="background1"/>
            <w:noWrap/>
            <w:vAlign w:val="bottom"/>
          </w:tcPr>
          <w:p w14:paraId="26456F4F" w14:textId="557FC69B" w:rsidR="00DC3ED3" w:rsidRPr="00DB5EFD" w:rsidRDefault="00DC3ED3" w:rsidP="00F12147">
            <w:pPr>
              <w:rPr>
                <w:rFonts w:cstheme="minorBidi"/>
                <w:b/>
              </w:rPr>
            </w:pPr>
            <w:r w:rsidRPr="1BC1F171">
              <w:rPr>
                <w:rFonts w:eastAsiaTheme="minorEastAsia"/>
                <w:color w:val="000000" w:themeColor="text1"/>
                <w:sz w:val="20"/>
                <w:szCs w:val="20"/>
              </w:rPr>
              <w:t xml:space="preserve">Middle </w:t>
            </w:r>
          </w:p>
        </w:tc>
        <w:tc>
          <w:tcPr>
            <w:tcW w:w="883" w:type="dxa"/>
            <w:tcBorders>
              <w:top w:val="single" w:sz="12" w:space="0" w:color="auto"/>
              <w:left w:val="nil"/>
              <w:bottom w:val="single" w:sz="12" w:space="0" w:color="auto"/>
              <w:right w:val="nil"/>
            </w:tcBorders>
            <w:shd w:val="clear" w:color="auto" w:fill="FFFFFF" w:themeFill="background1"/>
            <w:noWrap/>
            <w:vAlign w:val="bottom"/>
          </w:tcPr>
          <w:p w14:paraId="50CBFB38" w14:textId="6CC56C26" w:rsidR="00DC3ED3" w:rsidRPr="00DB5EFD" w:rsidRDefault="009C7064" w:rsidP="00F12147">
            <w:pPr>
              <w:rPr>
                <w:rFonts w:cstheme="minorBidi"/>
              </w:rPr>
            </w:pPr>
            <w:r>
              <w:rPr>
                <w:rFonts w:eastAsiaTheme="minorEastAsia"/>
                <w:color w:val="000000" w:themeColor="text1"/>
                <w:sz w:val="20"/>
                <w:szCs w:val="20"/>
              </w:rPr>
              <w:t xml:space="preserve">High </w:t>
            </w:r>
          </w:p>
        </w:tc>
      </w:tr>
      <w:tr w:rsidR="00DC3ED3" w:rsidRPr="00DB5EFD" w14:paraId="41E9B83C" w14:textId="77777777" w:rsidTr="6A9E2235">
        <w:trPr>
          <w:trHeight w:val="340"/>
        </w:trPr>
        <w:tc>
          <w:tcPr>
            <w:tcW w:w="1475" w:type="dxa"/>
            <w:tcBorders>
              <w:top w:val="nil"/>
              <w:left w:val="nil"/>
              <w:bottom w:val="nil"/>
              <w:right w:val="nil"/>
            </w:tcBorders>
            <w:shd w:val="clear" w:color="auto" w:fill="auto"/>
            <w:noWrap/>
            <w:vAlign w:val="bottom"/>
          </w:tcPr>
          <w:p w14:paraId="6A0E4C5C" w14:textId="77777777" w:rsidR="00DC3ED3" w:rsidRDefault="00DC3ED3" w:rsidP="004B1105">
            <w:pPr>
              <w:rPr>
                <w:rFonts w:cstheme="minorBidi"/>
                <w:color w:val="000000"/>
              </w:rPr>
            </w:pPr>
            <w:bookmarkStart w:id="51" w:name="_Hlk160699776"/>
            <w:r w:rsidRPr="1BC1F171">
              <w:rPr>
                <w:rFonts w:cstheme="minorBidi"/>
                <w:color w:val="000000" w:themeColor="text1"/>
              </w:rPr>
              <w:t>Black</w:t>
            </w:r>
          </w:p>
        </w:tc>
        <w:tc>
          <w:tcPr>
            <w:tcW w:w="900" w:type="dxa"/>
            <w:tcBorders>
              <w:top w:val="single" w:sz="12" w:space="0" w:color="auto"/>
              <w:left w:val="nil"/>
              <w:bottom w:val="nil"/>
              <w:right w:val="nil"/>
            </w:tcBorders>
            <w:shd w:val="clear" w:color="auto" w:fill="FFFFFF" w:themeFill="background1"/>
            <w:noWrap/>
            <w:vAlign w:val="bottom"/>
          </w:tcPr>
          <w:p w14:paraId="419456CA" w14:textId="77777777" w:rsidR="00DC3ED3" w:rsidRPr="00DB5EFD" w:rsidRDefault="00DC3ED3" w:rsidP="00F12147">
            <w:pPr>
              <w:rPr>
                <w:rFonts w:cstheme="minorBidi"/>
              </w:rPr>
            </w:pPr>
            <w:r w:rsidRPr="1BC1F171">
              <w:rPr>
                <w:rFonts w:ascii="Calibri" w:hAnsi="Calibri" w:cs="Calibri"/>
                <w:color w:val="000000" w:themeColor="text1"/>
              </w:rPr>
              <w:t>616</w:t>
            </w:r>
          </w:p>
        </w:tc>
        <w:tc>
          <w:tcPr>
            <w:tcW w:w="865" w:type="dxa"/>
            <w:tcBorders>
              <w:top w:val="single" w:sz="12" w:space="0" w:color="auto"/>
              <w:left w:val="nil"/>
              <w:bottom w:val="nil"/>
              <w:right w:val="nil"/>
            </w:tcBorders>
            <w:shd w:val="clear" w:color="auto" w:fill="FFFFFF" w:themeFill="background1"/>
            <w:noWrap/>
            <w:vAlign w:val="bottom"/>
          </w:tcPr>
          <w:p w14:paraId="72D25667" w14:textId="77777777" w:rsidR="00DC3ED3" w:rsidRPr="00DB5EFD" w:rsidRDefault="00DC3ED3" w:rsidP="00F12147">
            <w:pPr>
              <w:rPr>
                <w:rFonts w:cstheme="minorBidi"/>
              </w:rPr>
            </w:pPr>
            <w:r w:rsidRPr="1BC1F171">
              <w:rPr>
                <w:rFonts w:ascii="Calibri" w:hAnsi="Calibri" w:cs="Calibri"/>
                <w:color w:val="000000" w:themeColor="text1"/>
              </w:rPr>
              <w:t>615</w:t>
            </w:r>
          </w:p>
        </w:tc>
        <w:tc>
          <w:tcPr>
            <w:tcW w:w="896" w:type="dxa"/>
            <w:gridSpan w:val="2"/>
            <w:tcBorders>
              <w:top w:val="single" w:sz="12" w:space="0" w:color="auto"/>
              <w:left w:val="nil"/>
              <w:bottom w:val="nil"/>
              <w:right w:val="nil"/>
            </w:tcBorders>
            <w:shd w:val="clear" w:color="auto" w:fill="FFFFFF" w:themeFill="background1"/>
            <w:noWrap/>
            <w:vAlign w:val="bottom"/>
          </w:tcPr>
          <w:p w14:paraId="0A499127" w14:textId="77777777" w:rsidR="00DC3ED3" w:rsidRPr="00DB5EFD" w:rsidRDefault="00DC3ED3" w:rsidP="00F12147">
            <w:pPr>
              <w:rPr>
                <w:rFonts w:cstheme="minorBidi"/>
                <w:b/>
              </w:rPr>
            </w:pPr>
            <w:r w:rsidRPr="1BC1F171">
              <w:rPr>
                <w:rFonts w:ascii="Calibri" w:hAnsi="Calibri" w:cs="Calibri"/>
                <w:color w:val="000000" w:themeColor="text1"/>
              </w:rPr>
              <w:t>334</w:t>
            </w:r>
          </w:p>
        </w:tc>
        <w:tc>
          <w:tcPr>
            <w:tcW w:w="263" w:type="dxa"/>
            <w:gridSpan w:val="2"/>
            <w:tcBorders>
              <w:top w:val="single" w:sz="12" w:space="0" w:color="auto"/>
              <w:left w:val="nil"/>
              <w:bottom w:val="nil"/>
              <w:right w:val="nil"/>
            </w:tcBorders>
            <w:shd w:val="clear" w:color="auto" w:fill="FFFFFF" w:themeFill="background1"/>
            <w:vAlign w:val="bottom"/>
          </w:tcPr>
          <w:p w14:paraId="43522FA7" w14:textId="77777777" w:rsidR="00DC3ED3" w:rsidRPr="00DB5EFD" w:rsidRDefault="00DC3ED3" w:rsidP="00F12147">
            <w:pPr>
              <w:rPr>
                <w:rFonts w:cstheme="minorBidi"/>
              </w:rPr>
            </w:pPr>
          </w:p>
        </w:tc>
        <w:tc>
          <w:tcPr>
            <w:tcW w:w="900" w:type="dxa"/>
            <w:tcBorders>
              <w:top w:val="single" w:sz="12" w:space="0" w:color="auto"/>
              <w:left w:val="nil"/>
              <w:bottom w:val="nil"/>
              <w:right w:val="nil"/>
            </w:tcBorders>
            <w:shd w:val="clear" w:color="auto" w:fill="FFFFFF" w:themeFill="background1"/>
            <w:noWrap/>
            <w:vAlign w:val="bottom"/>
          </w:tcPr>
          <w:p w14:paraId="42FAF322" w14:textId="77777777" w:rsidR="00DC3ED3" w:rsidRPr="00DB5EFD" w:rsidRDefault="00DC3ED3" w:rsidP="00F12147">
            <w:pPr>
              <w:rPr>
                <w:rFonts w:cstheme="minorBidi"/>
              </w:rPr>
            </w:pPr>
            <w:r w:rsidRPr="1BC1F171">
              <w:rPr>
                <w:rFonts w:ascii="Calibri" w:hAnsi="Calibri" w:cs="Calibri"/>
                <w:color w:val="000000" w:themeColor="text1"/>
              </w:rPr>
              <w:t>352</w:t>
            </w:r>
          </w:p>
        </w:tc>
        <w:tc>
          <w:tcPr>
            <w:tcW w:w="822" w:type="dxa"/>
            <w:tcBorders>
              <w:top w:val="single" w:sz="12" w:space="0" w:color="auto"/>
              <w:left w:val="nil"/>
              <w:bottom w:val="nil"/>
              <w:right w:val="nil"/>
            </w:tcBorders>
            <w:shd w:val="clear" w:color="auto" w:fill="FFFFFF" w:themeFill="background1"/>
            <w:noWrap/>
            <w:vAlign w:val="bottom"/>
          </w:tcPr>
          <w:p w14:paraId="304E348C" w14:textId="77777777" w:rsidR="00DC3ED3" w:rsidRPr="00DB5EFD" w:rsidRDefault="00DC3ED3" w:rsidP="00F12147">
            <w:pPr>
              <w:rPr>
                <w:rFonts w:cstheme="minorBidi"/>
                <w:b/>
              </w:rPr>
            </w:pPr>
            <w:r w:rsidRPr="1BC1F171">
              <w:rPr>
                <w:rFonts w:ascii="Calibri" w:hAnsi="Calibri" w:cs="Calibri"/>
                <w:color w:val="000000" w:themeColor="text1"/>
              </w:rPr>
              <w:t>399</w:t>
            </w:r>
          </w:p>
        </w:tc>
        <w:tc>
          <w:tcPr>
            <w:tcW w:w="828" w:type="dxa"/>
            <w:tcBorders>
              <w:top w:val="single" w:sz="12" w:space="0" w:color="auto"/>
              <w:left w:val="nil"/>
              <w:bottom w:val="nil"/>
              <w:right w:val="nil"/>
            </w:tcBorders>
            <w:shd w:val="clear" w:color="auto" w:fill="FFFFFF" w:themeFill="background1"/>
            <w:noWrap/>
            <w:vAlign w:val="bottom"/>
          </w:tcPr>
          <w:p w14:paraId="4342A67E" w14:textId="77777777" w:rsidR="00DC3ED3" w:rsidRPr="00DB5EFD" w:rsidRDefault="00DC3ED3" w:rsidP="00F12147">
            <w:pPr>
              <w:rPr>
                <w:rFonts w:cstheme="minorBidi"/>
                <w:b/>
              </w:rPr>
            </w:pPr>
            <w:r w:rsidRPr="1BC1F171">
              <w:rPr>
                <w:rFonts w:ascii="Calibri" w:hAnsi="Calibri" w:cs="Calibri"/>
                <w:color w:val="000000" w:themeColor="text1"/>
              </w:rPr>
              <w:t>256</w:t>
            </w:r>
          </w:p>
        </w:tc>
        <w:tc>
          <w:tcPr>
            <w:tcW w:w="251" w:type="dxa"/>
            <w:tcBorders>
              <w:top w:val="single" w:sz="12" w:space="0" w:color="auto"/>
              <w:left w:val="nil"/>
              <w:bottom w:val="nil"/>
              <w:right w:val="nil"/>
            </w:tcBorders>
            <w:shd w:val="clear" w:color="auto" w:fill="FFFFFF" w:themeFill="background1"/>
            <w:vAlign w:val="bottom"/>
          </w:tcPr>
          <w:p w14:paraId="6EF9FC1F" w14:textId="77777777" w:rsidR="00DC3ED3" w:rsidRPr="00DB5EFD" w:rsidRDefault="00DC3ED3" w:rsidP="00F12147">
            <w:pPr>
              <w:rPr>
                <w:rFonts w:cstheme="minorBidi"/>
                <w:b/>
              </w:rPr>
            </w:pPr>
          </w:p>
        </w:tc>
        <w:tc>
          <w:tcPr>
            <w:tcW w:w="852" w:type="dxa"/>
            <w:tcBorders>
              <w:top w:val="single" w:sz="12" w:space="0" w:color="auto"/>
              <w:left w:val="nil"/>
              <w:bottom w:val="nil"/>
              <w:right w:val="nil"/>
            </w:tcBorders>
            <w:shd w:val="clear" w:color="auto" w:fill="FFFFFF" w:themeFill="background1"/>
            <w:noWrap/>
            <w:vAlign w:val="bottom"/>
          </w:tcPr>
          <w:p w14:paraId="074A34FD" w14:textId="77777777" w:rsidR="00DC3ED3" w:rsidRPr="00DB5EFD" w:rsidRDefault="00DC3ED3" w:rsidP="00F12147">
            <w:pPr>
              <w:rPr>
                <w:rFonts w:cstheme="minorBidi"/>
                <w:b/>
              </w:rPr>
            </w:pPr>
            <w:r w:rsidRPr="1BC1F171">
              <w:rPr>
                <w:rFonts w:ascii="Calibri" w:hAnsi="Calibri" w:cs="Calibri"/>
                <w:color w:val="000000" w:themeColor="text1"/>
              </w:rPr>
              <w:t>352</w:t>
            </w:r>
          </w:p>
        </w:tc>
        <w:tc>
          <w:tcPr>
            <w:tcW w:w="904" w:type="dxa"/>
            <w:tcBorders>
              <w:top w:val="single" w:sz="12" w:space="0" w:color="auto"/>
              <w:left w:val="nil"/>
              <w:bottom w:val="nil"/>
              <w:right w:val="nil"/>
            </w:tcBorders>
            <w:shd w:val="clear" w:color="auto" w:fill="FFFFFF" w:themeFill="background1"/>
            <w:noWrap/>
            <w:vAlign w:val="bottom"/>
          </w:tcPr>
          <w:p w14:paraId="44DF8DF9" w14:textId="77777777" w:rsidR="00DC3ED3" w:rsidRPr="00DB5EFD" w:rsidRDefault="00DC3ED3" w:rsidP="00F12147">
            <w:pPr>
              <w:rPr>
                <w:rFonts w:cstheme="minorBidi"/>
                <w:b/>
              </w:rPr>
            </w:pPr>
            <w:r w:rsidRPr="1BC1F171">
              <w:rPr>
                <w:rFonts w:ascii="Calibri" w:hAnsi="Calibri" w:cs="Calibri"/>
                <w:color w:val="000000" w:themeColor="text1"/>
              </w:rPr>
              <w:t>399</w:t>
            </w:r>
          </w:p>
        </w:tc>
        <w:tc>
          <w:tcPr>
            <w:tcW w:w="883" w:type="dxa"/>
            <w:tcBorders>
              <w:top w:val="single" w:sz="12" w:space="0" w:color="auto"/>
              <w:left w:val="nil"/>
              <w:bottom w:val="nil"/>
              <w:right w:val="nil"/>
            </w:tcBorders>
            <w:shd w:val="clear" w:color="auto" w:fill="FFFFFF" w:themeFill="background1"/>
            <w:noWrap/>
            <w:vAlign w:val="bottom"/>
          </w:tcPr>
          <w:p w14:paraId="4F566EE9" w14:textId="77777777" w:rsidR="00DC3ED3" w:rsidRPr="00DB5EFD" w:rsidRDefault="00DC3ED3" w:rsidP="00F12147">
            <w:pPr>
              <w:rPr>
                <w:rFonts w:cstheme="minorBidi"/>
              </w:rPr>
            </w:pPr>
            <w:r w:rsidRPr="1BC1F171">
              <w:rPr>
                <w:rFonts w:ascii="Calibri" w:hAnsi="Calibri" w:cs="Calibri"/>
                <w:color w:val="000000" w:themeColor="text1"/>
              </w:rPr>
              <w:t>256</w:t>
            </w:r>
          </w:p>
        </w:tc>
      </w:tr>
      <w:tr w:rsidR="00DC3ED3" w:rsidRPr="00DB5EFD" w14:paraId="4D1C9E44" w14:textId="77777777" w:rsidTr="6A9E2235">
        <w:trPr>
          <w:trHeight w:val="340"/>
        </w:trPr>
        <w:tc>
          <w:tcPr>
            <w:tcW w:w="1475" w:type="dxa"/>
            <w:tcBorders>
              <w:top w:val="nil"/>
              <w:left w:val="nil"/>
              <w:bottom w:val="nil"/>
              <w:right w:val="nil"/>
            </w:tcBorders>
            <w:shd w:val="clear" w:color="auto" w:fill="auto"/>
            <w:noWrap/>
            <w:vAlign w:val="bottom"/>
          </w:tcPr>
          <w:p w14:paraId="3E4DBC99" w14:textId="77777777" w:rsidR="00DC3ED3" w:rsidRDefault="00DC3ED3" w:rsidP="004B1105">
            <w:pPr>
              <w:rPr>
                <w:rFonts w:cstheme="minorBidi"/>
                <w:color w:val="000000"/>
              </w:rPr>
            </w:pPr>
            <w:r w:rsidRPr="1BC1F171">
              <w:rPr>
                <w:rFonts w:cstheme="minorBidi"/>
                <w:color w:val="000000" w:themeColor="text1"/>
              </w:rPr>
              <w:t>Latinx</w:t>
            </w:r>
          </w:p>
        </w:tc>
        <w:tc>
          <w:tcPr>
            <w:tcW w:w="900" w:type="dxa"/>
            <w:tcBorders>
              <w:top w:val="nil"/>
              <w:left w:val="nil"/>
              <w:bottom w:val="nil"/>
              <w:right w:val="nil"/>
            </w:tcBorders>
            <w:shd w:val="clear" w:color="auto" w:fill="FFFFFF" w:themeFill="background1"/>
            <w:noWrap/>
            <w:vAlign w:val="bottom"/>
          </w:tcPr>
          <w:p w14:paraId="47491B83" w14:textId="77777777" w:rsidR="00DC3ED3" w:rsidRPr="00DB5EFD" w:rsidRDefault="00DC3ED3" w:rsidP="00F12147">
            <w:pPr>
              <w:rPr>
                <w:rFonts w:cstheme="minorBidi"/>
              </w:rPr>
            </w:pPr>
            <w:r w:rsidRPr="1BC1F171">
              <w:rPr>
                <w:rFonts w:ascii="Calibri" w:hAnsi="Calibri" w:cs="Calibri"/>
                <w:color w:val="000000" w:themeColor="text1"/>
              </w:rPr>
              <w:t>161</w:t>
            </w:r>
          </w:p>
        </w:tc>
        <w:tc>
          <w:tcPr>
            <w:tcW w:w="865" w:type="dxa"/>
            <w:tcBorders>
              <w:top w:val="nil"/>
              <w:left w:val="nil"/>
              <w:bottom w:val="nil"/>
              <w:right w:val="nil"/>
            </w:tcBorders>
            <w:shd w:val="clear" w:color="auto" w:fill="FFFFFF" w:themeFill="background1"/>
            <w:noWrap/>
            <w:vAlign w:val="bottom"/>
          </w:tcPr>
          <w:p w14:paraId="5AB159F0" w14:textId="77777777" w:rsidR="00DC3ED3" w:rsidRPr="00DB5EFD" w:rsidRDefault="00DC3ED3" w:rsidP="00F12147">
            <w:pPr>
              <w:rPr>
                <w:rFonts w:cstheme="minorBidi"/>
              </w:rPr>
            </w:pPr>
            <w:r w:rsidRPr="1BC1F171">
              <w:rPr>
                <w:rFonts w:ascii="Calibri" w:hAnsi="Calibri" w:cs="Calibri"/>
                <w:color w:val="000000" w:themeColor="text1"/>
              </w:rPr>
              <w:t>222</w:t>
            </w:r>
          </w:p>
        </w:tc>
        <w:tc>
          <w:tcPr>
            <w:tcW w:w="896" w:type="dxa"/>
            <w:gridSpan w:val="2"/>
            <w:tcBorders>
              <w:top w:val="nil"/>
              <w:left w:val="nil"/>
              <w:bottom w:val="nil"/>
              <w:right w:val="nil"/>
            </w:tcBorders>
            <w:shd w:val="clear" w:color="auto" w:fill="FFFFFF" w:themeFill="background1"/>
            <w:noWrap/>
            <w:vAlign w:val="bottom"/>
          </w:tcPr>
          <w:p w14:paraId="60D434DC" w14:textId="77777777" w:rsidR="00DC3ED3" w:rsidRPr="00DB5EFD" w:rsidRDefault="00DC3ED3" w:rsidP="00F12147">
            <w:pPr>
              <w:rPr>
                <w:rFonts w:cstheme="minorBidi"/>
                <w:b/>
              </w:rPr>
            </w:pPr>
            <w:r w:rsidRPr="1BC1F171">
              <w:rPr>
                <w:rFonts w:ascii="Calibri" w:hAnsi="Calibri" w:cs="Calibri"/>
                <w:color w:val="000000" w:themeColor="text1"/>
              </w:rPr>
              <w:t>238</w:t>
            </w:r>
          </w:p>
        </w:tc>
        <w:tc>
          <w:tcPr>
            <w:tcW w:w="263" w:type="dxa"/>
            <w:gridSpan w:val="2"/>
            <w:tcBorders>
              <w:top w:val="nil"/>
              <w:left w:val="nil"/>
              <w:bottom w:val="nil"/>
              <w:right w:val="nil"/>
            </w:tcBorders>
            <w:shd w:val="clear" w:color="auto" w:fill="FFFFFF" w:themeFill="background1"/>
            <w:vAlign w:val="bottom"/>
          </w:tcPr>
          <w:p w14:paraId="47FCD29C" w14:textId="77777777" w:rsidR="00DC3ED3" w:rsidRPr="00DB5EFD" w:rsidRDefault="00DC3ED3" w:rsidP="00F12147">
            <w:pPr>
              <w:rPr>
                <w:rFonts w:cstheme="minorBidi"/>
              </w:rPr>
            </w:pPr>
          </w:p>
        </w:tc>
        <w:tc>
          <w:tcPr>
            <w:tcW w:w="900" w:type="dxa"/>
            <w:tcBorders>
              <w:top w:val="nil"/>
              <w:left w:val="nil"/>
              <w:bottom w:val="nil"/>
              <w:right w:val="nil"/>
            </w:tcBorders>
            <w:shd w:val="clear" w:color="auto" w:fill="FFFFFF" w:themeFill="background1"/>
            <w:noWrap/>
            <w:vAlign w:val="bottom"/>
          </w:tcPr>
          <w:p w14:paraId="492879B9" w14:textId="77777777" w:rsidR="00DC3ED3" w:rsidRPr="00DB5EFD" w:rsidRDefault="00DC3ED3" w:rsidP="00F12147">
            <w:pPr>
              <w:rPr>
                <w:rFonts w:cstheme="minorBidi"/>
              </w:rPr>
            </w:pPr>
            <w:r w:rsidRPr="1BC1F171">
              <w:rPr>
                <w:rFonts w:ascii="Calibri" w:hAnsi="Calibri" w:cs="Calibri"/>
                <w:color w:val="000000" w:themeColor="text1"/>
              </w:rPr>
              <w:t>98</w:t>
            </w:r>
          </w:p>
        </w:tc>
        <w:tc>
          <w:tcPr>
            <w:tcW w:w="822" w:type="dxa"/>
            <w:tcBorders>
              <w:top w:val="nil"/>
              <w:left w:val="nil"/>
              <w:bottom w:val="nil"/>
              <w:right w:val="nil"/>
            </w:tcBorders>
            <w:shd w:val="clear" w:color="auto" w:fill="FFFFFF" w:themeFill="background1"/>
            <w:noWrap/>
            <w:vAlign w:val="bottom"/>
          </w:tcPr>
          <w:p w14:paraId="30D279E3" w14:textId="77777777" w:rsidR="00DC3ED3" w:rsidRPr="00DB5EFD" w:rsidRDefault="00DC3ED3" w:rsidP="00F12147">
            <w:pPr>
              <w:rPr>
                <w:rFonts w:cstheme="minorBidi"/>
                <w:b/>
              </w:rPr>
            </w:pPr>
            <w:r w:rsidRPr="1BC1F171">
              <w:rPr>
                <w:rFonts w:ascii="Calibri" w:hAnsi="Calibri" w:cs="Calibri"/>
                <w:color w:val="000000" w:themeColor="text1"/>
              </w:rPr>
              <w:t>151</w:t>
            </w:r>
          </w:p>
        </w:tc>
        <w:tc>
          <w:tcPr>
            <w:tcW w:w="828" w:type="dxa"/>
            <w:tcBorders>
              <w:top w:val="nil"/>
              <w:left w:val="nil"/>
              <w:bottom w:val="nil"/>
              <w:right w:val="nil"/>
            </w:tcBorders>
            <w:shd w:val="clear" w:color="auto" w:fill="FFFFFF" w:themeFill="background1"/>
            <w:noWrap/>
            <w:vAlign w:val="bottom"/>
          </w:tcPr>
          <w:p w14:paraId="159ABE7A" w14:textId="77777777" w:rsidR="00DC3ED3" w:rsidRPr="00DB5EFD" w:rsidRDefault="00DC3ED3" w:rsidP="00F12147">
            <w:pPr>
              <w:rPr>
                <w:rFonts w:cstheme="minorBidi"/>
                <w:b/>
              </w:rPr>
            </w:pPr>
            <w:r w:rsidRPr="1BC1F171">
              <w:rPr>
                <w:rFonts w:ascii="Calibri" w:hAnsi="Calibri" w:cs="Calibri"/>
                <w:color w:val="000000" w:themeColor="text1"/>
              </w:rPr>
              <w:t>195</w:t>
            </w:r>
          </w:p>
        </w:tc>
        <w:tc>
          <w:tcPr>
            <w:tcW w:w="251" w:type="dxa"/>
            <w:tcBorders>
              <w:top w:val="nil"/>
              <w:left w:val="nil"/>
              <w:bottom w:val="nil"/>
              <w:right w:val="nil"/>
            </w:tcBorders>
            <w:shd w:val="clear" w:color="auto" w:fill="FFFFFF" w:themeFill="background1"/>
            <w:vAlign w:val="bottom"/>
          </w:tcPr>
          <w:p w14:paraId="6C8A0CF5" w14:textId="77777777" w:rsidR="00DC3ED3" w:rsidRPr="00DB5EFD" w:rsidRDefault="00DC3ED3" w:rsidP="00F12147">
            <w:pPr>
              <w:rPr>
                <w:rFonts w:cstheme="minorBidi"/>
                <w:b/>
              </w:rPr>
            </w:pPr>
          </w:p>
        </w:tc>
        <w:tc>
          <w:tcPr>
            <w:tcW w:w="852" w:type="dxa"/>
            <w:tcBorders>
              <w:top w:val="nil"/>
              <w:left w:val="nil"/>
              <w:bottom w:val="nil"/>
              <w:right w:val="nil"/>
            </w:tcBorders>
            <w:shd w:val="clear" w:color="auto" w:fill="FFFFFF" w:themeFill="background1"/>
            <w:noWrap/>
            <w:vAlign w:val="bottom"/>
          </w:tcPr>
          <w:p w14:paraId="07200D84" w14:textId="77777777" w:rsidR="00DC3ED3" w:rsidRPr="00DB5EFD" w:rsidRDefault="00DC3ED3" w:rsidP="00F12147">
            <w:pPr>
              <w:rPr>
                <w:rFonts w:cstheme="minorBidi"/>
                <w:b/>
              </w:rPr>
            </w:pPr>
            <w:r w:rsidRPr="1BC1F171">
              <w:rPr>
                <w:rFonts w:ascii="Calibri" w:hAnsi="Calibri" w:cs="Calibri"/>
                <w:color w:val="000000" w:themeColor="text1"/>
              </w:rPr>
              <w:t>98</w:t>
            </w:r>
          </w:p>
        </w:tc>
        <w:tc>
          <w:tcPr>
            <w:tcW w:w="904" w:type="dxa"/>
            <w:tcBorders>
              <w:top w:val="nil"/>
              <w:left w:val="nil"/>
              <w:bottom w:val="nil"/>
              <w:right w:val="nil"/>
            </w:tcBorders>
            <w:shd w:val="clear" w:color="auto" w:fill="FFFFFF" w:themeFill="background1"/>
            <w:noWrap/>
            <w:vAlign w:val="bottom"/>
          </w:tcPr>
          <w:p w14:paraId="73B333D4" w14:textId="77777777" w:rsidR="00DC3ED3" w:rsidRPr="00DB5EFD" w:rsidRDefault="00DC3ED3" w:rsidP="00F12147">
            <w:pPr>
              <w:rPr>
                <w:rFonts w:cstheme="minorBidi"/>
                <w:b/>
              </w:rPr>
            </w:pPr>
            <w:r w:rsidRPr="1BC1F171">
              <w:rPr>
                <w:rFonts w:ascii="Calibri" w:hAnsi="Calibri" w:cs="Calibri"/>
                <w:color w:val="000000" w:themeColor="text1"/>
              </w:rPr>
              <w:t>151</w:t>
            </w:r>
          </w:p>
        </w:tc>
        <w:tc>
          <w:tcPr>
            <w:tcW w:w="883" w:type="dxa"/>
            <w:tcBorders>
              <w:top w:val="nil"/>
              <w:left w:val="nil"/>
              <w:bottom w:val="nil"/>
              <w:right w:val="nil"/>
            </w:tcBorders>
            <w:shd w:val="clear" w:color="auto" w:fill="FFFFFF" w:themeFill="background1"/>
            <w:noWrap/>
            <w:vAlign w:val="bottom"/>
          </w:tcPr>
          <w:p w14:paraId="3CD832AB" w14:textId="77777777" w:rsidR="00DC3ED3" w:rsidRPr="00DB5EFD" w:rsidRDefault="00DC3ED3" w:rsidP="00F12147">
            <w:pPr>
              <w:rPr>
                <w:rFonts w:cstheme="minorBidi"/>
              </w:rPr>
            </w:pPr>
            <w:r w:rsidRPr="1BC1F171">
              <w:rPr>
                <w:rFonts w:ascii="Calibri" w:hAnsi="Calibri" w:cs="Calibri"/>
                <w:color w:val="000000" w:themeColor="text1"/>
              </w:rPr>
              <w:t>195</w:t>
            </w:r>
          </w:p>
        </w:tc>
      </w:tr>
      <w:tr w:rsidR="00DC3ED3" w:rsidRPr="00DB5EFD" w14:paraId="0D92620F" w14:textId="77777777" w:rsidTr="6A9E2235">
        <w:trPr>
          <w:trHeight w:val="340"/>
        </w:trPr>
        <w:tc>
          <w:tcPr>
            <w:tcW w:w="1475" w:type="dxa"/>
            <w:tcBorders>
              <w:top w:val="nil"/>
              <w:left w:val="nil"/>
              <w:bottom w:val="nil"/>
              <w:right w:val="nil"/>
            </w:tcBorders>
            <w:shd w:val="clear" w:color="auto" w:fill="auto"/>
            <w:noWrap/>
            <w:vAlign w:val="bottom"/>
          </w:tcPr>
          <w:p w14:paraId="5DF06FDE" w14:textId="77777777" w:rsidR="00DC3ED3" w:rsidRDefault="00DC3ED3" w:rsidP="004B1105">
            <w:pPr>
              <w:rPr>
                <w:rFonts w:cstheme="minorBidi"/>
                <w:color w:val="000000"/>
              </w:rPr>
            </w:pPr>
            <w:r w:rsidRPr="1BC1F171">
              <w:rPr>
                <w:rFonts w:cstheme="minorBidi"/>
                <w:color w:val="000000" w:themeColor="text1"/>
              </w:rPr>
              <w:t>White</w:t>
            </w:r>
          </w:p>
        </w:tc>
        <w:tc>
          <w:tcPr>
            <w:tcW w:w="900" w:type="dxa"/>
            <w:tcBorders>
              <w:top w:val="nil"/>
              <w:left w:val="nil"/>
              <w:bottom w:val="nil"/>
              <w:right w:val="nil"/>
            </w:tcBorders>
            <w:shd w:val="clear" w:color="auto" w:fill="FFFFFF" w:themeFill="background1"/>
            <w:noWrap/>
            <w:vAlign w:val="bottom"/>
          </w:tcPr>
          <w:p w14:paraId="6C007754" w14:textId="77777777" w:rsidR="00DC3ED3" w:rsidRPr="00DB5EFD" w:rsidRDefault="00DC3ED3" w:rsidP="00F12147">
            <w:pPr>
              <w:rPr>
                <w:rFonts w:cstheme="minorBidi"/>
              </w:rPr>
            </w:pPr>
            <w:r w:rsidRPr="1BC1F171">
              <w:rPr>
                <w:rFonts w:ascii="Calibri" w:hAnsi="Calibri" w:cs="Calibri"/>
                <w:color w:val="000000" w:themeColor="text1"/>
              </w:rPr>
              <w:t>256</w:t>
            </w:r>
          </w:p>
        </w:tc>
        <w:tc>
          <w:tcPr>
            <w:tcW w:w="865" w:type="dxa"/>
            <w:tcBorders>
              <w:top w:val="nil"/>
              <w:left w:val="nil"/>
              <w:bottom w:val="nil"/>
              <w:right w:val="nil"/>
            </w:tcBorders>
            <w:shd w:val="clear" w:color="auto" w:fill="FFFFFF" w:themeFill="background1"/>
            <w:noWrap/>
            <w:vAlign w:val="bottom"/>
          </w:tcPr>
          <w:p w14:paraId="68EECFFE" w14:textId="77777777" w:rsidR="00DC3ED3" w:rsidRPr="00DB5EFD" w:rsidRDefault="00DC3ED3" w:rsidP="00F12147">
            <w:pPr>
              <w:rPr>
                <w:rFonts w:cstheme="minorBidi"/>
              </w:rPr>
            </w:pPr>
            <w:r w:rsidRPr="1BC1F171">
              <w:rPr>
                <w:rFonts w:ascii="Calibri" w:hAnsi="Calibri" w:cs="Calibri"/>
                <w:color w:val="000000" w:themeColor="text1"/>
              </w:rPr>
              <w:t>355</w:t>
            </w:r>
          </w:p>
        </w:tc>
        <w:tc>
          <w:tcPr>
            <w:tcW w:w="896" w:type="dxa"/>
            <w:gridSpan w:val="2"/>
            <w:tcBorders>
              <w:top w:val="nil"/>
              <w:left w:val="nil"/>
              <w:bottom w:val="nil"/>
              <w:right w:val="nil"/>
            </w:tcBorders>
            <w:shd w:val="clear" w:color="auto" w:fill="FFFFFF" w:themeFill="background1"/>
            <w:noWrap/>
            <w:vAlign w:val="bottom"/>
          </w:tcPr>
          <w:p w14:paraId="2CAE347E" w14:textId="77777777" w:rsidR="00DC3ED3" w:rsidRPr="00DB5EFD" w:rsidRDefault="00DC3ED3" w:rsidP="00F12147">
            <w:pPr>
              <w:rPr>
                <w:rFonts w:cstheme="minorBidi"/>
                <w:b/>
              </w:rPr>
            </w:pPr>
            <w:r w:rsidRPr="1BC1F171">
              <w:rPr>
                <w:rFonts w:ascii="Calibri" w:hAnsi="Calibri" w:cs="Calibri"/>
                <w:color w:val="000000" w:themeColor="text1"/>
              </w:rPr>
              <w:t>911</w:t>
            </w:r>
          </w:p>
        </w:tc>
        <w:tc>
          <w:tcPr>
            <w:tcW w:w="263" w:type="dxa"/>
            <w:gridSpan w:val="2"/>
            <w:tcBorders>
              <w:top w:val="nil"/>
              <w:left w:val="nil"/>
              <w:bottom w:val="nil"/>
              <w:right w:val="nil"/>
            </w:tcBorders>
            <w:shd w:val="clear" w:color="auto" w:fill="FFFFFF" w:themeFill="background1"/>
            <w:vAlign w:val="bottom"/>
          </w:tcPr>
          <w:p w14:paraId="32208ADC" w14:textId="77777777" w:rsidR="00DC3ED3" w:rsidRPr="00DB5EFD" w:rsidRDefault="00DC3ED3" w:rsidP="00F12147">
            <w:pPr>
              <w:rPr>
                <w:rFonts w:cstheme="minorBidi"/>
              </w:rPr>
            </w:pPr>
          </w:p>
        </w:tc>
        <w:tc>
          <w:tcPr>
            <w:tcW w:w="900" w:type="dxa"/>
            <w:tcBorders>
              <w:top w:val="nil"/>
              <w:left w:val="nil"/>
              <w:bottom w:val="nil"/>
              <w:right w:val="nil"/>
            </w:tcBorders>
            <w:shd w:val="clear" w:color="auto" w:fill="FFFFFF" w:themeFill="background1"/>
            <w:noWrap/>
            <w:vAlign w:val="bottom"/>
          </w:tcPr>
          <w:p w14:paraId="257BDF88" w14:textId="77777777" w:rsidR="00DC3ED3" w:rsidRPr="00DB5EFD" w:rsidRDefault="00DC3ED3" w:rsidP="00F12147">
            <w:pPr>
              <w:rPr>
                <w:rFonts w:cstheme="minorBidi"/>
              </w:rPr>
            </w:pPr>
            <w:r w:rsidRPr="1BC1F171">
              <w:rPr>
                <w:rFonts w:ascii="Calibri" w:hAnsi="Calibri" w:cs="Calibri"/>
                <w:color w:val="000000" w:themeColor="text1"/>
              </w:rPr>
              <w:t>153</w:t>
            </w:r>
          </w:p>
        </w:tc>
        <w:tc>
          <w:tcPr>
            <w:tcW w:w="822" w:type="dxa"/>
            <w:tcBorders>
              <w:top w:val="nil"/>
              <w:left w:val="nil"/>
              <w:bottom w:val="nil"/>
              <w:right w:val="nil"/>
            </w:tcBorders>
            <w:shd w:val="clear" w:color="auto" w:fill="FFFFFF" w:themeFill="background1"/>
            <w:noWrap/>
            <w:vAlign w:val="bottom"/>
          </w:tcPr>
          <w:p w14:paraId="1C3B346F" w14:textId="77777777" w:rsidR="00DC3ED3" w:rsidRPr="00DB5EFD" w:rsidRDefault="00DC3ED3" w:rsidP="00F12147">
            <w:pPr>
              <w:rPr>
                <w:rFonts w:cstheme="minorBidi"/>
                <w:b/>
              </w:rPr>
            </w:pPr>
            <w:r w:rsidRPr="1BC1F171">
              <w:rPr>
                <w:rFonts w:ascii="Calibri" w:hAnsi="Calibri" w:cs="Calibri"/>
                <w:color w:val="000000" w:themeColor="text1"/>
              </w:rPr>
              <w:t>222</w:t>
            </w:r>
          </w:p>
        </w:tc>
        <w:tc>
          <w:tcPr>
            <w:tcW w:w="828" w:type="dxa"/>
            <w:tcBorders>
              <w:top w:val="nil"/>
              <w:left w:val="nil"/>
              <w:bottom w:val="nil"/>
              <w:right w:val="nil"/>
            </w:tcBorders>
            <w:shd w:val="clear" w:color="auto" w:fill="FFFFFF" w:themeFill="background1"/>
            <w:noWrap/>
            <w:vAlign w:val="bottom"/>
          </w:tcPr>
          <w:p w14:paraId="26573981" w14:textId="77777777" w:rsidR="00DC3ED3" w:rsidRPr="00DB5EFD" w:rsidRDefault="00DC3ED3" w:rsidP="00F12147">
            <w:pPr>
              <w:rPr>
                <w:rFonts w:cstheme="minorBidi"/>
                <w:b/>
              </w:rPr>
            </w:pPr>
            <w:r w:rsidRPr="1BC1F171">
              <w:rPr>
                <w:rFonts w:ascii="Calibri" w:hAnsi="Calibri" w:cs="Calibri"/>
                <w:color w:val="000000" w:themeColor="text1"/>
              </w:rPr>
              <w:t>813</w:t>
            </w:r>
          </w:p>
        </w:tc>
        <w:tc>
          <w:tcPr>
            <w:tcW w:w="251" w:type="dxa"/>
            <w:tcBorders>
              <w:top w:val="nil"/>
              <w:left w:val="nil"/>
              <w:bottom w:val="nil"/>
              <w:right w:val="nil"/>
            </w:tcBorders>
            <w:shd w:val="clear" w:color="auto" w:fill="FFFFFF" w:themeFill="background1"/>
            <w:vAlign w:val="bottom"/>
          </w:tcPr>
          <w:p w14:paraId="7B45BFA9" w14:textId="77777777" w:rsidR="00DC3ED3" w:rsidRPr="00DB5EFD" w:rsidRDefault="00DC3ED3" w:rsidP="00F12147">
            <w:pPr>
              <w:rPr>
                <w:rFonts w:cstheme="minorBidi"/>
                <w:b/>
              </w:rPr>
            </w:pPr>
          </w:p>
        </w:tc>
        <w:tc>
          <w:tcPr>
            <w:tcW w:w="852" w:type="dxa"/>
            <w:tcBorders>
              <w:top w:val="nil"/>
              <w:left w:val="nil"/>
              <w:bottom w:val="nil"/>
              <w:right w:val="nil"/>
            </w:tcBorders>
            <w:shd w:val="clear" w:color="auto" w:fill="FFFFFF" w:themeFill="background1"/>
            <w:noWrap/>
            <w:vAlign w:val="bottom"/>
          </w:tcPr>
          <w:p w14:paraId="3DD6A045" w14:textId="77777777" w:rsidR="00DC3ED3" w:rsidRPr="00DB5EFD" w:rsidRDefault="00DC3ED3" w:rsidP="00F12147">
            <w:pPr>
              <w:rPr>
                <w:rFonts w:cstheme="minorBidi"/>
                <w:b/>
              </w:rPr>
            </w:pPr>
            <w:r w:rsidRPr="1BC1F171">
              <w:rPr>
                <w:rFonts w:ascii="Calibri" w:hAnsi="Calibri" w:cs="Calibri"/>
                <w:color w:val="000000" w:themeColor="text1"/>
              </w:rPr>
              <w:t>153</w:t>
            </w:r>
          </w:p>
        </w:tc>
        <w:tc>
          <w:tcPr>
            <w:tcW w:w="904" w:type="dxa"/>
            <w:tcBorders>
              <w:top w:val="nil"/>
              <w:left w:val="nil"/>
              <w:bottom w:val="nil"/>
              <w:right w:val="nil"/>
            </w:tcBorders>
            <w:shd w:val="clear" w:color="auto" w:fill="FFFFFF" w:themeFill="background1"/>
            <w:noWrap/>
            <w:vAlign w:val="bottom"/>
          </w:tcPr>
          <w:p w14:paraId="6DCF43DE" w14:textId="77777777" w:rsidR="00DC3ED3" w:rsidRPr="00DB5EFD" w:rsidRDefault="00DC3ED3" w:rsidP="00F12147">
            <w:pPr>
              <w:rPr>
                <w:rFonts w:cstheme="minorBidi"/>
                <w:b/>
              </w:rPr>
            </w:pPr>
            <w:r w:rsidRPr="1BC1F171">
              <w:rPr>
                <w:rFonts w:ascii="Calibri" w:hAnsi="Calibri" w:cs="Calibri"/>
                <w:color w:val="000000" w:themeColor="text1"/>
              </w:rPr>
              <w:t>222</w:t>
            </w:r>
          </w:p>
        </w:tc>
        <w:tc>
          <w:tcPr>
            <w:tcW w:w="883" w:type="dxa"/>
            <w:tcBorders>
              <w:top w:val="nil"/>
              <w:left w:val="nil"/>
              <w:bottom w:val="nil"/>
              <w:right w:val="nil"/>
            </w:tcBorders>
            <w:shd w:val="clear" w:color="auto" w:fill="FFFFFF" w:themeFill="background1"/>
            <w:noWrap/>
            <w:vAlign w:val="bottom"/>
          </w:tcPr>
          <w:p w14:paraId="436B7C75" w14:textId="77777777" w:rsidR="00DC3ED3" w:rsidRPr="00DB5EFD" w:rsidRDefault="00DC3ED3" w:rsidP="00F12147">
            <w:pPr>
              <w:rPr>
                <w:rFonts w:cstheme="minorBidi"/>
              </w:rPr>
            </w:pPr>
            <w:r w:rsidRPr="1BC1F171">
              <w:rPr>
                <w:rFonts w:ascii="Calibri" w:hAnsi="Calibri" w:cs="Calibri"/>
                <w:color w:val="000000" w:themeColor="text1"/>
              </w:rPr>
              <w:t>813</w:t>
            </w:r>
          </w:p>
        </w:tc>
      </w:tr>
      <w:tr w:rsidR="00DC3ED3" w:rsidRPr="00DB5EFD" w14:paraId="42FC00E0" w14:textId="77777777" w:rsidTr="6A9E2235">
        <w:trPr>
          <w:trHeight w:val="340"/>
        </w:trPr>
        <w:tc>
          <w:tcPr>
            <w:tcW w:w="1475" w:type="dxa"/>
            <w:tcBorders>
              <w:top w:val="nil"/>
              <w:left w:val="nil"/>
              <w:bottom w:val="single" w:sz="12" w:space="0" w:color="auto"/>
              <w:right w:val="nil"/>
            </w:tcBorders>
            <w:shd w:val="clear" w:color="auto" w:fill="auto"/>
            <w:noWrap/>
            <w:vAlign w:val="bottom"/>
          </w:tcPr>
          <w:p w14:paraId="43C88CDA" w14:textId="295BD340" w:rsidR="00DC3ED3" w:rsidRDefault="00DC3ED3" w:rsidP="004B1105">
            <w:pPr>
              <w:rPr>
                <w:rFonts w:cstheme="minorBidi"/>
                <w:color w:val="000000"/>
              </w:rPr>
            </w:pPr>
            <w:r w:rsidRPr="1BC1F171">
              <w:rPr>
                <w:rFonts w:cstheme="minorBidi"/>
                <w:color w:val="000000" w:themeColor="text1"/>
              </w:rPr>
              <w:t xml:space="preserve">Another </w:t>
            </w:r>
            <w:r w:rsidR="00AB449C">
              <w:rPr>
                <w:rFonts w:cstheme="minorBidi"/>
                <w:color w:val="000000" w:themeColor="text1"/>
              </w:rPr>
              <w:t>R</w:t>
            </w:r>
            <w:r w:rsidR="00AB449C" w:rsidRPr="1BC1F171">
              <w:rPr>
                <w:rFonts w:cstheme="minorBidi"/>
                <w:color w:val="000000" w:themeColor="text1"/>
              </w:rPr>
              <w:t>ace</w:t>
            </w:r>
          </w:p>
        </w:tc>
        <w:tc>
          <w:tcPr>
            <w:tcW w:w="900" w:type="dxa"/>
            <w:tcBorders>
              <w:top w:val="nil"/>
              <w:left w:val="nil"/>
              <w:bottom w:val="single" w:sz="12" w:space="0" w:color="auto"/>
              <w:right w:val="nil"/>
            </w:tcBorders>
            <w:shd w:val="clear" w:color="auto" w:fill="FFFFFF" w:themeFill="background1"/>
            <w:noWrap/>
            <w:vAlign w:val="bottom"/>
          </w:tcPr>
          <w:p w14:paraId="7FD051E5" w14:textId="77777777" w:rsidR="00DC3ED3" w:rsidRPr="00DB5EFD" w:rsidRDefault="00DC3ED3" w:rsidP="00F12147">
            <w:pPr>
              <w:rPr>
                <w:rFonts w:cstheme="minorBidi"/>
              </w:rPr>
            </w:pPr>
            <w:r w:rsidRPr="1BC1F171">
              <w:rPr>
                <w:rFonts w:ascii="Calibri" w:hAnsi="Calibri" w:cs="Calibri"/>
                <w:color w:val="000000" w:themeColor="text1"/>
              </w:rPr>
              <w:t>183</w:t>
            </w:r>
          </w:p>
        </w:tc>
        <w:tc>
          <w:tcPr>
            <w:tcW w:w="865" w:type="dxa"/>
            <w:tcBorders>
              <w:top w:val="nil"/>
              <w:left w:val="nil"/>
              <w:bottom w:val="single" w:sz="12" w:space="0" w:color="auto"/>
              <w:right w:val="nil"/>
            </w:tcBorders>
            <w:shd w:val="clear" w:color="auto" w:fill="FFFFFF" w:themeFill="background1"/>
            <w:noWrap/>
            <w:vAlign w:val="bottom"/>
          </w:tcPr>
          <w:p w14:paraId="75E2C210" w14:textId="77777777" w:rsidR="00DC3ED3" w:rsidRPr="00DB5EFD" w:rsidRDefault="00DC3ED3" w:rsidP="00F12147">
            <w:pPr>
              <w:rPr>
                <w:rFonts w:cstheme="minorBidi"/>
              </w:rPr>
            </w:pPr>
            <w:r w:rsidRPr="1BC1F171">
              <w:rPr>
                <w:rFonts w:ascii="Calibri" w:hAnsi="Calibri" w:cs="Calibri"/>
                <w:color w:val="000000" w:themeColor="text1"/>
              </w:rPr>
              <w:t>167</w:t>
            </w:r>
          </w:p>
        </w:tc>
        <w:tc>
          <w:tcPr>
            <w:tcW w:w="896" w:type="dxa"/>
            <w:gridSpan w:val="2"/>
            <w:tcBorders>
              <w:top w:val="nil"/>
              <w:left w:val="nil"/>
              <w:bottom w:val="single" w:sz="12" w:space="0" w:color="auto"/>
              <w:right w:val="nil"/>
            </w:tcBorders>
            <w:shd w:val="clear" w:color="auto" w:fill="FFFFFF" w:themeFill="background1"/>
            <w:noWrap/>
            <w:vAlign w:val="bottom"/>
          </w:tcPr>
          <w:p w14:paraId="173BD407" w14:textId="77777777" w:rsidR="00DC3ED3" w:rsidRPr="00DB5EFD" w:rsidRDefault="00DC3ED3" w:rsidP="00F12147">
            <w:pPr>
              <w:rPr>
                <w:rFonts w:cstheme="minorBidi"/>
                <w:b/>
              </w:rPr>
            </w:pPr>
            <w:r w:rsidRPr="1BC1F171">
              <w:rPr>
                <w:rFonts w:ascii="Calibri" w:hAnsi="Calibri" w:cs="Calibri"/>
                <w:color w:val="000000" w:themeColor="text1"/>
              </w:rPr>
              <w:t>187</w:t>
            </w:r>
          </w:p>
        </w:tc>
        <w:tc>
          <w:tcPr>
            <w:tcW w:w="263" w:type="dxa"/>
            <w:gridSpan w:val="2"/>
            <w:tcBorders>
              <w:top w:val="nil"/>
              <w:left w:val="nil"/>
              <w:bottom w:val="single" w:sz="12" w:space="0" w:color="auto"/>
              <w:right w:val="nil"/>
            </w:tcBorders>
            <w:shd w:val="clear" w:color="auto" w:fill="FFFFFF" w:themeFill="background1"/>
            <w:vAlign w:val="bottom"/>
          </w:tcPr>
          <w:p w14:paraId="6D41DFE4" w14:textId="77777777" w:rsidR="00DC3ED3" w:rsidRPr="00DB5EFD" w:rsidRDefault="00DC3ED3" w:rsidP="00F12147">
            <w:pPr>
              <w:rPr>
                <w:rFonts w:cstheme="minorBidi"/>
              </w:rPr>
            </w:pPr>
          </w:p>
        </w:tc>
        <w:tc>
          <w:tcPr>
            <w:tcW w:w="900" w:type="dxa"/>
            <w:tcBorders>
              <w:top w:val="nil"/>
              <w:left w:val="nil"/>
              <w:bottom w:val="single" w:sz="12" w:space="0" w:color="auto"/>
              <w:right w:val="nil"/>
            </w:tcBorders>
            <w:shd w:val="clear" w:color="auto" w:fill="FFFFFF" w:themeFill="background1"/>
            <w:noWrap/>
            <w:vAlign w:val="bottom"/>
          </w:tcPr>
          <w:p w14:paraId="13371562" w14:textId="77777777" w:rsidR="00DC3ED3" w:rsidRPr="00DB5EFD" w:rsidRDefault="00DC3ED3" w:rsidP="00F12147">
            <w:pPr>
              <w:rPr>
                <w:rFonts w:cstheme="minorBidi"/>
              </w:rPr>
            </w:pPr>
            <w:r w:rsidRPr="1BC1F171">
              <w:rPr>
                <w:rFonts w:ascii="Calibri" w:hAnsi="Calibri" w:cs="Calibri"/>
                <w:color w:val="000000" w:themeColor="text1"/>
              </w:rPr>
              <w:t>103</w:t>
            </w:r>
          </w:p>
        </w:tc>
        <w:tc>
          <w:tcPr>
            <w:tcW w:w="822" w:type="dxa"/>
            <w:tcBorders>
              <w:top w:val="nil"/>
              <w:left w:val="nil"/>
              <w:bottom w:val="single" w:sz="12" w:space="0" w:color="auto"/>
              <w:right w:val="nil"/>
            </w:tcBorders>
            <w:shd w:val="clear" w:color="auto" w:fill="FFFFFF" w:themeFill="background1"/>
            <w:noWrap/>
            <w:vAlign w:val="bottom"/>
          </w:tcPr>
          <w:p w14:paraId="433C0547" w14:textId="77777777" w:rsidR="00DC3ED3" w:rsidRPr="00DB5EFD" w:rsidRDefault="00DC3ED3" w:rsidP="00F12147">
            <w:pPr>
              <w:rPr>
                <w:rFonts w:cstheme="minorBidi"/>
                <w:b/>
              </w:rPr>
            </w:pPr>
            <w:r w:rsidRPr="1BC1F171">
              <w:rPr>
                <w:rFonts w:ascii="Calibri" w:hAnsi="Calibri" w:cs="Calibri"/>
                <w:color w:val="000000" w:themeColor="text1"/>
              </w:rPr>
              <w:t>123</w:t>
            </w:r>
          </w:p>
        </w:tc>
        <w:tc>
          <w:tcPr>
            <w:tcW w:w="828" w:type="dxa"/>
            <w:tcBorders>
              <w:top w:val="nil"/>
              <w:left w:val="nil"/>
              <w:bottom w:val="single" w:sz="12" w:space="0" w:color="auto"/>
              <w:right w:val="nil"/>
            </w:tcBorders>
            <w:shd w:val="clear" w:color="auto" w:fill="FFFFFF" w:themeFill="background1"/>
            <w:noWrap/>
            <w:vAlign w:val="bottom"/>
          </w:tcPr>
          <w:p w14:paraId="70A342DE" w14:textId="77777777" w:rsidR="00DC3ED3" w:rsidRPr="00DB5EFD" w:rsidRDefault="00DC3ED3" w:rsidP="00F12147">
            <w:pPr>
              <w:rPr>
                <w:rFonts w:cstheme="minorBidi"/>
                <w:b/>
              </w:rPr>
            </w:pPr>
            <w:r w:rsidRPr="1BC1F171">
              <w:rPr>
                <w:rFonts w:ascii="Calibri" w:hAnsi="Calibri" w:cs="Calibri"/>
                <w:color w:val="000000" w:themeColor="text1"/>
              </w:rPr>
              <w:t>152</w:t>
            </w:r>
          </w:p>
        </w:tc>
        <w:tc>
          <w:tcPr>
            <w:tcW w:w="251" w:type="dxa"/>
            <w:tcBorders>
              <w:top w:val="nil"/>
              <w:left w:val="nil"/>
              <w:bottom w:val="single" w:sz="12" w:space="0" w:color="auto"/>
              <w:right w:val="nil"/>
            </w:tcBorders>
            <w:shd w:val="clear" w:color="auto" w:fill="FFFFFF" w:themeFill="background1"/>
            <w:vAlign w:val="bottom"/>
          </w:tcPr>
          <w:p w14:paraId="424922D4" w14:textId="77777777" w:rsidR="00DC3ED3" w:rsidRPr="00DB5EFD" w:rsidRDefault="00DC3ED3" w:rsidP="00F12147">
            <w:pPr>
              <w:rPr>
                <w:rFonts w:cstheme="minorBidi"/>
                <w:b/>
              </w:rPr>
            </w:pPr>
          </w:p>
        </w:tc>
        <w:tc>
          <w:tcPr>
            <w:tcW w:w="852" w:type="dxa"/>
            <w:tcBorders>
              <w:top w:val="nil"/>
              <w:left w:val="nil"/>
              <w:bottom w:val="single" w:sz="12" w:space="0" w:color="auto"/>
              <w:right w:val="nil"/>
            </w:tcBorders>
            <w:shd w:val="clear" w:color="auto" w:fill="FFFFFF" w:themeFill="background1"/>
            <w:noWrap/>
            <w:vAlign w:val="bottom"/>
          </w:tcPr>
          <w:p w14:paraId="0AC9F350" w14:textId="77777777" w:rsidR="00DC3ED3" w:rsidRPr="00DB5EFD" w:rsidRDefault="00DC3ED3" w:rsidP="00F12147">
            <w:pPr>
              <w:rPr>
                <w:rFonts w:cstheme="minorBidi"/>
                <w:b/>
              </w:rPr>
            </w:pPr>
            <w:r w:rsidRPr="1BC1F171">
              <w:rPr>
                <w:rFonts w:ascii="Calibri" w:hAnsi="Calibri" w:cs="Calibri"/>
                <w:color w:val="000000" w:themeColor="text1"/>
              </w:rPr>
              <w:t>103</w:t>
            </w:r>
          </w:p>
        </w:tc>
        <w:tc>
          <w:tcPr>
            <w:tcW w:w="904" w:type="dxa"/>
            <w:tcBorders>
              <w:top w:val="nil"/>
              <w:left w:val="nil"/>
              <w:bottom w:val="single" w:sz="12" w:space="0" w:color="auto"/>
              <w:right w:val="nil"/>
            </w:tcBorders>
            <w:shd w:val="clear" w:color="auto" w:fill="FFFFFF" w:themeFill="background1"/>
            <w:noWrap/>
            <w:vAlign w:val="bottom"/>
          </w:tcPr>
          <w:p w14:paraId="008804CE" w14:textId="77777777" w:rsidR="00DC3ED3" w:rsidRPr="00DB5EFD" w:rsidRDefault="00DC3ED3" w:rsidP="00F12147">
            <w:pPr>
              <w:rPr>
                <w:rFonts w:cstheme="minorBidi"/>
                <w:b/>
              </w:rPr>
            </w:pPr>
            <w:r w:rsidRPr="1BC1F171">
              <w:rPr>
                <w:rFonts w:ascii="Calibri" w:hAnsi="Calibri" w:cs="Calibri"/>
                <w:color w:val="000000" w:themeColor="text1"/>
              </w:rPr>
              <w:t>123</w:t>
            </w:r>
          </w:p>
        </w:tc>
        <w:tc>
          <w:tcPr>
            <w:tcW w:w="883" w:type="dxa"/>
            <w:tcBorders>
              <w:top w:val="nil"/>
              <w:left w:val="nil"/>
              <w:bottom w:val="single" w:sz="12" w:space="0" w:color="auto"/>
              <w:right w:val="nil"/>
            </w:tcBorders>
            <w:shd w:val="clear" w:color="auto" w:fill="FFFFFF" w:themeFill="background1"/>
            <w:noWrap/>
            <w:vAlign w:val="bottom"/>
          </w:tcPr>
          <w:p w14:paraId="7D2D03E9" w14:textId="77777777" w:rsidR="00DC3ED3" w:rsidRPr="00DB5EFD" w:rsidRDefault="00DC3ED3" w:rsidP="00F12147">
            <w:pPr>
              <w:rPr>
                <w:rFonts w:cstheme="minorBidi"/>
              </w:rPr>
            </w:pPr>
            <w:r w:rsidRPr="1BC1F171">
              <w:rPr>
                <w:rFonts w:ascii="Calibri" w:hAnsi="Calibri" w:cs="Calibri"/>
                <w:color w:val="000000" w:themeColor="text1"/>
              </w:rPr>
              <w:t>152</w:t>
            </w:r>
          </w:p>
        </w:tc>
      </w:tr>
      <w:bookmarkEnd w:id="51"/>
      <w:tr w:rsidR="00DC3ED3" w:rsidRPr="00E601EB" w14:paraId="6D736443" w14:textId="77777777" w:rsidTr="6A9E2235">
        <w:trPr>
          <w:trHeight w:val="340"/>
        </w:trPr>
        <w:tc>
          <w:tcPr>
            <w:tcW w:w="1475" w:type="dxa"/>
            <w:tcBorders>
              <w:top w:val="single" w:sz="12" w:space="0" w:color="auto"/>
              <w:left w:val="nil"/>
              <w:bottom w:val="single" w:sz="12" w:space="0" w:color="auto"/>
              <w:right w:val="nil"/>
            </w:tcBorders>
            <w:shd w:val="clear" w:color="auto" w:fill="auto"/>
            <w:noWrap/>
            <w:vAlign w:val="center"/>
          </w:tcPr>
          <w:p w14:paraId="58BA60B9" w14:textId="77777777" w:rsidR="00DC3ED3" w:rsidRPr="00E601EB" w:rsidRDefault="00DC3ED3" w:rsidP="004B1105">
            <w:pPr>
              <w:rPr>
                <w:rFonts w:cstheme="minorBidi"/>
                <w:color w:val="000000"/>
              </w:rPr>
            </w:pPr>
            <w:r w:rsidRPr="1BC1F171">
              <w:rPr>
                <w:rFonts w:cstheme="minorBidi"/>
                <w:color w:val="000000" w:themeColor="text1"/>
              </w:rPr>
              <w:t>Sample</w:t>
            </w:r>
          </w:p>
        </w:tc>
        <w:tc>
          <w:tcPr>
            <w:tcW w:w="2661" w:type="dxa"/>
            <w:gridSpan w:val="4"/>
            <w:tcBorders>
              <w:top w:val="single" w:sz="12" w:space="0" w:color="auto"/>
              <w:left w:val="nil"/>
              <w:bottom w:val="single" w:sz="12" w:space="0" w:color="auto"/>
              <w:right w:val="nil"/>
            </w:tcBorders>
            <w:shd w:val="clear" w:color="auto" w:fill="auto"/>
            <w:noWrap/>
            <w:vAlign w:val="center"/>
          </w:tcPr>
          <w:p w14:paraId="011D80C3" w14:textId="77777777" w:rsidR="00DC3ED3" w:rsidRPr="00E601EB" w:rsidRDefault="00DC3ED3" w:rsidP="00F12147">
            <w:pPr>
              <w:rPr>
                <w:rFonts w:cstheme="minorBidi"/>
              </w:rPr>
            </w:pPr>
            <w:r w:rsidRPr="1BC1F171">
              <w:rPr>
                <w:rFonts w:cstheme="minorBidi"/>
              </w:rPr>
              <w:t>All PSID-TAS Respondents</w:t>
            </w:r>
          </w:p>
        </w:tc>
        <w:tc>
          <w:tcPr>
            <w:tcW w:w="263" w:type="dxa"/>
            <w:gridSpan w:val="2"/>
            <w:tcBorders>
              <w:top w:val="single" w:sz="12" w:space="0" w:color="auto"/>
              <w:left w:val="nil"/>
              <w:bottom w:val="single" w:sz="12" w:space="0" w:color="auto"/>
              <w:right w:val="nil"/>
            </w:tcBorders>
            <w:vAlign w:val="center"/>
          </w:tcPr>
          <w:p w14:paraId="63E16D5D" w14:textId="77777777" w:rsidR="00DC3ED3" w:rsidRPr="00E601EB" w:rsidRDefault="00DC3ED3" w:rsidP="00F12147">
            <w:pPr>
              <w:rPr>
                <w:rFonts w:cstheme="minorBidi"/>
              </w:rPr>
            </w:pPr>
          </w:p>
        </w:tc>
        <w:tc>
          <w:tcPr>
            <w:tcW w:w="2550" w:type="dxa"/>
            <w:gridSpan w:val="3"/>
            <w:tcBorders>
              <w:top w:val="single" w:sz="12" w:space="0" w:color="auto"/>
              <w:left w:val="nil"/>
              <w:bottom w:val="single" w:sz="12" w:space="0" w:color="auto"/>
              <w:right w:val="nil"/>
            </w:tcBorders>
            <w:shd w:val="clear" w:color="auto" w:fill="auto"/>
            <w:noWrap/>
            <w:vAlign w:val="center"/>
          </w:tcPr>
          <w:p w14:paraId="5A2D6F49" w14:textId="77777777" w:rsidR="00DC3ED3" w:rsidRPr="00E601EB" w:rsidRDefault="00DC3ED3" w:rsidP="00F12147">
            <w:pPr>
              <w:rPr>
                <w:rFonts w:cstheme="minorBidi"/>
                <w:b/>
              </w:rPr>
            </w:pPr>
            <w:r w:rsidRPr="1BC1F171">
              <w:rPr>
                <w:rFonts w:cstheme="minorBidi"/>
              </w:rPr>
              <w:t>College Attendees</w:t>
            </w:r>
          </w:p>
        </w:tc>
        <w:tc>
          <w:tcPr>
            <w:tcW w:w="251" w:type="dxa"/>
            <w:tcBorders>
              <w:top w:val="single" w:sz="12" w:space="0" w:color="auto"/>
              <w:left w:val="nil"/>
              <w:bottom w:val="single" w:sz="12" w:space="0" w:color="auto"/>
              <w:right w:val="nil"/>
            </w:tcBorders>
            <w:vAlign w:val="center"/>
          </w:tcPr>
          <w:p w14:paraId="1C133B68" w14:textId="77777777" w:rsidR="00DC3ED3" w:rsidRPr="00E601EB" w:rsidRDefault="00DC3ED3" w:rsidP="00F12147">
            <w:pPr>
              <w:rPr>
                <w:rFonts w:cstheme="minorBidi"/>
              </w:rPr>
            </w:pPr>
          </w:p>
        </w:tc>
        <w:tc>
          <w:tcPr>
            <w:tcW w:w="2639" w:type="dxa"/>
            <w:gridSpan w:val="3"/>
            <w:tcBorders>
              <w:top w:val="single" w:sz="12" w:space="0" w:color="auto"/>
              <w:left w:val="nil"/>
              <w:bottom w:val="single" w:sz="12" w:space="0" w:color="auto"/>
              <w:right w:val="nil"/>
            </w:tcBorders>
            <w:shd w:val="clear" w:color="auto" w:fill="auto"/>
            <w:noWrap/>
            <w:vAlign w:val="center"/>
          </w:tcPr>
          <w:p w14:paraId="28DAD03C" w14:textId="77777777" w:rsidR="00DC3ED3" w:rsidRPr="00E601EB" w:rsidRDefault="00DC3ED3" w:rsidP="00F12147">
            <w:pPr>
              <w:rPr>
                <w:rFonts w:cstheme="minorBidi"/>
                <w:color w:val="000000"/>
              </w:rPr>
            </w:pPr>
            <w:r w:rsidRPr="1BC1F171">
              <w:rPr>
                <w:rFonts w:cstheme="minorBidi"/>
              </w:rPr>
              <w:t>College Attendees</w:t>
            </w:r>
          </w:p>
        </w:tc>
      </w:tr>
      <w:tr w:rsidR="00DC3ED3" w:rsidRPr="00E601EB" w14:paraId="7CB19235" w14:textId="77777777" w:rsidTr="6A9E2235">
        <w:trPr>
          <w:trHeight w:val="340"/>
        </w:trPr>
        <w:tc>
          <w:tcPr>
            <w:tcW w:w="9839" w:type="dxa"/>
            <w:gridSpan w:val="14"/>
            <w:tcBorders>
              <w:top w:val="single" w:sz="12" w:space="0" w:color="auto"/>
              <w:left w:val="nil"/>
              <w:bottom w:val="nil"/>
              <w:right w:val="nil"/>
            </w:tcBorders>
            <w:shd w:val="clear" w:color="auto" w:fill="auto"/>
            <w:noWrap/>
            <w:vAlign w:val="bottom"/>
          </w:tcPr>
          <w:p w14:paraId="2E389C10" w14:textId="5A0D4A94" w:rsidR="00B128B1" w:rsidRPr="00156407" w:rsidRDefault="4A141A6E" w:rsidP="004B1105">
            <w:pPr>
              <w:pStyle w:val="NoSpacing"/>
              <w:rPr>
                <w:rFonts w:eastAsiaTheme="minorEastAsia"/>
                <w:sz w:val="20"/>
                <w:szCs w:val="20"/>
              </w:rPr>
            </w:pPr>
            <w:r w:rsidRPr="007B2D99">
              <w:rPr>
                <w:rFonts w:eastAsiaTheme="minorEastAsia"/>
                <w:sz w:val="20"/>
                <w:szCs w:val="20"/>
              </w:rPr>
              <w:t>Income and wealth are divided into terciles, with all racial and ethnic groups using the same cut</w:t>
            </w:r>
            <w:r w:rsidR="007B2D99">
              <w:rPr>
                <w:rFonts w:eastAsiaTheme="minorEastAsia"/>
                <w:sz w:val="20"/>
                <w:szCs w:val="20"/>
              </w:rPr>
              <w:t xml:space="preserve"> </w:t>
            </w:r>
            <w:r w:rsidRPr="007B2D99">
              <w:rPr>
                <w:rFonts w:eastAsiaTheme="minorEastAsia"/>
                <w:sz w:val="20"/>
                <w:szCs w:val="20"/>
              </w:rPr>
              <w:t>points</w:t>
            </w:r>
            <w:r w:rsidRPr="00F12147">
              <w:rPr>
                <w:rFonts w:eastAsiaTheme="minorEastAsia"/>
                <w:sz w:val="20"/>
                <w:szCs w:val="20"/>
              </w:rPr>
              <w:t xml:space="preserve">. </w:t>
            </w:r>
            <w:r w:rsidR="5BD87EB5" w:rsidRPr="00F12147">
              <w:rPr>
                <w:rFonts w:eastAsiaTheme="minorEastAsia"/>
                <w:sz w:val="20"/>
                <w:szCs w:val="20"/>
              </w:rPr>
              <w:t xml:space="preserve">Degree completion includes the completion of an </w:t>
            </w:r>
            <w:r w:rsidR="00AB449C">
              <w:rPr>
                <w:rFonts w:eastAsiaTheme="minorEastAsia"/>
                <w:sz w:val="20"/>
                <w:szCs w:val="20"/>
              </w:rPr>
              <w:t>a</w:t>
            </w:r>
            <w:r w:rsidR="00AB449C" w:rsidRPr="007B2D99">
              <w:rPr>
                <w:rFonts w:eastAsiaTheme="minorEastAsia"/>
                <w:sz w:val="20"/>
                <w:szCs w:val="20"/>
              </w:rPr>
              <w:t xml:space="preserve">ssociate’s </w:t>
            </w:r>
            <w:r w:rsidR="5BD87EB5" w:rsidRPr="007B2D99">
              <w:rPr>
                <w:rFonts w:eastAsiaTheme="minorEastAsia"/>
                <w:sz w:val="20"/>
                <w:szCs w:val="20"/>
              </w:rPr>
              <w:t xml:space="preserve">degree or </w:t>
            </w:r>
            <w:proofErr w:type="gramStart"/>
            <w:r w:rsidR="5BD87EB5" w:rsidRPr="007B2D99">
              <w:rPr>
                <w:rFonts w:eastAsiaTheme="minorEastAsia"/>
                <w:sz w:val="20"/>
                <w:szCs w:val="20"/>
              </w:rPr>
              <w:t>higher, and</w:t>
            </w:r>
            <w:proofErr w:type="gramEnd"/>
            <w:r w:rsidR="5BD87EB5" w:rsidRPr="007B2D99">
              <w:rPr>
                <w:rFonts w:eastAsiaTheme="minorEastAsia"/>
                <w:sz w:val="20"/>
                <w:szCs w:val="20"/>
              </w:rPr>
              <w:t xml:space="preserve"> does not include certificate completion.</w:t>
            </w:r>
            <w:r w:rsidR="003A1965" w:rsidRPr="007B2D99">
              <w:rPr>
                <w:rFonts w:eastAsiaTheme="minorEastAsia"/>
                <w:sz w:val="20"/>
                <w:szCs w:val="20"/>
              </w:rPr>
              <w:t xml:space="preserve"> </w:t>
            </w:r>
            <w:proofErr w:type="gramStart"/>
            <w:r w:rsidR="003A1965" w:rsidRPr="007B2D99">
              <w:rPr>
                <w:rFonts w:eastAsiaTheme="minorEastAsia"/>
                <w:sz w:val="20"/>
                <w:szCs w:val="20"/>
              </w:rPr>
              <w:t>Sample</w:t>
            </w:r>
            <w:proofErr w:type="gramEnd"/>
            <w:r w:rsidR="003A1965" w:rsidRPr="007B2D99">
              <w:rPr>
                <w:rFonts w:eastAsiaTheme="minorEastAsia"/>
                <w:sz w:val="20"/>
                <w:szCs w:val="20"/>
              </w:rPr>
              <w:t xml:space="preserve"> shown exclude</w:t>
            </w:r>
            <w:r w:rsidR="00B41838">
              <w:rPr>
                <w:rFonts w:eastAsiaTheme="minorEastAsia"/>
                <w:sz w:val="20"/>
                <w:szCs w:val="20"/>
              </w:rPr>
              <w:t>s</w:t>
            </w:r>
            <w:r w:rsidR="003A1965" w:rsidRPr="00156407">
              <w:rPr>
                <w:rFonts w:eastAsiaTheme="minorEastAsia"/>
                <w:sz w:val="20"/>
                <w:szCs w:val="20"/>
              </w:rPr>
              <w:t xml:space="preserve"> cases assigned a longitudinal weight of zero, as well as 31 </w:t>
            </w:r>
            <w:r w:rsidR="007A7BB2" w:rsidRPr="00156407">
              <w:rPr>
                <w:rFonts w:eastAsiaTheme="minorEastAsia"/>
                <w:sz w:val="20"/>
                <w:szCs w:val="20"/>
              </w:rPr>
              <w:t xml:space="preserve">individuals </w:t>
            </w:r>
            <w:r w:rsidR="003A1965" w:rsidRPr="00156407">
              <w:rPr>
                <w:rFonts w:eastAsiaTheme="minorEastAsia"/>
                <w:sz w:val="20"/>
                <w:szCs w:val="20"/>
              </w:rPr>
              <w:t>with no reported race and ethnicity data.</w:t>
            </w:r>
          </w:p>
          <w:p w14:paraId="3C21EDEE" w14:textId="47AA0578" w:rsidR="00DC3ED3" w:rsidRPr="00E15048" w:rsidRDefault="003A0646" w:rsidP="004B1105">
            <w:pPr>
              <w:rPr>
                <w:rFonts w:cstheme="minorBidi"/>
                <w:i/>
                <w:iCs/>
              </w:rPr>
            </w:pPr>
            <w:r w:rsidRPr="00156407">
              <w:rPr>
                <w:rFonts w:eastAsiaTheme="minorEastAsia"/>
                <w:sz w:val="20"/>
                <w:szCs w:val="20"/>
              </w:rPr>
              <w:t>Source</w:t>
            </w:r>
            <w:r w:rsidR="00DC3ED3" w:rsidRPr="00156407">
              <w:rPr>
                <w:rFonts w:eastAsiaTheme="minorEastAsia"/>
                <w:sz w:val="20"/>
                <w:szCs w:val="20"/>
              </w:rPr>
              <w:t>: IHEP analysis of PSID-TAS data (2005–2019).</w:t>
            </w:r>
          </w:p>
        </w:tc>
      </w:tr>
    </w:tbl>
    <w:p w14:paraId="00A583F4" w14:textId="77777777" w:rsidR="00151166" w:rsidRDefault="00151166" w:rsidP="004B1105"/>
    <w:p w14:paraId="1B9C1511" w14:textId="77777777" w:rsidR="00DC3ED3" w:rsidRDefault="00DC3ED3" w:rsidP="004B1105"/>
    <w:p w14:paraId="598D1EFA" w14:textId="77777777" w:rsidR="001D57D4" w:rsidRDefault="001D57D4" w:rsidP="004B1105"/>
    <w:p w14:paraId="589B3C66" w14:textId="77777777" w:rsidR="001D57D4" w:rsidRDefault="001D57D4" w:rsidP="004B1105"/>
    <w:p w14:paraId="11E10188" w14:textId="77777777" w:rsidR="001D57D4" w:rsidRDefault="001D57D4" w:rsidP="004B1105"/>
    <w:p w14:paraId="46A2D07D" w14:textId="77777777" w:rsidR="001D57D4" w:rsidRDefault="001D57D4" w:rsidP="004B1105"/>
    <w:p w14:paraId="7DD3D623" w14:textId="77777777" w:rsidR="001D57D4" w:rsidRDefault="001D57D4" w:rsidP="004B1105"/>
    <w:p w14:paraId="7D8CB530" w14:textId="77777777" w:rsidR="001D57D4" w:rsidRDefault="001D57D4" w:rsidP="004B1105"/>
    <w:p w14:paraId="6FC57BCB" w14:textId="77777777" w:rsidR="001D57D4" w:rsidRDefault="001D57D4" w:rsidP="004B1105"/>
    <w:p w14:paraId="3B4EB523" w14:textId="77777777" w:rsidR="001D57D4" w:rsidRDefault="001D57D4" w:rsidP="004B1105"/>
    <w:p w14:paraId="5508ACE8" w14:textId="77777777" w:rsidR="001D57D4" w:rsidRDefault="001D57D4" w:rsidP="004B1105"/>
    <w:p w14:paraId="0E2F2B52" w14:textId="77777777" w:rsidR="001D57D4" w:rsidRDefault="001D57D4" w:rsidP="004B1105"/>
    <w:p w14:paraId="35BCB4A4" w14:textId="77777777" w:rsidR="001D57D4" w:rsidRDefault="001D57D4" w:rsidP="004B1105"/>
    <w:p w14:paraId="51B4C147" w14:textId="77777777" w:rsidR="001D57D4" w:rsidRDefault="001D57D4" w:rsidP="004B1105"/>
    <w:p w14:paraId="09BD9258" w14:textId="77777777" w:rsidR="001D57D4" w:rsidRDefault="001D57D4" w:rsidP="004B1105"/>
    <w:p w14:paraId="534666AE" w14:textId="77777777" w:rsidR="001D57D4" w:rsidRDefault="001D57D4" w:rsidP="004B1105"/>
    <w:p w14:paraId="37A3F47D" w14:textId="77777777" w:rsidR="001D57D4" w:rsidRDefault="001D57D4" w:rsidP="004B1105"/>
    <w:p w14:paraId="689B2B50" w14:textId="77777777" w:rsidR="001D57D4" w:rsidRDefault="001D57D4" w:rsidP="004B1105"/>
    <w:p w14:paraId="6C8962AD" w14:textId="77777777" w:rsidR="001D57D4" w:rsidRDefault="001D57D4" w:rsidP="004B1105"/>
    <w:p w14:paraId="01C13919" w14:textId="77777777" w:rsidR="001D57D4" w:rsidRDefault="001D57D4" w:rsidP="004B1105"/>
    <w:p w14:paraId="70176784" w14:textId="77777777" w:rsidR="001D57D4" w:rsidRDefault="001D57D4" w:rsidP="004B1105"/>
    <w:p w14:paraId="7621D6C2" w14:textId="77777777" w:rsidR="001D57D4" w:rsidRDefault="001D57D4" w:rsidP="004B1105"/>
    <w:p w14:paraId="1C2C2616" w14:textId="77777777" w:rsidR="001D57D4" w:rsidRDefault="001D57D4" w:rsidP="004B1105"/>
    <w:p w14:paraId="61582B88" w14:textId="77777777" w:rsidR="001D57D4" w:rsidRDefault="001D57D4" w:rsidP="004B1105"/>
    <w:tbl>
      <w:tblPr>
        <w:tblW w:w="9993" w:type="dxa"/>
        <w:tblLayout w:type="fixed"/>
        <w:tblLook w:val="04A0" w:firstRow="1" w:lastRow="0" w:firstColumn="1" w:lastColumn="0" w:noHBand="0" w:noVBand="1"/>
      </w:tblPr>
      <w:tblGrid>
        <w:gridCol w:w="1705"/>
        <w:gridCol w:w="900"/>
        <w:gridCol w:w="810"/>
        <w:gridCol w:w="815"/>
        <w:gridCol w:w="360"/>
        <w:gridCol w:w="900"/>
        <w:gridCol w:w="900"/>
        <w:gridCol w:w="813"/>
        <w:gridCol w:w="270"/>
        <w:gridCol w:w="900"/>
        <w:gridCol w:w="810"/>
        <w:gridCol w:w="810"/>
      </w:tblGrid>
      <w:tr w:rsidR="00DC3ED3" w:rsidRPr="0010735C" w14:paraId="180104B4" w14:textId="77777777" w:rsidTr="6A9E2235">
        <w:trPr>
          <w:trHeight w:val="287"/>
        </w:trPr>
        <w:tc>
          <w:tcPr>
            <w:tcW w:w="9993" w:type="dxa"/>
            <w:gridSpan w:val="12"/>
            <w:tcBorders>
              <w:bottom w:val="single" w:sz="12" w:space="0" w:color="auto"/>
            </w:tcBorders>
            <w:vAlign w:val="bottom"/>
          </w:tcPr>
          <w:p w14:paraId="176EFD88" w14:textId="4EAC1217" w:rsidR="00DC3ED3" w:rsidRPr="0010735C" w:rsidRDefault="00DC3ED3" w:rsidP="004B1105">
            <w:pPr>
              <w:textAlignment w:val="baseline"/>
              <w:rPr>
                <w:rFonts w:eastAsiaTheme="minorEastAsia"/>
                <w:b/>
                <w:bCs/>
              </w:rPr>
            </w:pPr>
            <w:r w:rsidRPr="0010735C">
              <w:rPr>
                <w:b/>
                <w:bCs/>
              </w:rPr>
              <w:lastRenderedPageBreak/>
              <w:t xml:space="preserve">Table </w:t>
            </w:r>
            <w:r w:rsidR="005141C3">
              <w:rPr>
                <w:b/>
                <w:bCs/>
              </w:rPr>
              <w:t>A-</w:t>
            </w:r>
            <w:r w:rsidR="00AF49EC">
              <w:rPr>
                <w:b/>
                <w:bCs/>
              </w:rPr>
              <w:t>3</w:t>
            </w:r>
            <w:r w:rsidR="005F6AF2">
              <w:rPr>
                <w:b/>
                <w:bCs/>
              </w:rPr>
              <w:t>.</w:t>
            </w:r>
            <w:r w:rsidR="007905FF">
              <w:t xml:space="preserve"> </w:t>
            </w:r>
            <w:r w:rsidRPr="001979DE">
              <w:t>Enrollment, Completion, and Borrowing</w:t>
            </w:r>
            <w:r w:rsidR="004B63D9">
              <w:t>,</w:t>
            </w:r>
            <w:r w:rsidRPr="001979DE">
              <w:t xml:space="preserve"> by Race</w:t>
            </w:r>
            <w:r w:rsidR="00021FFE">
              <w:t xml:space="preserve"> and </w:t>
            </w:r>
            <w:r w:rsidRPr="001979DE">
              <w:t xml:space="preserve">Ethnicity </w:t>
            </w:r>
            <w:r>
              <w:t>(</w:t>
            </w:r>
            <w:r w:rsidRPr="001979DE">
              <w:t>Income and Wealth</w:t>
            </w:r>
            <w:r>
              <w:t xml:space="preserve"> Combined) </w:t>
            </w:r>
            <w:r w:rsidR="0018616D">
              <w:t xml:space="preserve">Unweighted </w:t>
            </w:r>
            <w:r>
              <w:t>Sample Sizes</w:t>
            </w:r>
          </w:p>
        </w:tc>
      </w:tr>
      <w:tr w:rsidR="00DC3ED3" w:rsidRPr="002639E9" w14:paraId="753C8739" w14:textId="77777777" w:rsidTr="6A9E2235">
        <w:trPr>
          <w:trHeight w:val="320"/>
        </w:trPr>
        <w:tc>
          <w:tcPr>
            <w:tcW w:w="1705" w:type="dxa"/>
            <w:vMerge w:val="restart"/>
            <w:tcBorders>
              <w:top w:val="single" w:sz="12" w:space="0" w:color="auto"/>
            </w:tcBorders>
            <w:shd w:val="clear" w:color="auto" w:fill="auto"/>
            <w:noWrap/>
            <w:vAlign w:val="bottom"/>
            <w:hideMark/>
          </w:tcPr>
          <w:p w14:paraId="7A1E2D00" w14:textId="240C31AB" w:rsidR="00DC3ED3" w:rsidRPr="0032279B" w:rsidRDefault="00DC3ED3" w:rsidP="004B1105">
            <w:pPr>
              <w:ind w:right="-106"/>
              <w:rPr>
                <w:rFonts w:eastAsiaTheme="minorEastAsia"/>
                <w:bCs/>
              </w:rPr>
            </w:pPr>
            <w:r w:rsidRPr="1BC1F171">
              <w:rPr>
                <w:rFonts w:eastAsiaTheme="minorEastAsia"/>
                <w:color w:val="000000" w:themeColor="text1"/>
              </w:rPr>
              <w:t xml:space="preserve">Race </w:t>
            </w:r>
            <w:r w:rsidR="00EF43BE">
              <w:rPr>
                <w:rFonts w:eastAsiaTheme="minorEastAsia"/>
                <w:color w:val="000000" w:themeColor="text1"/>
              </w:rPr>
              <w:t>and</w:t>
            </w:r>
            <w:r w:rsidR="00EF43BE" w:rsidRPr="1BC1F171">
              <w:rPr>
                <w:rFonts w:eastAsiaTheme="minorEastAsia"/>
                <w:color w:val="000000" w:themeColor="text1"/>
              </w:rPr>
              <w:t xml:space="preserve"> </w:t>
            </w:r>
            <w:r w:rsidRPr="1BC1F171">
              <w:rPr>
                <w:rFonts w:eastAsiaTheme="minorEastAsia"/>
                <w:color w:val="000000" w:themeColor="text1"/>
              </w:rPr>
              <w:t xml:space="preserve">Ethnicity by Income </w:t>
            </w:r>
          </w:p>
        </w:tc>
        <w:tc>
          <w:tcPr>
            <w:tcW w:w="2525" w:type="dxa"/>
            <w:gridSpan w:val="3"/>
            <w:tcBorders>
              <w:top w:val="single" w:sz="12" w:space="0" w:color="auto"/>
              <w:bottom w:val="single" w:sz="12" w:space="0" w:color="auto"/>
            </w:tcBorders>
            <w:shd w:val="clear" w:color="auto" w:fill="auto"/>
            <w:noWrap/>
            <w:vAlign w:val="bottom"/>
            <w:hideMark/>
          </w:tcPr>
          <w:p w14:paraId="72B1615E" w14:textId="77777777" w:rsidR="00DC3ED3" w:rsidRPr="002639E9" w:rsidRDefault="00DC3ED3" w:rsidP="00F12147">
            <w:pPr>
              <w:rPr>
                <w:rFonts w:eastAsiaTheme="minorEastAsia"/>
                <w:color w:val="000000"/>
              </w:rPr>
            </w:pPr>
            <w:r w:rsidRPr="1BC1F171">
              <w:rPr>
                <w:rFonts w:eastAsiaTheme="minorEastAsia"/>
                <w:color w:val="000000" w:themeColor="text1"/>
              </w:rPr>
              <w:t>% Attended College</w:t>
            </w:r>
          </w:p>
        </w:tc>
        <w:tc>
          <w:tcPr>
            <w:tcW w:w="360" w:type="dxa"/>
            <w:tcBorders>
              <w:top w:val="single" w:sz="12" w:space="0" w:color="auto"/>
              <w:bottom w:val="single" w:sz="12" w:space="0" w:color="auto"/>
            </w:tcBorders>
            <w:vAlign w:val="bottom"/>
          </w:tcPr>
          <w:p w14:paraId="19F14378" w14:textId="77777777" w:rsidR="00DC3ED3" w:rsidRPr="002639E9" w:rsidRDefault="00DC3ED3" w:rsidP="00F12147">
            <w:pPr>
              <w:rPr>
                <w:rFonts w:eastAsiaTheme="minorEastAsia"/>
                <w:color w:val="000000"/>
              </w:rPr>
            </w:pPr>
          </w:p>
        </w:tc>
        <w:tc>
          <w:tcPr>
            <w:tcW w:w="2613" w:type="dxa"/>
            <w:gridSpan w:val="3"/>
            <w:tcBorders>
              <w:top w:val="single" w:sz="12" w:space="0" w:color="auto"/>
              <w:bottom w:val="single" w:sz="12" w:space="0" w:color="auto"/>
            </w:tcBorders>
            <w:shd w:val="clear" w:color="auto" w:fill="auto"/>
            <w:noWrap/>
            <w:vAlign w:val="bottom"/>
            <w:hideMark/>
          </w:tcPr>
          <w:p w14:paraId="57B610DC" w14:textId="77777777" w:rsidR="00DC3ED3" w:rsidRPr="002639E9" w:rsidRDefault="00DC3ED3" w:rsidP="00F12147">
            <w:pPr>
              <w:rPr>
                <w:rFonts w:eastAsiaTheme="minorEastAsia"/>
                <w:color w:val="000000"/>
              </w:rPr>
            </w:pPr>
            <w:r w:rsidRPr="1BC1F171">
              <w:rPr>
                <w:rFonts w:eastAsiaTheme="minorEastAsia"/>
                <w:color w:val="000000" w:themeColor="text1"/>
              </w:rPr>
              <w:t>% Completed Degree</w:t>
            </w:r>
          </w:p>
        </w:tc>
        <w:tc>
          <w:tcPr>
            <w:tcW w:w="270" w:type="dxa"/>
            <w:tcBorders>
              <w:top w:val="single" w:sz="12" w:space="0" w:color="auto"/>
              <w:bottom w:val="single" w:sz="12" w:space="0" w:color="auto"/>
            </w:tcBorders>
            <w:vAlign w:val="bottom"/>
          </w:tcPr>
          <w:p w14:paraId="7EB19F96" w14:textId="77777777" w:rsidR="00DC3ED3" w:rsidRPr="002639E9" w:rsidRDefault="00DC3ED3" w:rsidP="00F12147">
            <w:pPr>
              <w:rPr>
                <w:rFonts w:eastAsiaTheme="minorEastAsia"/>
                <w:color w:val="000000"/>
              </w:rPr>
            </w:pPr>
          </w:p>
        </w:tc>
        <w:tc>
          <w:tcPr>
            <w:tcW w:w="2520" w:type="dxa"/>
            <w:gridSpan w:val="3"/>
            <w:tcBorders>
              <w:top w:val="single" w:sz="12" w:space="0" w:color="auto"/>
              <w:bottom w:val="single" w:sz="12" w:space="0" w:color="auto"/>
            </w:tcBorders>
            <w:shd w:val="clear" w:color="auto" w:fill="auto"/>
            <w:noWrap/>
            <w:vAlign w:val="bottom"/>
            <w:hideMark/>
          </w:tcPr>
          <w:p w14:paraId="7F442B42" w14:textId="77777777" w:rsidR="00DC3ED3" w:rsidRPr="002639E9" w:rsidRDefault="00DC3ED3" w:rsidP="00F12147">
            <w:pPr>
              <w:rPr>
                <w:rFonts w:eastAsiaTheme="minorEastAsia"/>
                <w:color w:val="000000"/>
              </w:rPr>
            </w:pPr>
            <w:r w:rsidRPr="1BC1F171">
              <w:rPr>
                <w:rFonts w:eastAsiaTheme="minorEastAsia"/>
                <w:color w:val="000000" w:themeColor="text1"/>
              </w:rPr>
              <w:t>% Ever Borrowed</w:t>
            </w:r>
          </w:p>
        </w:tc>
      </w:tr>
      <w:tr w:rsidR="00DC3ED3" w:rsidRPr="007927A4" w14:paraId="4FB8AC4D" w14:textId="77777777" w:rsidTr="6A9E2235">
        <w:trPr>
          <w:trHeight w:val="340"/>
        </w:trPr>
        <w:tc>
          <w:tcPr>
            <w:tcW w:w="1705" w:type="dxa"/>
            <w:vMerge/>
            <w:noWrap/>
            <w:vAlign w:val="bottom"/>
            <w:hideMark/>
          </w:tcPr>
          <w:p w14:paraId="2E1C867A" w14:textId="77777777" w:rsidR="00DC3ED3" w:rsidRPr="007927A4" w:rsidRDefault="00DC3ED3" w:rsidP="004B1105">
            <w:pPr>
              <w:rPr>
                <w:rFonts w:cstheme="minorHAnsi"/>
                <w:b/>
                <w:color w:val="000000"/>
              </w:rPr>
            </w:pPr>
          </w:p>
        </w:tc>
        <w:tc>
          <w:tcPr>
            <w:tcW w:w="900" w:type="dxa"/>
            <w:tcBorders>
              <w:top w:val="single" w:sz="12" w:space="0" w:color="auto"/>
              <w:bottom w:val="single" w:sz="12" w:space="0" w:color="auto"/>
            </w:tcBorders>
            <w:shd w:val="clear" w:color="auto" w:fill="auto"/>
            <w:noWrap/>
            <w:vAlign w:val="bottom"/>
            <w:hideMark/>
          </w:tcPr>
          <w:p w14:paraId="175FB809" w14:textId="00FDC5D9" w:rsidR="00DC3ED3" w:rsidRDefault="00C80AEF" w:rsidP="00F12147">
            <w:pPr>
              <w:rPr>
                <w:rFonts w:eastAsiaTheme="minorEastAsia"/>
                <w:color w:val="000000"/>
                <w:sz w:val="20"/>
                <w:szCs w:val="20"/>
              </w:rPr>
            </w:pPr>
            <w:r>
              <w:rPr>
                <w:rFonts w:eastAsiaTheme="minorEastAsia"/>
                <w:color w:val="000000" w:themeColor="text1"/>
                <w:sz w:val="20"/>
                <w:szCs w:val="20"/>
              </w:rPr>
              <w:t>Low</w:t>
            </w:r>
          </w:p>
          <w:p w14:paraId="4E23F035" w14:textId="77777777" w:rsidR="00DC3ED3" w:rsidRPr="00A81AB1" w:rsidRDefault="00DC3ED3" w:rsidP="00F12147">
            <w:pPr>
              <w:rPr>
                <w:rFonts w:eastAsiaTheme="minorEastAsia"/>
                <w:color w:val="000000"/>
                <w:sz w:val="20"/>
                <w:szCs w:val="20"/>
              </w:rPr>
            </w:pPr>
            <w:r w:rsidRPr="1BC1F171">
              <w:rPr>
                <w:rFonts w:eastAsiaTheme="minorEastAsia"/>
                <w:color w:val="000000" w:themeColor="text1"/>
                <w:sz w:val="20"/>
                <w:szCs w:val="20"/>
              </w:rPr>
              <w:t>Wealth</w:t>
            </w:r>
          </w:p>
        </w:tc>
        <w:tc>
          <w:tcPr>
            <w:tcW w:w="810" w:type="dxa"/>
            <w:tcBorders>
              <w:top w:val="single" w:sz="12" w:space="0" w:color="auto"/>
              <w:bottom w:val="single" w:sz="12" w:space="0" w:color="auto"/>
            </w:tcBorders>
            <w:shd w:val="clear" w:color="auto" w:fill="auto"/>
            <w:noWrap/>
            <w:vAlign w:val="bottom"/>
            <w:hideMark/>
          </w:tcPr>
          <w:p w14:paraId="53C31145" w14:textId="77777777" w:rsidR="00DC3ED3" w:rsidRPr="00A81AB1" w:rsidRDefault="00DC3ED3" w:rsidP="00F12147">
            <w:pPr>
              <w:rPr>
                <w:rFonts w:eastAsiaTheme="minorEastAsia"/>
                <w:color w:val="000000"/>
                <w:sz w:val="20"/>
                <w:szCs w:val="20"/>
              </w:rPr>
            </w:pPr>
            <w:r w:rsidRPr="1BC1F171">
              <w:rPr>
                <w:rFonts w:eastAsiaTheme="minorEastAsia"/>
                <w:color w:val="000000" w:themeColor="text1"/>
                <w:sz w:val="20"/>
                <w:szCs w:val="20"/>
              </w:rPr>
              <w:t>Middle Wealth</w:t>
            </w:r>
          </w:p>
        </w:tc>
        <w:tc>
          <w:tcPr>
            <w:tcW w:w="815" w:type="dxa"/>
            <w:tcBorders>
              <w:top w:val="single" w:sz="12" w:space="0" w:color="auto"/>
              <w:bottom w:val="single" w:sz="12" w:space="0" w:color="auto"/>
            </w:tcBorders>
            <w:shd w:val="clear" w:color="auto" w:fill="auto"/>
            <w:noWrap/>
            <w:vAlign w:val="bottom"/>
            <w:hideMark/>
          </w:tcPr>
          <w:p w14:paraId="7D7A731B" w14:textId="659259B4" w:rsidR="00DC3ED3" w:rsidRPr="00A81AB1" w:rsidRDefault="00C80AEF" w:rsidP="00F12147">
            <w:pPr>
              <w:rPr>
                <w:rFonts w:eastAsiaTheme="minorEastAsia"/>
                <w:color w:val="000000"/>
                <w:sz w:val="20"/>
                <w:szCs w:val="20"/>
              </w:rPr>
            </w:pPr>
            <w:r>
              <w:rPr>
                <w:rFonts w:eastAsiaTheme="minorEastAsia"/>
                <w:color w:val="000000" w:themeColor="text1"/>
                <w:sz w:val="20"/>
                <w:szCs w:val="20"/>
              </w:rPr>
              <w:t>High</w:t>
            </w:r>
            <w:r w:rsidR="00DC3ED3">
              <w:rPr>
                <w:rFonts w:eastAsiaTheme="minorEastAsia"/>
                <w:color w:val="000000" w:themeColor="text1"/>
                <w:sz w:val="20"/>
                <w:szCs w:val="20"/>
              </w:rPr>
              <w:t xml:space="preserve"> </w:t>
            </w:r>
            <w:r w:rsidR="00DC3ED3" w:rsidRPr="1BC1F171">
              <w:rPr>
                <w:rFonts w:eastAsiaTheme="minorEastAsia"/>
                <w:color w:val="000000" w:themeColor="text1"/>
                <w:sz w:val="20"/>
                <w:szCs w:val="20"/>
              </w:rPr>
              <w:t>Wealth</w:t>
            </w:r>
          </w:p>
        </w:tc>
        <w:tc>
          <w:tcPr>
            <w:tcW w:w="360" w:type="dxa"/>
            <w:tcBorders>
              <w:top w:val="single" w:sz="12" w:space="0" w:color="auto"/>
              <w:bottom w:val="single" w:sz="12" w:space="0" w:color="auto"/>
            </w:tcBorders>
            <w:vAlign w:val="bottom"/>
          </w:tcPr>
          <w:p w14:paraId="5D9EDA5A" w14:textId="77777777" w:rsidR="00DC3ED3" w:rsidRPr="00A81AB1" w:rsidRDefault="00DC3ED3" w:rsidP="00F12147">
            <w:pPr>
              <w:rPr>
                <w:rFonts w:eastAsiaTheme="minorEastAsia"/>
                <w:color w:val="000000"/>
                <w:sz w:val="20"/>
                <w:szCs w:val="20"/>
              </w:rPr>
            </w:pPr>
          </w:p>
        </w:tc>
        <w:tc>
          <w:tcPr>
            <w:tcW w:w="900" w:type="dxa"/>
            <w:tcBorders>
              <w:top w:val="single" w:sz="12" w:space="0" w:color="auto"/>
              <w:bottom w:val="single" w:sz="12" w:space="0" w:color="auto"/>
            </w:tcBorders>
            <w:shd w:val="clear" w:color="auto" w:fill="auto"/>
            <w:noWrap/>
            <w:vAlign w:val="bottom"/>
            <w:hideMark/>
          </w:tcPr>
          <w:p w14:paraId="322B9F2A" w14:textId="3C96FA0F" w:rsidR="00DC3ED3" w:rsidRDefault="00C80AEF" w:rsidP="00F12147">
            <w:pPr>
              <w:rPr>
                <w:rFonts w:eastAsiaTheme="minorEastAsia"/>
                <w:color w:val="000000"/>
                <w:sz w:val="20"/>
                <w:szCs w:val="20"/>
              </w:rPr>
            </w:pPr>
            <w:r>
              <w:rPr>
                <w:rFonts w:eastAsiaTheme="minorEastAsia"/>
                <w:color w:val="000000" w:themeColor="text1"/>
                <w:sz w:val="20"/>
                <w:szCs w:val="20"/>
              </w:rPr>
              <w:t>Low</w:t>
            </w:r>
          </w:p>
          <w:p w14:paraId="4E85DA62" w14:textId="77777777" w:rsidR="00DC3ED3" w:rsidRPr="007927A4" w:rsidRDefault="00DC3ED3" w:rsidP="00F12147">
            <w:pPr>
              <w:rPr>
                <w:rFonts w:eastAsiaTheme="minorEastAsia"/>
                <w:color w:val="000000"/>
              </w:rPr>
            </w:pPr>
            <w:r w:rsidRPr="1BC1F171">
              <w:rPr>
                <w:rFonts w:eastAsiaTheme="minorEastAsia"/>
                <w:color w:val="000000" w:themeColor="text1"/>
                <w:sz w:val="20"/>
                <w:szCs w:val="20"/>
              </w:rPr>
              <w:t>Wealth</w:t>
            </w:r>
          </w:p>
        </w:tc>
        <w:tc>
          <w:tcPr>
            <w:tcW w:w="900" w:type="dxa"/>
            <w:tcBorders>
              <w:top w:val="single" w:sz="12" w:space="0" w:color="auto"/>
              <w:bottom w:val="single" w:sz="12" w:space="0" w:color="auto"/>
            </w:tcBorders>
            <w:shd w:val="clear" w:color="auto" w:fill="auto"/>
            <w:noWrap/>
            <w:vAlign w:val="bottom"/>
            <w:hideMark/>
          </w:tcPr>
          <w:p w14:paraId="0017D06D" w14:textId="77777777" w:rsidR="00DC3ED3" w:rsidRPr="007927A4" w:rsidRDefault="00DC3ED3" w:rsidP="00F12147">
            <w:pPr>
              <w:rPr>
                <w:rFonts w:eastAsiaTheme="minorEastAsia"/>
                <w:color w:val="000000"/>
              </w:rPr>
            </w:pPr>
            <w:r w:rsidRPr="1BC1F171">
              <w:rPr>
                <w:rFonts w:eastAsiaTheme="minorEastAsia"/>
                <w:color w:val="000000" w:themeColor="text1"/>
                <w:sz w:val="20"/>
                <w:szCs w:val="20"/>
              </w:rPr>
              <w:t>Middle Wealth</w:t>
            </w:r>
          </w:p>
        </w:tc>
        <w:tc>
          <w:tcPr>
            <w:tcW w:w="813" w:type="dxa"/>
            <w:tcBorders>
              <w:top w:val="single" w:sz="12" w:space="0" w:color="auto"/>
              <w:bottom w:val="single" w:sz="12" w:space="0" w:color="auto"/>
            </w:tcBorders>
            <w:shd w:val="clear" w:color="auto" w:fill="auto"/>
            <w:noWrap/>
            <w:vAlign w:val="bottom"/>
            <w:hideMark/>
          </w:tcPr>
          <w:p w14:paraId="2CA38B83" w14:textId="664280FA" w:rsidR="00DC3ED3" w:rsidRPr="007927A4" w:rsidRDefault="00C80AEF" w:rsidP="00F12147">
            <w:pPr>
              <w:rPr>
                <w:rFonts w:eastAsiaTheme="minorEastAsia"/>
                <w:color w:val="000000"/>
              </w:rPr>
            </w:pPr>
            <w:r>
              <w:rPr>
                <w:rFonts w:eastAsiaTheme="minorEastAsia"/>
                <w:color w:val="000000" w:themeColor="text1"/>
                <w:sz w:val="20"/>
                <w:szCs w:val="20"/>
              </w:rPr>
              <w:t>High</w:t>
            </w:r>
            <w:r w:rsidR="00DC3ED3">
              <w:rPr>
                <w:rFonts w:eastAsiaTheme="minorEastAsia"/>
                <w:color w:val="000000" w:themeColor="text1"/>
                <w:sz w:val="20"/>
                <w:szCs w:val="20"/>
              </w:rPr>
              <w:t xml:space="preserve"> </w:t>
            </w:r>
            <w:r w:rsidR="00DC3ED3" w:rsidRPr="1BC1F171">
              <w:rPr>
                <w:rFonts w:eastAsiaTheme="minorEastAsia"/>
                <w:color w:val="000000" w:themeColor="text1"/>
                <w:sz w:val="20"/>
                <w:szCs w:val="20"/>
              </w:rPr>
              <w:t>Wealth</w:t>
            </w:r>
          </w:p>
        </w:tc>
        <w:tc>
          <w:tcPr>
            <w:tcW w:w="270" w:type="dxa"/>
            <w:tcBorders>
              <w:top w:val="single" w:sz="12" w:space="0" w:color="auto"/>
              <w:bottom w:val="single" w:sz="12" w:space="0" w:color="auto"/>
            </w:tcBorders>
            <w:vAlign w:val="bottom"/>
          </w:tcPr>
          <w:p w14:paraId="192BF6FC" w14:textId="77777777" w:rsidR="00DC3ED3" w:rsidRPr="00A81AB1" w:rsidRDefault="00DC3ED3" w:rsidP="00F12147">
            <w:pPr>
              <w:rPr>
                <w:rFonts w:eastAsiaTheme="minorEastAsia"/>
                <w:color w:val="000000"/>
                <w:sz w:val="20"/>
                <w:szCs w:val="20"/>
              </w:rPr>
            </w:pPr>
          </w:p>
        </w:tc>
        <w:tc>
          <w:tcPr>
            <w:tcW w:w="900" w:type="dxa"/>
            <w:tcBorders>
              <w:top w:val="single" w:sz="12" w:space="0" w:color="auto"/>
              <w:bottom w:val="single" w:sz="12" w:space="0" w:color="auto"/>
            </w:tcBorders>
            <w:shd w:val="clear" w:color="auto" w:fill="auto"/>
            <w:noWrap/>
            <w:vAlign w:val="bottom"/>
            <w:hideMark/>
          </w:tcPr>
          <w:p w14:paraId="46AEF338" w14:textId="34FE72E4" w:rsidR="00DC3ED3" w:rsidRDefault="00C80AEF" w:rsidP="00F12147">
            <w:pPr>
              <w:rPr>
                <w:rFonts w:eastAsiaTheme="minorEastAsia"/>
                <w:color w:val="000000"/>
                <w:sz w:val="20"/>
                <w:szCs w:val="20"/>
              </w:rPr>
            </w:pPr>
            <w:r>
              <w:rPr>
                <w:rFonts w:eastAsiaTheme="minorEastAsia"/>
                <w:color w:val="000000" w:themeColor="text1"/>
                <w:sz w:val="20"/>
                <w:szCs w:val="20"/>
              </w:rPr>
              <w:t>Low</w:t>
            </w:r>
          </w:p>
          <w:p w14:paraId="40B584BC" w14:textId="77777777" w:rsidR="00DC3ED3" w:rsidRPr="007927A4" w:rsidRDefault="00DC3ED3" w:rsidP="00F12147">
            <w:pPr>
              <w:rPr>
                <w:rFonts w:eastAsiaTheme="minorEastAsia"/>
                <w:color w:val="000000"/>
              </w:rPr>
            </w:pPr>
            <w:r w:rsidRPr="1BC1F171">
              <w:rPr>
                <w:rFonts w:eastAsiaTheme="minorEastAsia"/>
                <w:color w:val="000000" w:themeColor="text1"/>
                <w:sz w:val="20"/>
                <w:szCs w:val="20"/>
              </w:rPr>
              <w:t>Wealth</w:t>
            </w:r>
          </w:p>
        </w:tc>
        <w:tc>
          <w:tcPr>
            <w:tcW w:w="810" w:type="dxa"/>
            <w:tcBorders>
              <w:top w:val="single" w:sz="12" w:space="0" w:color="auto"/>
              <w:bottom w:val="single" w:sz="12" w:space="0" w:color="auto"/>
            </w:tcBorders>
            <w:shd w:val="clear" w:color="auto" w:fill="auto"/>
            <w:noWrap/>
            <w:vAlign w:val="bottom"/>
            <w:hideMark/>
          </w:tcPr>
          <w:p w14:paraId="0EB1EE86" w14:textId="77777777" w:rsidR="00DC3ED3" w:rsidRPr="007927A4" w:rsidRDefault="00DC3ED3" w:rsidP="00F12147">
            <w:pPr>
              <w:rPr>
                <w:rFonts w:eastAsiaTheme="minorEastAsia"/>
                <w:color w:val="000000"/>
              </w:rPr>
            </w:pPr>
            <w:r w:rsidRPr="1BC1F171">
              <w:rPr>
                <w:rFonts w:eastAsiaTheme="minorEastAsia"/>
                <w:color w:val="000000" w:themeColor="text1"/>
                <w:sz w:val="20"/>
                <w:szCs w:val="20"/>
              </w:rPr>
              <w:t>Middle Wealth</w:t>
            </w:r>
          </w:p>
        </w:tc>
        <w:tc>
          <w:tcPr>
            <w:tcW w:w="810" w:type="dxa"/>
            <w:tcBorders>
              <w:top w:val="single" w:sz="12" w:space="0" w:color="auto"/>
              <w:bottom w:val="single" w:sz="12" w:space="0" w:color="auto"/>
            </w:tcBorders>
            <w:shd w:val="clear" w:color="auto" w:fill="auto"/>
            <w:noWrap/>
            <w:vAlign w:val="bottom"/>
            <w:hideMark/>
          </w:tcPr>
          <w:p w14:paraId="5B18566E" w14:textId="2D17FE5C" w:rsidR="00DC3ED3" w:rsidRPr="007927A4" w:rsidRDefault="00C80AEF" w:rsidP="00F12147">
            <w:pPr>
              <w:rPr>
                <w:rFonts w:eastAsiaTheme="minorEastAsia"/>
                <w:color w:val="000000"/>
              </w:rPr>
            </w:pPr>
            <w:r>
              <w:rPr>
                <w:rFonts w:eastAsiaTheme="minorEastAsia"/>
                <w:color w:val="000000" w:themeColor="text1"/>
                <w:sz w:val="20"/>
                <w:szCs w:val="20"/>
              </w:rPr>
              <w:t>High</w:t>
            </w:r>
            <w:r w:rsidR="00DC3ED3">
              <w:rPr>
                <w:rFonts w:eastAsiaTheme="minorEastAsia"/>
                <w:color w:val="000000" w:themeColor="text1"/>
                <w:sz w:val="20"/>
                <w:szCs w:val="20"/>
              </w:rPr>
              <w:t xml:space="preserve"> </w:t>
            </w:r>
            <w:r w:rsidR="00DC3ED3" w:rsidRPr="1BC1F171">
              <w:rPr>
                <w:rFonts w:eastAsiaTheme="minorEastAsia"/>
                <w:color w:val="000000" w:themeColor="text1"/>
                <w:sz w:val="20"/>
                <w:szCs w:val="20"/>
              </w:rPr>
              <w:t>Wealth</w:t>
            </w:r>
          </w:p>
        </w:tc>
      </w:tr>
      <w:tr w:rsidR="00DC3ED3" w:rsidRPr="007927A4" w14:paraId="0718B24F" w14:textId="77777777" w:rsidTr="6A9E2235">
        <w:trPr>
          <w:trHeight w:val="320"/>
        </w:trPr>
        <w:tc>
          <w:tcPr>
            <w:tcW w:w="1705" w:type="dxa"/>
            <w:shd w:val="clear" w:color="auto" w:fill="auto"/>
            <w:noWrap/>
            <w:vAlign w:val="bottom"/>
          </w:tcPr>
          <w:p w14:paraId="7AB6E6DA" w14:textId="064D2C6D" w:rsidR="00DC3ED3" w:rsidRPr="007927A4" w:rsidRDefault="00C80AEF" w:rsidP="004B1105">
            <w:pPr>
              <w:rPr>
                <w:rFonts w:eastAsiaTheme="minorEastAsia"/>
                <w:color w:val="000000"/>
              </w:rPr>
            </w:pPr>
            <w:r>
              <w:rPr>
                <w:rFonts w:eastAsiaTheme="minorEastAsia"/>
                <w:b/>
                <w:color w:val="000000" w:themeColor="text1"/>
              </w:rPr>
              <w:t>Low</w:t>
            </w:r>
            <w:r w:rsidR="00DC3ED3" w:rsidRPr="7A9D7D5A">
              <w:rPr>
                <w:rFonts w:eastAsiaTheme="minorEastAsia"/>
                <w:b/>
                <w:color w:val="000000" w:themeColor="text1"/>
              </w:rPr>
              <w:t xml:space="preserve"> </w:t>
            </w:r>
            <w:r w:rsidR="00DC3ED3">
              <w:rPr>
                <w:rFonts w:eastAsiaTheme="minorEastAsia"/>
                <w:b/>
                <w:color w:val="000000" w:themeColor="text1"/>
              </w:rPr>
              <w:t>Income</w:t>
            </w:r>
          </w:p>
        </w:tc>
        <w:tc>
          <w:tcPr>
            <w:tcW w:w="900" w:type="dxa"/>
            <w:tcBorders>
              <w:top w:val="single" w:sz="12" w:space="0" w:color="auto"/>
            </w:tcBorders>
            <w:shd w:val="clear" w:color="auto" w:fill="auto"/>
            <w:noWrap/>
            <w:vAlign w:val="bottom"/>
          </w:tcPr>
          <w:p w14:paraId="55C33414" w14:textId="77777777" w:rsidR="00DC3ED3" w:rsidRPr="007927A4" w:rsidRDefault="00DC3ED3" w:rsidP="00F12147">
            <w:pPr>
              <w:rPr>
                <w:rFonts w:eastAsiaTheme="minorEastAsia"/>
              </w:rPr>
            </w:pPr>
          </w:p>
        </w:tc>
        <w:tc>
          <w:tcPr>
            <w:tcW w:w="810" w:type="dxa"/>
            <w:tcBorders>
              <w:top w:val="single" w:sz="12" w:space="0" w:color="auto"/>
            </w:tcBorders>
            <w:shd w:val="clear" w:color="auto" w:fill="auto"/>
            <w:noWrap/>
            <w:vAlign w:val="bottom"/>
          </w:tcPr>
          <w:p w14:paraId="3CB1B8E9" w14:textId="77777777" w:rsidR="00DC3ED3" w:rsidRPr="007927A4" w:rsidRDefault="00DC3ED3" w:rsidP="00F12147">
            <w:pPr>
              <w:rPr>
                <w:rFonts w:eastAsiaTheme="minorEastAsia"/>
                <w:b/>
              </w:rPr>
            </w:pPr>
          </w:p>
        </w:tc>
        <w:tc>
          <w:tcPr>
            <w:tcW w:w="815" w:type="dxa"/>
            <w:tcBorders>
              <w:top w:val="single" w:sz="12" w:space="0" w:color="auto"/>
            </w:tcBorders>
            <w:shd w:val="clear" w:color="auto" w:fill="auto"/>
            <w:noWrap/>
            <w:vAlign w:val="bottom"/>
          </w:tcPr>
          <w:p w14:paraId="090F8DBA" w14:textId="77777777" w:rsidR="00DC3ED3" w:rsidRPr="007927A4" w:rsidRDefault="00DC3ED3" w:rsidP="00F12147">
            <w:pPr>
              <w:rPr>
                <w:rFonts w:eastAsiaTheme="minorEastAsia"/>
              </w:rPr>
            </w:pPr>
          </w:p>
        </w:tc>
        <w:tc>
          <w:tcPr>
            <w:tcW w:w="360" w:type="dxa"/>
            <w:tcBorders>
              <w:top w:val="single" w:sz="12" w:space="0" w:color="auto"/>
            </w:tcBorders>
            <w:vAlign w:val="bottom"/>
          </w:tcPr>
          <w:p w14:paraId="34BCCC32" w14:textId="77777777" w:rsidR="00DC3ED3" w:rsidRPr="007927A4" w:rsidRDefault="00DC3ED3" w:rsidP="00F12147">
            <w:pPr>
              <w:rPr>
                <w:rFonts w:eastAsiaTheme="minorEastAsia"/>
              </w:rPr>
            </w:pPr>
          </w:p>
        </w:tc>
        <w:tc>
          <w:tcPr>
            <w:tcW w:w="900" w:type="dxa"/>
            <w:tcBorders>
              <w:top w:val="single" w:sz="12" w:space="0" w:color="auto"/>
            </w:tcBorders>
            <w:shd w:val="clear" w:color="auto" w:fill="auto"/>
            <w:noWrap/>
            <w:vAlign w:val="bottom"/>
          </w:tcPr>
          <w:p w14:paraId="49F279C6" w14:textId="77777777" w:rsidR="00DC3ED3" w:rsidRPr="007927A4" w:rsidRDefault="00DC3ED3" w:rsidP="00F12147">
            <w:pPr>
              <w:rPr>
                <w:rFonts w:eastAsiaTheme="minorEastAsia"/>
              </w:rPr>
            </w:pPr>
          </w:p>
        </w:tc>
        <w:tc>
          <w:tcPr>
            <w:tcW w:w="900" w:type="dxa"/>
            <w:tcBorders>
              <w:top w:val="single" w:sz="12" w:space="0" w:color="auto"/>
            </w:tcBorders>
            <w:shd w:val="clear" w:color="auto" w:fill="auto"/>
            <w:noWrap/>
            <w:vAlign w:val="bottom"/>
          </w:tcPr>
          <w:p w14:paraId="76367213" w14:textId="77777777" w:rsidR="00DC3ED3" w:rsidRPr="007927A4" w:rsidRDefault="00DC3ED3" w:rsidP="00F12147">
            <w:pPr>
              <w:rPr>
                <w:rFonts w:eastAsiaTheme="minorEastAsia"/>
              </w:rPr>
            </w:pPr>
          </w:p>
        </w:tc>
        <w:tc>
          <w:tcPr>
            <w:tcW w:w="813" w:type="dxa"/>
            <w:tcBorders>
              <w:top w:val="single" w:sz="12" w:space="0" w:color="auto"/>
            </w:tcBorders>
            <w:shd w:val="clear" w:color="auto" w:fill="auto"/>
            <w:noWrap/>
            <w:vAlign w:val="bottom"/>
          </w:tcPr>
          <w:p w14:paraId="21C3383E" w14:textId="77777777" w:rsidR="00DC3ED3" w:rsidRPr="007927A4" w:rsidRDefault="00DC3ED3" w:rsidP="00F12147">
            <w:pPr>
              <w:rPr>
                <w:rFonts w:eastAsiaTheme="minorEastAsia"/>
              </w:rPr>
            </w:pPr>
          </w:p>
        </w:tc>
        <w:tc>
          <w:tcPr>
            <w:tcW w:w="270" w:type="dxa"/>
            <w:tcBorders>
              <w:top w:val="single" w:sz="12" w:space="0" w:color="auto"/>
            </w:tcBorders>
            <w:vAlign w:val="bottom"/>
          </w:tcPr>
          <w:p w14:paraId="59516762" w14:textId="77777777" w:rsidR="00DC3ED3" w:rsidRPr="007927A4" w:rsidRDefault="00DC3ED3" w:rsidP="00F12147">
            <w:pPr>
              <w:rPr>
                <w:rFonts w:eastAsiaTheme="minorEastAsia"/>
                <w:b/>
              </w:rPr>
            </w:pPr>
          </w:p>
        </w:tc>
        <w:tc>
          <w:tcPr>
            <w:tcW w:w="900" w:type="dxa"/>
            <w:tcBorders>
              <w:top w:val="single" w:sz="12" w:space="0" w:color="auto"/>
            </w:tcBorders>
            <w:shd w:val="clear" w:color="auto" w:fill="auto"/>
            <w:noWrap/>
            <w:vAlign w:val="bottom"/>
          </w:tcPr>
          <w:p w14:paraId="22F7F1AC" w14:textId="77777777" w:rsidR="00DC3ED3" w:rsidRPr="007927A4" w:rsidRDefault="00DC3ED3" w:rsidP="00F12147">
            <w:pPr>
              <w:rPr>
                <w:rFonts w:eastAsiaTheme="minorEastAsia"/>
                <w:b/>
              </w:rPr>
            </w:pPr>
          </w:p>
        </w:tc>
        <w:tc>
          <w:tcPr>
            <w:tcW w:w="810" w:type="dxa"/>
            <w:tcBorders>
              <w:top w:val="single" w:sz="12" w:space="0" w:color="auto"/>
            </w:tcBorders>
            <w:shd w:val="clear" w:color="auto" w:fill="auto"/>
            <w:noWrap/>
            <w:vAlign w:val="bottom"/>
          </w:tcPr>
          <w:p w14:paraId="1CFF0983" w14:textId="77777777" w:rsidR="00DC3ED3" w:rsidRPr="007927A4" w:rsidRDefault="00DC3ED3" w:rsidP="00F12147">
            <w:pPr>
              <w:rPr>
                <w:rFonts w:eastAsiaTheme="minorEastAsia"/>
              </w:rPr>
            </w:pPr>
          </w:p>
        </w:tc>
        <w:tc>
          <w:tcPr>
            <w:tcW w:w="810" w:type="dxa"/>
            <w:tcBorders>
              <w:top w:val="single" w:sz="12" w:space="0" w:color="auto"/>
            </w:tcBorders>
            <w:shd w:val="clear" w:color="auto" w:fill="auto"/>
            <w:noWrap/>
            <w:vAlign w:val="bottom"/>
          </w:tcPr>
          <w:p w14:paraId="7F1C98A3" w14:textId="77777777" w:rsidR="00DC3ED3" w:rsidRPr="007927A4" w:rsidRDefault="00DC3ED3" w:rsidP="00F12147">
            <w:pPr>
              <w:rPr>
                <w:rFonts w:eastAsiaTheme="minorEastAsia"/>
              </w:rPr>
            </w:pPr>
          </w:p>
        </w:tc>
      </w:tr>
      <w:tr w:rsidR="00DC3ED3" w:rsidRPr="007927A4" w14:paraId="0BD7D8C7" w14:textId="77777777" w:rsidTr="6A9E2235">
        <w:trPr>
          <w:trHeight w:val="320"/>
        </w:trPr>
        <w:tc>
          <w:tcPr>
            <w:tcW w:w="1705" w:type="dxa"/>
            <w:shd w:val="clear" w:color="auto" w:fill="auto"/>
            <w:noWrap/>
            <w:vAlign w:val="bottom"/>
          </w:tcPr>
          <w:p w14:paraId="597D355F" w14:textId="77777777" w:rsidR="00DC3ED3" w:rsidRPr="007927A4" w:rsidRDefault="00DC3ED3" w:rsidP="004B1105">
            <w:pPr>
              <w:rPr>
                <w:rFonts w:eastAsiaTheme="minorEastAsia"/>
                <w:color w:val="000000"/>
              </w:rPr>
            </w:pPr>
            <w:r w:rsidRPr="7A9D7D5A">
              <w:rPr>
                <w:rFonts w:eastAsiaTheme="minorEastAsia"/>
                <w:color w:val="000000" w:themeColor="text1"/>
              </w:rPr>
              <w:t>Black</w:t>
            </w:r>
          </w:p>
        </w:tc>
        <w:tc>
          <w:tcPr>
            <w:tcW w:w="900" w:type="dxa"/>
            <w:shd w:val="clear" w:color="auto" w:fill="FFFFFF" w:themeFill="background1"/>
            <w:noWrap/>
            <w:vAlign w:val="bottom"/>
          </w:tcPr>
          <w:p w14:paraId="337571F4" w14:textId="77777777" w:rsidR="00DC3ED3" w:rsidRPr="007927A4" w:rsidRDefault="00DC3ED3" w:rsidP="00F12147">
            <w:pPr>
              <w:rPr>
                <w:rFonts w:eastAsiaTheme="minorEastAsia"/>
              </w:rPr>
            </w:pPr>
            <w:r w:rsidRPr="1BC1F171">
              <w:rPr>
                <w:rFonts w:ascii="Calibri" w:hAnsi="Calibri" w:cs="Calibri"/>
                <w:color w:val="000000" w:themeColor="text1"/>
              </w:rPr>
              <w:t>399</w:t>
            </w:r>
          </w:p>
        </w:tc>
        <w:tc>
          <w:tcPr>
            <w:tcW w:w="810" w:type="dxa"/>
            <w:shd w:val="clear" w:color="auto" w:fill="FFFFFF" w:themeFill="background1"/>
            <w:noWrap/>
            <w:vAlign w:val="bottom"/>
          </w:tcPr>
          <w:p w14:paraId="3BA15B75" w14:textId="77777777" w:rsidR="00DC3ED3" w:rsidRPr="00FC28F1" w:rsidRDefault="00DC3ED3" w:rsidP="00F12147">
            <w:pPr>
              <w:rPr>
                <w:rFonts w:eastAsiaTheme="minorEastAsia"/>
                <w:b/>
              </w:rPr>
            </w:pPr>
            <w:r w:rsidRPr="1BC1F171">
              <w:rPr>
                <w:rFonts w:ascii="Calibri" w:hAnsi="Calibri" w:cs="Calibri"/>
                <w:color w:val="000000" w:themeColor="text1"/>
              </w:rPr>
              <w:t>235</w:t>
            </w:r>
          </w:p>
        </w:tc>
        <w:tc>
          <w:tcPr>
            <w:tcW w:w="815" w:type="dxa"/>
            <w:shd w:val="clear" w:color="auto" w:fill="FFFFFF" w:themeFill="background1"/>
            <w:noWrap/>
            <w:vAlign w:val="bottom"/>
          </w:tcPr>
          <w:p w14:paraId="383E6BB9" w14:textId="77777777" w:rsidR="00DC3ED3" w:rsidRPr="007927A4" w:rsidRDefault="00DC3ED3" w:rsidP="00F12147">
            <w:pPr>
              <w:rPr>
                <w:rFonts w:eastAsiaTheme="minorEastAsia"/>
              </w:rPr>
            </w:pPr>
            <w:r w:rsidRPr="1BC1F171">
              <w:rPr>
                <w:rFonts w:ascii="Calibri" w:hAnsi="Calibri" w:cs="Calibri"/>
                <w:color w:val="000000" w:themeColor="text1"/>
              </w:rPr>
              <w:t>60</w:t>
            </w:r>
          </w:p>
        </w:tc>
        <w:tc>
          <w:tcPr>
            <w:tcW w:w="360" w:type="dxa"/>
            <w:shd w:val="clear" w:color="auto" w:fill="FFFFFF" w:themeFill="background1"/>
            <w:vAlign w:val="bottom"/>
          </w:tcPr>
          <w:p w14:paraId="4DB77857" w14:textId="77777777" w:rsidR="00DC3ED3" w:rsidRPr="7A9D7D5A" w:rsidRDefault="00DC3ED3" w:rsidP="00F12147">
            <w:pPr>
              <w:rPr>
                <w:rFonts w:eastAsiaTheme="minorEastAsia"/>
                <w:color w:val="000000" w:themeColor="text1"/>
              </w:rPr>
            </w:pPr>
          </w:p>
        </w:tc>
        <w:tc>
          <w:tcPr>
            <w:tcW w:w="900" w:type="dxa"/>
            <w:shd w:val="clear" w:color="auto" w:fill="FFFFFF" w:themeFill="background1"/>
            <w:noWrap/>
            <w:vAlign w:val="bottom"/>
          </w:tcPr>
          <w:p w14:paraId="12907D2C" w14:textId="77777777" w:rsidR="00DC3ED3" w:rsidRPr="007927A4" w:rsidRDefault="00DC3ED3" w:rsidP="00F12147">
            <w:pPr>
              <w:rPr>
                <w:rFonts w:eastAsiaTheme="minorEastAsia"/>
              </w:rPr>
            </w:pPr>
            <w:r w:rsidRPr="1BC1F171">
              <w:rPr>
                <w:rFonts w:ascii="Calibri" w:hAnsi="Calibri" w:cs="Calibri"/>
                <w:color w:val="000000" w:themeColor="text1"/>
              </w:rPr>
              <w:t>202</w:t>
            </w:r>
          </w:p>
        </w:tc>
        <w:tc>
          <w:tcPr>
            <w:tcW w:w="900" w:type="dxa"/>
            <w:shd w:val="clear" w:color="auto" w:fill="FFFFFF" w:themeFill="background1"/>
            <w:noWrap/>
            <w:vAlign w:val="bottom"/>
          </w:tcPr>
          <w:p w14:paraId="4C1EB31C" w14:textId="77777777" w:rsidR="00DC3ED3" w:rsidRPr="007927A4" w:rsidRDefault="00DC3ED3" w:rsidP="00F12147">
            <w:pPr>
              <w:rPr>
                <w:rFonts w:eastAsiaTheme="minorEastAsia"/>
              </w:rPr>
            </w:pPr>
            <w:r w:rsidRPr="1BC1F171">
              <w:rPr>
                <w:rFonts w:ascii="Calibri" w:hAnsi="Calibri" w:cs="Calibri"/>
                <w:color w:val="000000" w:themeColor="text1"/>
              </w:rPr>
              <w:t>146</w:t>
            </w:r>
          </w:p>
        </w:tc>
        <w:tc>
          <w:tcPr>
            <w:tcW w:w="813" w:type="dxa"/>
            <w:shd w:val="clear" w:color="auto" w:fill="FFFFFF" w:themeFill="background1"/>
            <w:noWrap/>
            <w:vAlign w:val="bottom"/>
          </w:tcPr>
          <w:p w14:paraId="50CA26DE" w14:textId="77777777" w:rsidR="00DC3ED3" w:rsidRPr="007927A4" w:rsidRDefault="00DC3ED3" w:rsidP="00F12147">
            <w:pPr>
              <w:rPr>
                <w:rFonts w:eastAsiaTheme="minorEastAsia"/>
              </w:rPr>
            </w:pPr>
            <w:r w:rsidRPr="1BC1F171">
              <w:rPr>
                <w:rFonts w:ascii="Calibri" w:hAnsi="Calibri" w:cs="Calibri"/>
                <w:color w:val="000000" w:themeColor="text1"/>
              </w:rPr>
              <w:t>36</w:t>
            </w:r>
          </w:p>
        </w:tc>
        <w:tc>
          <w:tcPr>
            <w:tcW w:w="270" w:type="dxa"/>
            <w:shd w:val="clear" w:color="auto" w:fill="FFFFFF" w:themeFill="background1"/>
            <w:vAlign w:val="bottom"/>
          </w:tcPr>
          <w:p w14:paraId="7641E97D" w14:textId="77777777" w:rsidR="00DC3ED3" w:rsidRPr="7A9D7D5A" w:rsidRDefault="00DC3ED3" w:rsidP="00F12147">
            <w:pPr>
              <w:rPr>
                <w:rFonts w:eastAsiaTheme="minorEastAsia"/>
                <w:b/>
                <w:color w:val="000000" w:themeColor="text1"/>
              </w:rPr>
            </w:pPr>
          </w:p>
        </w:tc>
        <w:tc>
          <w:tcPr>
            <w:tcW w:w="900" w:type="dxa"/>
            <w:shd w:val="clear" w:color="auto" w:fill="FFFFFF" w:themeFill="background1"/>
            <w:noWrap/>
            <w:vAlign w:val="bottom"/>
          </w:tcPr>
          <w:p w14:paraId="59A74E41" w14:textId="77777777" w:rsidR="00DC3ED3" w:rsidRPr="00E42F35" w:rsidRDefault="00DC3ED3" w:rsidP="00F12147">
            <w:pPr>
              <w:rPr>
                <w:rFonts w:eastAsiaTheme="minorEastAsia"/>
                <w:b/>
              </w:rPr>
            </w:pPr>
            <w:r w:rsidRPr="1BC1F171">
              <w:rPr>
                <w:rFonts w:ascii="Calibri" w:hAnsi="Calibri" w:cs="Calibri"/>
                <w:color w:val="000000" w:themeColor="text1"/>
              </w:rPr>
              <w:t>202</w:t>
            </w:r>
          </w:p>
        </w:tc>
        <w:tc>
          <w:tcPr>
            <w:tcW w:w="810" w:type="dxa"/>
            <w:shd w:val="clear" w:color="auto" w:fill="FFFFFF" w:themeFill="background1"/>
            <w:noWrap/>
            <w:vAlign w:val="bottom"/>
          </w:tcPr>
          <w:p w14:paraId="0271F88C" w14:textId="77777777" w:rsidR="00DC3ED3" w:rsidRPr="007927A4" w:rsidRDefault="00DC3ED3" w:rsidP="00F12147">
            <w:pPr>
              <w:rPr>
                <w:rFonts w:eastAsiaTheme="minorEastAsia"/>
              </w:rPr>
            </w:pPr>
            <w:r w:rsidRPr="1BC1F171">
              <w:rPr>
                <w:rFonts w:ascii="Calibri" w:hAnsi="Calibri" w:cs="Calibri"/>
                <w:color w:val="000000" w:themeColor="text1"/>
              </w:rPr>
              <w:t>146</w:t>
            </w:r>
          </w:p>
        </w:tc>
        <w:tc>
          <w:tcPr>
            <w:tcW w:w="810" w:type="dxa"/>
            <w:shd w:val="clear" w:color="auto" w:fill="FFFFFF" w:themeFill="background1"/>
            <w:noWrap/>
            <w:vAlign w:val="bottom"/>
          </w:tcPr>
          <w:p w14:paraId="6958B9AC" w14:textId="77777777" w:rsidR="00DC3ED3" w:rsidRPr="007927A4" w:rsidRDefault="00DC3ED3" w:rsidP="00F12147">
            <w:pPr>
              <w:rPr>
                <w:rFonts w:eastAsiaTheme="minorEastAsia"/>
              </w:rPr>
            </w:pPr>
            <w:r w:rsidRPr="1BC1F171">
              <w:rPr>
                <w:rFonts w:ascii="Calibri" w:hAnsi="Calibri" w:cs="Calibri"/>
                <w:color w:val="000000" w:themeColor="text1"/>
              </w:rPr>
              <w:t>36</w:t>
            </w:r>
          </w:p>
        </w:tc>
      </w:tr>
      <w:tr w:rsidR="00DC3ED3" w:rsidRPr="007927A4" w14:paraId="68697EFA" w14:textId="77777777" w:rsidTr="6A9E2235">
        <w:trPr>
          <w:trHeight w:val="320"/>
        </w:trPr>
        <w:tc>
          <w:tcPr>
            <w:tcW w:w="1705" w:type="dxa"/>
            <w:shd w:val="clear" w:color="auto" w:fill="auto"/>
            <w:noWrap/>
            <w:vAlign w:val="bottom"/>
          </w:tcPr>
          <w:p w14:paraId="72A3F3E0" w14:textId="77777777" w:rsidR="00DC3ED3" w:rsidRPr="007927A4" w:rsidRDefault="00DC3ED3" w:rsidP="004B1105">
            <w:pPr>
              <w:rPr>
                <w:rFonts w:eastAsiaTheme="minorEastAsia"/>
                <w:color w:val="000000"/>
              </w:rPr>
            </w:pPr>
            <w:r w:rsidRPr="7A9D7D5A">
              <w:rPr>
                <w:rFonts w:eastAsiaTheme="minorEastAsia"/>
                <w:color w:val="000000" w:themeColor="text1"/>
              </w:rPr>
              <w:t>Latinx</w:t>
            </w:r>
          </w:p>
        </w:tc>
        <w:tc>
          <w:tcPr>
            <w:tcW w:w="900" w:type="dxa"/>
            <w:shd w:val="clear" w:color="auto" w:fill="FFFFFF" w:themeFill="background1"/>
            <w:noWrap/>
            <w:vAlign w:val="bottom"/>
          </w:tcPr>
          <w:p w14:paraId="16CFD150" w14:textId="77777777" w:rsidR="00DC3ED3" w:rsidRPr="007927A4" w:rsidRDefault="00DC3ED3" w:rsidP="00F12147">
            <w:pPr>
              <w:rPr>
                <w:rFonts w:eastAsiaTheme="minorEastAsia"/>
              </w:rPr>
            </w:pPr>
            <w:r w:rsidRPr="1BC1F171">
              <w:rPr>
                <w:rFonts w:ascii="Calibri" w:hAnsi="Calibri" w:cs="Calibri"/>
                <w:color w:val="000000" w:themeColor="text1"/>
              </w:rPr>
              <w:t>83</w:t>
            </w:r>
          </w:p>
        </w:tc>
        <w:tc>
          <w:tcPr>
            <w:tcW w:w="810" w:type="dxa"/>
            <w:shd w:val="clear" w:color="auto" w:fill="FFFFFF" w:themeFill="background1"/>
            <w:noWrap/>
            <w:vAlign w:val="bottom"/>
          </w:tcPr>
          <w:p w14:paraId="3D9DA422" w14:textId="77777777" w:rsidR="00DC3ED3" w:rsidRPr="00FC28F1" w:rsidRDefault="00DC3ED3" w:rsidP="00F12147">
            <w:pPr>
              <w:rPr>
                <w:rFonts w:eastAsiaTheme="minorEastAsia"/>
                <w:b/>
              </w:rPr>
            </w:pPr>
            <w:r w:rsidRPr="1BC1F171">
              <w:rPr>
                <w:rFonts w:ascii="Calibri" w:hAnsi="Calibri" w:cs="Calibri"/>
                <w:color w:val="000000" w:themeColor="text1"/>
              </w:rPr>
              <w:t>68</w:t>
            </w:r>
          </w:p>
        </w:tc>
        <w:tc>
          <w:tcPr>
            <w:tcW w:w="815" w:type="dxa"/>
            <w:shd w:val="clear" w:color="auto" w:fill="FFFFFF" w:themeFill="background1"/>
            <w:noWrap/>
            <w:vAlign w:val="bottom"/>
          </w:tcPr>
          <w:p w14:paraId="63AE7D6C" w14:textId="77777777" w:rsidR="00DC3ED3" w:rsidRPr="007927A4" w:rsidRDefault="00DC3ED3" w:rsidP="00F12147">
            <w:pPr>
              <w:rPr>
                <w:rFonts w:eastAsiaTheme="minorEastAsia"/>
              </w:rPr>
            </w:pPr>
            <w:r w:rsidRPr="1BC1F171">
              <w:rPr>
                <w:rFonts w:ascii="Calibri" w:hAnsi="Calibri" w:cs="Calibri"/>
                <w:color w:val="000000" w:themeColor="text1"/>
              </w:rPr>
              <w:t>41</w:t>
            </w:r>
          </w:p>
        </w:tc>
        <w:tc>
          <w:tcPr>
            <w:tcW w:w="360" w:type="dxa"/>
            <w:shd w:val="clear" w:color="auto" w:fill="FFFFFF" w:themeFill="background1"/>
            <w:vAlign w:val="bottom"/>
          </w:tcPr>
          <w:p w14:paraId="380E869B" w14:textId="77777777" w:rsidR="00DC3ED3" w:rsidRPr="7A9D7D5A" w:rsidRDefault="00DC3ED3" w:rsidP="00F12147">
            <w:pPr>
              <w:rPr>
                <w:rFonts w:eastAsiaTheme="minorEastAsia"/>
                <w:color w:val="000000" w:themeColor="text1"/>
              </w:rPr>
            </w:pPr>
          </w:p>
        </w:tc>
        <w:tc>
          <w:tcPr>
            <w:tcW w:w="900" w:type="dxa"/>
            <w:shd w:val="clear" w:color="auto" w:fill="FFFFFF" w:themeFill="background1"/>
            <w:noWrap/>
            <w:vAlign w:val="bottom"/>
          </w:tcPr>
          <w:p w14:paraId="204EB124" w14:textId="77777777" w:rsidR="00DC3ED3" w:rsidRPr="007927A4" w:rsidRDefault="00DC3ED3" w:rsidP="00F12147">
            <w:pPr>
              <w:rPr>
                <w:rFonts w:eastAsiaTheme="minorEastAsia"/>
              </w:rPr>
            </w:pPr>
            <w:r w:rsidRPr="1BC1F171">
              <w:rPr>
                <w:rFonts w:ascii="Calibri" w:hAnsi="Calibri" w:cs="Calibri"/>
                <w:color w:val="000000" w:themeColor="text1"/>
              </w:rPr>
              <w:t>48</w:t>
            </w:r>
          </w:p>
        </w:tc>
        <w:tc>
          <w:tcPr>
            <w:tcW w:w="900" w:type="dxa"/>
            <w:shd w:val="clear" w:color="auto" w:fill="FFFFFF" w:themeFill="background1"/>
            <w:noWrap/>
            <w:vAlign w:val="bottom"/>
          </w:tcPr>
          <w:p w14:paraId="05EE7AD6" w14:textId="77777777" w:rsidR="00DC3ED3" w:rsidRPr="007927A4" w:rsidRDefault="00DC3ED3" w:rsidP="00F12147">
            <w:pPr>
              <w:rPr>
                <w:rFonts w:eastAsiaTheme="minorEastAsia"/>
              </w:rPr>
            </w:pPr>
            <w:r w:rsidRPr="1BC1F171">
              <w:rPr>
                <w:rFonts w:ascii="Calibri" w:hAnsi="Calibri" w:cs="Calibri"/>
                <w:color w:val="000000" w:themeColor="text1"/>
              </w:rPr>
              <w:t>45</w:t>
            </w:r>
          </w:p>
        </w:tc>
        <w:tc>
          <w:tcPr>
            <w:tcW w:w="813" w:type="dxa"/>
            <w:shd w:val="clear" w:color="auto" w:fill="FFFFFF" w:themeFill="background1"/>
            <w:noWrap/>
            <w:vAlign w:val="bottom"/>
          </w:tcPr>
          <w:p w14:paraId="28EB2588" w14:textId="77777777" w:rsidR="00DC3ED3" w:rsidRPr="007927A4" w:rsidRDefault="00DC3ED3" w:rsidP="00F12147">
            <w:pPr>
              <w:rPr>
                <w:rFonts w:eastAsiaTheme="minorEastAsia"/>
              </w:rPr>
            </w:pPr>
            <w:r w:rsidRPr="1BC1F171">
              <w:rPr>
                <w:rFonts w:ascii="Calibri" w:hAnsi="Calibri" w:cs="Calibri"/>
                <w:color w:val="000000" w:themeColor="text1"/>
              </w:rPr>
              <w:t>33</w:t>
            </w:r>
          </w:p>
        </w:tc>
        <w:tc>
          <w:tcPr>
            <w:tcW w:w="270" w:type="dxa"/>
            <w:shd w:val="clear" w:color="auto" w:fill="FFFFFF" w:themeFill="background1"/>
            <w:vAlign w:val="bottom"/>
          </w:tcPr>
          <w:p w14:paraId="600B9850" w14:textId="77777777" w:rsidR="00DC3ED3" w:rsidRPr="7A9D7D5A" w:rsidRDefault="00DC3ED3" w:rsidP="00F12147">
            <w:pPr>
              <w:rPr>
                <w:rFonts w:eastAsiaTheme="minorEastAsia"/>
                <w:b/>
                <w:color w:val="000000" w:themeColor="text1"/>
              </w:rPr>
            </w:pPr>
          </w:p>
        </w:tc>
        <w:tc>
          <w:tcPr>
            <w:tcW w:w="900" w:type="dxa"/>
            <w:shd w:val="clear" w:color="auto" w:fill="FFFFFF" w:themeFill="background1"/>
            <w:noWrap/>
            <w:vAlign w:val="bottom"/>
          </w:tcPr>
          <w:p w14:paraId="37DF20F6" w14:textId="77777777" w:rsidR="00DC3ED3" w:rsidRPr="00E42F35" w:rsidRDefault="00DC3ED3" w:rsidP="00F12147">
            <w:pPr>
              <w:rPr>
                <w:rFonts w:eastAsiaTheme="minorEastAsia"/>
                <w:b/>
              </w:rPr>
            </w:pPr>
            <w:r w:rsidRPr="1BC1F171">
              <w:rPr>
                <w:rFonts w:ascii="Calibri" w:hAnsi="Calibri" w:cs="Calibri"/>
                <w:color w:val="000000" w:themeColor="text1"/>
              </w:rPr>
              <w:t>48</w:t>
            </w:r>
          </w:p>
        </w:tc>
        <w:tc>
          <w:tcPr>
            <w:tcW w:w="810" w:type="dxa"/>
            <w:shd w:val="clear" w:color="auto" w:fill="FFFFFF" w:themeFill="background1"/>
            <w:noWrap/>
            <w:vAlign w:val="bottom"/>
          </w:tcPr>
          <w:p w14:paraId="0600466D" w14:textId="77777777" w:rsidR="00DC3ED3" w:rsidRPr="007927A4" w:rsidRDefault="00DC3ED3" w:rsidP="00F12147">
            <w:pPr>
              <w:rPr>
                <w:rFonts w:eastAsiaTheme="minorEastAsia"/>
              </w:rPr>
            </w:pPr>
            <w:r w:rsidRPr="1BC1F171">
              <w:rPr>
                <w:rFonts w:ascii="Calibri" w:hAnsi="Calibri" w:cs="Calibri"/>
                <w:color w:val="000000" w:themeColor="text1"/>
              </w:rPr>
              <w:t>45</w:t>
            </w:r>
          </w:p>
        </w:tc>
        <w:tc>
          <w:tcPr>
            <w:tcW w:w="810" w:type="dxa"/>
            <w:shd w:val="clear" w:color="auto" w:fill="FFFFFF" w:themeFill="background1"/>
            <w:noWrap/>
            <w:vAlign w:val="bottom"/>
          </w:tcPr>
          <w:p w14:paraId="539A7AE5" w14:textId="77777777" w:rsidR="00DC3ED3" w:rsidRPr="007927A4" w:rsidRDefault="00DC3ED3" w:rsidP="00F12147">
            <w:pPr>
              <w:rPr>
                <w:rFonts w:eastAsiaTheme="minorEastAsia"/>
              </w:rPr>
            </w:pPr>
            <w:r w:rsidRPr="1BC1F171">
              <w:rPr>
                <w:rFonts w:ascii="Calibri" w:hAnsi="Calibri" w:cs="Calibri"/>
                <w:color w:val="000000" w:themeColor="text1"/>
              </w:rPr>
              <w:t>33</w:t>
            </w:r>
          </w:p>
        </w:tc>
      </w:tr>
      <w:tr w:rsidR="00DC3ED3" w:rsidRPr="007927A4" w14:paraId="55A004DD" w14:textId="77777777" w:rsidTr="6A9E2235">
        <w:trPr>
          <w:trHeight w:val="320"/>
        </w:trPr>
        <w:tc>
          <w:tcPr>
            <w:tcW w:w="1705" w:type="dxa"/>
            <w:shd w:val="clear" w:color="auto" w:fill="auto"/>
            <w:noWrap/>
            <w:vAlign w:val="bottom"/>
          </w:tcPr>
          <w:p w14:paraId="32392A37" w14:textId="77777777" w:rsidR="00DC3ED3" w:rsidRPr="007927A4" w:rsidRDefault="00DC3ED3" w:rsidP="004B1105">
            <w:pPr>
              <w:rPr>
                <w:rFonts w:eastAsiaTheme="minorEastAsia"/>
                <w:color w:val="000000"/>
              </w:rPr>
            </w:pPr>
            <w:r w:rsidRPr="7A9D7D5A">
              <w:rPr>
                <w:rFonts w:eastAsiaTheme="minorEastAsia"/>
                <w:color w:val="000000" w:themeColor="text1"/>
              </w:rPr>
              <w:t>White</w:t>
            </w:r>
          </w:p>
        </w:tc>
        <w:tc>
          <w:tcPr>
            <w:tcW w:w="900" w:type="dxa"/>
            <w:shd w:val="clear" w:color="auto" w:fill="FFFFFF" w:themeFill="background1"/>
            <w:noWrap/>
            <w:vAlign w:val="bottom"/>
          </w:tcPr>
          <w:p w14:paraId="56156150" w14:textId="77777777" w:rsidR="00DC3ED3" w:rsidRPr="007927A4" w:rsidRDefault="00DC3ED3" w:rsidP="00F12147">
            <w:pPr>
              <w:rPr>
                <w:rFonts w:eastAsiaTheme="minorEastAsia"/>
              </w:rPr>
            </w:pPr>
            <w:r w:rsidRPr="1BC1F171">
              <w:rPr>
                <w:rFonts w:ascii="Calibri" w:hAnsi="Calibri" w:cs="Calibri"/>
                <w:color w:val="000000" w:themeColor="text1"/>
              </w:rPr>
              <w:t>112</w:t>
            </w:r>
          </w:p>
        </w:tc>
        <w:tc>
          <w:tcPr>
            <w:tcW w:w="810" w:type="dxa"/>
            <w:shd w:val="clear" w:color="auto" w:fill="FFFFFF" w:themeFill="background1"/>
            <w:noWrap/>
            <w:vAlign w:val="bottom"/>
          </w:tcPr>
          <w:p w14:paraId="0D431208" w14:textId="77777777" w:rsidR="00DC3ED3" w:rsidRPr="00FC28F1" w:rsidRDefault="00DC3ED3" w:rsidP="00F12147">
            <w:pPr>
              <w:rPr>
                <w:rFonts w:eastAsiaTheme="minorEastAsia"/>
                <w:b/>
              </w:rPr>
            </w:pPr>
            <w:r w:rsidRPr="1BC1F171">
              <w:rPr>
                <w:rFonts w:ascii="Calibri" w:hAnsi="Calibri" w:cs="Calibri"/>
                <w:color w:val="000000" w:themeColor="text1"/>
              </w:rPr>
              <w:t>87</w:t>
            </w:r>
          </w:p>
        </w:tc>
        <w:tc>
          <w:tcPr>
            <w:tcW w:w="815" w:type="dxa"/>
            <w:shd w:val="clear" w:color="auto" w:fill="FFFFFF" w:themeFill="background1"/>
            <w:noWrap/>
            <w:vAlign w:val="bottom"/>
          </w:tcPr>
          <w:p w14:paraId="611779D2" w14:textId="77777777" w:rsidR="00DC3ED3" w:rsidRPr="007927A4" w:rsidRDefault="00DC3ED3" w:rsidP="00F12147">
            <w:pPr>
              <w:rPr>
                <w:rFonts w:eastAsiaTheme="minorEastAsia"/>
              </w:rPr>
            </w:pPr>
            <w:r w:rsidRPr="1BC1F171">
              <w:rPr>
                <w:rFonts w:ascii="Calibri" w:hAnsi="Calibri" w:cs="Calibri"/>
                <w:color w:val="000000" w:themeColor="text1"/>
              </w:rPr>
              <w:t>23</w:t>
            </w:r>
          </w:p>
        </w:tc>
        <w:tc>
          <w:tcPr>
            <w:tcW w:w="360" w:type="dxa"/>
            <w:shd w:val="clear" w:color="auto" w:fill="FFFFFF" w:themeFill="background1"/>
            <w:vAlign w:val="bottom"/>
          </w:tcPr>
          <w:p w14:paraId="5CA960FA" w14:textId="77777777" w:rsidR="00DC3ED3" w:rsidRPr="7A9D7D5A" w:rsidRDefault="00DC3ED3" w:rsidP="00F12147">
            <w:pPr>
              <w:rPr>
                <w:rFonts w:eastAsiaTheme="minorEastAsia"/>
                <w:color w:val="000000" w:themeColor="text1"/>
              </w:rPr>
            </w:pPr>
          </w:p>
        </w:tc>
        <w:tc>
          <w:tcPr>
            <w:tcW w:w="900" w:type="dxa"/>
            <w:shd w:val="clear" w:color="auto" w:fill="FFFFFF" w:themeFill="background1"/>
            <w:noWrap/>
            <w:vAlign w:val="bottom"/>
          </w:tcPr>
          <w:p w14:paraId="68FA420A" w14:textId="77777777" w:rsidR="00DC3ED3" w:rsidRPr="007927A4" w:rsidRDefault="00DC3ED3" w:rsidP="00F12147">
            <w:pPr>
              <w:rPr>
                <w:rFonts w:eastAsiaTheme="minorEastAsia"/>
              </w:rPr>
            </w:pPr>
            <w:r w:rsidRPr="1BC1F171">
              <w:rPr>
                <w:rFonts w:ascii="Calibri" w:hAnsi="Calibri" w:cs="Calibri"/>
                <w:color w:val="000000" w:themeColor="text1"/>
              </w:rPr>
              <w:t>52</w:t>
            </w:r>
          </w:p>
        </w:tc>
        <w:tc>
          <w:tcPr>
            <w:tcW w:w="900" w:type="dxa"/>
            <w:shd w:val="clear" w:color="auto" w:fill="FFFFFF" w:themeFill="background1"/>
            <w:noWrap/>
            <w:vAlign w:val="bottom"/>
          </w:tcPr>
          <w:p w14:paraId="63C47710" w14:textId="77777777" w:rsidR="00DC3ED3" w:rsidRPr="007927A4" w:rsidRDefault="00DC3ED3" w:rsidP="00F12147">
            <w:pPr>
              <w:rPr>
                <w:rFonts w:eastAsiaTheme="minorEastAsia"/>
              </w:rPr>
            </w:pPr>
            <w:r w:rsidRPr="1BC1F171">
              <w:rPr>
                <w:rFonts w:ascii="Calibri" w:hAnsi="Calibri" w:cs="Calibri"/>
                <w:color w:val="000000" w:themeColor="text1"/>
              </w:rPr>
              <w:t>40</w:t>
            </w:r>
          </w:p>
        </w:tc>
        <w:tc>
          <w:tcPr>
            <w:tcW w:w="813" w:type="dxa"/>
            <w:shd w:val="clear" w:color="auto" w:fill="FFFFFF" w:themeFill="background1"/>
            <w:noWrap/>
            <w:vAlign w:val="bottom"/>
          </w:tcPr>
          <w:p w14:paraId="03187D34" w14:textId="77777777" w:rsidR="00DC3ED3" w:rsidRPr="007927A4" w:rsidRDefault="00DC3ED3" w:rsidP="00F12147">
            <w:pPr>
              <w:rPr>
                <w:rFonts w:eastAsiaTheme="minorEastAsia"/>
              </w:rPr>
            </w:pPr>
            <w:r w:rsidRPr="1BC1F171">
              <w:rPr>
                <w:rFonts w:ascii="Calibri" w:hAnsi="Calibri" w:cs="Calibri"/>
                <w:color w:val="000000" w:themeColor="text1"/>
              </w:rPr>
              <w:t>13</w:t>
            </w:r>
          </w:p>
        </w:tc>
        <w:tc>
          <w:tcPr>
            <w:tcW w:w="270" w:type="dxa"/>
            <w:shd w:val="clear" w:color="auto" w:fill="FFFFFF" w:themeFill="background1"/>
            <w:vAlign w:val="bottom"/>
          </w:tcPr>
          <w:p w14:paraId="5D87E5F1" w14:textId="77777777" w:rsidR="00DC3ED3" w:rsidRPr="7A9D7D5A" w:rsidRDefault="00DC3ED3" w:rsidP="00F12147">
            <w:pPr>
              <w:rPr>
                <w:rFonts w:eastAsiaTheme="minorEastAsia"/>
                <w:b/>
                <w:color w:val="000000" w:themeColor="text1"/>
              </w:rPr>
            </w:pPr>
          </w:p>
        </w:tc>
        <w:tc>
          <w:tcPr>
            <w:tcW w:w="900" w:type="dxa"/>
            <w:shd w:val="clear" w:color="auto" w:fill="FFFFFF" w:themeFill="background1"/>
            <w:noWrap/>
            <w:vAlign w:val="bottom"/>
          </w:tcPr>
          <w:p w14:paraId="418D3548" w14:textId="77777777" w:rsidR="00DC3ED3" w:rsidRPr="00E42F35" w:rsidRDefault="00DC3ED3" w:rsidP="00F12147">
            <w:pPr>
              <w:rPr>
                <w:rFonts w:eastAsiaTheme="minorEastAsia"/>
                <w:b/>
              </w:rPr>
            </w:pPr>
            <w:r w:rsidRPr="1BC1F171">
              <w:rPr>
                <w:rFonts w:ascii="Calibri" w:hAnsi="Calibri" w:cs="Calibri"/>
                <w:color w:val="000000" w:themeColor="text1"/>
              </w:rPr>
              <w:t>52</w:t>
            </w:r>
          </w:p>
        </w:tc>
        <w:tc>
          <w:tcPr>
            <w:tcW w:w="810" w:type="dxa"/>
            <w:shd w:val="clear" w:color="auto" w:fill="FFFFFF" w:themeFill="background1"/>
            <w:noWrap/>
            <w:vAlign w:val="bottom"/>
          </w:tcPr>
          <w:p w14:paraId="6141D6C2" w14:textId="77777777" w:rsidR="00DC3ED3" w:rsidRPr="007927A4" w:rsidRDefault="00DC3ED3" w:rsidP="00F12147">
            <w:pPr>
              <w:rPr>
                <w:rFonts w:eastAsiaTheme="minorEastAsia"/>
              </w:rPr>
            </w:pPr>
            <w:r w:rsidRPr="1BC1F171">
              <w:rPr>
                <w:rFonts w:ascii="Calibri" w:hAnsi="Calibri" w:cs="Calibri"/>
                <w:color w:val="000000" w:themeColor="text1"/>
              </w:rPr>
              <w:t>40</w:t>
            </w:r>
          </w:p>
        </w:tc>
        <w:tc>
          <w:tcPr>
            <w:tcW w:w="810" w:type="dxa"/>
            <w:shd w:val="clear" w:color="auto" w:fill="FFFFFF" w:themeFill="background1"/>
            <w:noWrap/>
            <w:vAlign w:val="bottom"/>
          </w:tcPr>
          <w:p w14:paraId="35D8B4E2" w14:textId="77777777" w:rsidR="00DC3ED3" w:rsidRPr="007927A4" w:rsidRDefault="00DC3ED3" w:rsidP="00F12147">
            <w:pPr>
              <w:rPr>
                <w:rFonts w:eastAsiaTheme="minorEastAsia"/>
              </w:rPr>
            </w:pPr>
            <w:r w:rsidRPr="1BC1F171">
              <w:rPr>
                <w:rFonts w:ascii="Calibri" w:hAnsi="Calibri" w:cs="Calibri"/>
                <w:color w:val="000000" w:themeColor="text1"/>
              </w:rPr>
              <w:t>13</w:t>
            </w:r>
          </w:p>
        </w:tc>
      </w:tr>
      <w:tr w:rsidR="00DC3ED3" w:rsidRPr="7A9D7D5A" w14:paraId="53108789" w14:textId="77777777" w:rsidTr="6A9E2235">
        <w:trPr>
          <w:trHeight w:val="320"/>
        </w:trPr>
        <w:tc>
          <w:tcPr>
            <w:tcW w:w="1705" w:type="dxa"/>
            <w:shd w:val="clear" w:color="auto" w:fill="auto"/>
            <w:noWrap/>
            <w:vAlign w:val="bottom"/>
          </w:tcPr>
          <w:p w14:paraId="76E7660D" w14:textId="18110DAD" w:rsidR="00DC3ED3" w:rsidRPr="7A9D7D5A" w:rsidRDefault="00DC3ED3" w:rsidP="004B1105">
            <w:pPr>
              <w:rPr>
                <w:rFonts w:eastAsiaTheme="minorEastAsia"/>
                <w:b/>
                <w:color w:val="000000" w:themeColor="text1"/>
              </w:rPr>
            </w:pPr>
            <w:r>
              <w:rPr>
                <w:rFonts w:eastAsiaTheme="minorEastAsia"/>
                <w:color w:val="000000" w:themeColor="text1"/>
              </w:rPr>
              <w:t xml:space="preserve">Another </w:t>
            </w:r>
            <w:r w:rsidR="00B41838">
              <w:rPr>
                <w:rFonts w:eastAsiaTheme="minorEastAsia"/>
                <w:color w:val="000000" w:themeColor="text1"/>
              </w:rPr>
              <w:t>Race</w:t>
            </w:r>
          </w:p>
        </w:tc>
        <w:tc>
          <w:tcPr>
            <w:tcW w:w="900" w:type="dxa"/>
            <w:shd w:val="clear" w:color="auto" w:fill="FFFFFF" w:themeFill="background1"/>
            <w:noWrap/>
            <w:vAlign w:val="bottom"/>
          </w:tcPr>
          <w:p w14:paraId="264303C6" w14:textId="77777777" w:rsidR="00DC3ED3" w:rsidRPr="007927A4" w:rsidRDefault="00DC3ED3" w:rsidP="00F12147">
            <w:pPr>
              <w:rPr>
                <w:rFonts w:eastAsiaTheme="minorEastAsia"/>
              </w:rPr>
            </w:pPr>
            <w:r w:rsidRPr="1BC1F171">
              <w:rPr>
                <w:rFonts w:ascii="Calibri" w:hAnsi="Calibri" w:cs="Calibri"/>
                <w:color w:val="000000" w:themeColor="text1"/>
              </w:rPr>
              <w:t>103</w:t>
            </w:r>
          </w:p>
        </w:tc>
        <w:tc>
          <w:tcPr>
            <w:tcW w:w="810" w:type="dxa"/>
            <w:shd w:val="clear" w:color="auto" w:fill="FFFFFF" w:themeFill="background1"/>
            <w:noWrap/>
            <w:vAlign w:val="bottom"/>
          </w:tcPr>
          <w:p w14:paraId="73F490ED" w14:textId="77777777" w:rsidR="00DC3ED3" w:rsidRPr="007927A4" w:rsidRDefault="00DC3ED3" w:rsidP="00F12147">
            <w:pPr>
              <w:rPr>
                <w:rFonts w:eastAsiaTheme="minorEastAsia"/>
                <w:b/>
              </w:rPr>
            </w:pPr>
            <w:r w:rsidRPr="1BC1F171">
              <w:rPr>
                <w:rFonts w:ascii="Calibri" w:hAnsi="Calibri" w:cs="Calibri"/>
                <w:color w:val="000000" w:themeColor="text1"/>
              </w:rPr>
              <w:t>52</w:t>
            </w:r>
          </w:p>
        </w:tc>
        <w:tc>
          <w:tcPr>
            <w:tcW w:w="815" w:type="dxa"/>
            <w:shd w:val="clear" w:color="auto" w:fill="FFFFFF" w:themeFill="background1"/>
            <w:noWrap/>
            <w:vAlign w:val="bottom"/>
          </w:tcPr>
          <w:p w14:paraId="0868D7AD" w14:textId="77777777" w:rsidR="00DC3ED3" w:rsidRPr="007927A4" w:rsidRDefault="00DC3ED3" w:rsidP="00F12147">
            <w:pPr>
              <w:rPr>
                <w:rFonts w:eastAsiaTheme="minorEastAsia"/>
              </w:rPr>
            </w:pPr>
            <w:r w:rsidRPr="1BC1F171">
              <w:rPr>
                <w:rFonts w:ascii="Calibri" w:hAnsi="Calibri" w:cs="Calibri"/>
                <w:color w:val="000000" w:themeColor="text1"/>
              </w:rPr>
              <w:t>26</w:t>
            </w:r>
          </w:p>
        </w:tc>
        <w:tc>
          <w:tcPr>
            <w:tcW w:w="360" w:type="dxa"/>
            <w:shd w:val="clear" w:color="auto" w:fill="FFFFFF" w:themeFill="background1"/>
            <w:vAlign w:val="bottom"/>
          </w:tcPr>
          <w:p w14:paraId="3926B9D3" w14:textId="77777777" w:rsidR="00DC3ED3" w:rsidRPr="7A9D7D5A" w:rsidRDefault="00DC3ED3" w:rsidP="00F12147">
            <w:pPr>
              <w:rPr>
                <w:rFonts w:eastAsiaTheme="minorEastAsia"/>
                <w:color w:val="000000" w:themeColor="text1"/>
              </w:rPr>
            </w:pPr>
          </w:p>
        </w:tc>
        <w:tc>
          <w:tcPr>
            <w:tcW w:w="900" w:type="dxa"/>
            <w:shd w:val="clear" w:color="auto" w:fill="FFFFFF" w:themeFill="background1"/>
            <w:noWrap/>
            <w:vAlign w:val="bottom"/>
          </w:tcPr>
          <w:p w14:paraId="1DB3B36A" w14:textId="77777777" w:rsidR="00DC3ED3" w:rsidRPr="007927A4" w:rsidRDefault="00DC3ED3" w:rsidP="00F12147">
            <w:pPr>
              <w:rPr>
                <w:rFonts w:eastAsiaTheme="minorEastAsia"/>
              </w:rPr>
            </w:pPr>
            <w:r w:rsidRPr="1BC1F171">
              <w:rPr>
                <w:rFonts w:ascii="Calibri" w:hAnsi="Calibri" w:cs="Calibri"/>
                <w:color w:val="000000" w:themeColor="text1"/>
              </w:rPr>
              <w:t>54</w:t>
            </w:r>
          </w:p>
        </w:tc>
        <w:tc>
          <w:tcPr>
            <w:tcW w:w="900" w:type="dxa"/>
            <w:shd w:val="clear" w:color="auto" w:fill="FFFFFF" w:themeFill="background1"/>
            <w:noWrap/>
            <w:vAlign w:val="bottom"/>
          </w:tcPr>
          <w:p w14:paraId="11F6A23B" w14:textId="77777777" w:rsidR="00DC3ED3" w:rsidRPr="007927A4" w:rsidRDefault="00DC3ED3" w:rsidP="00F12147">
            <w:pPr>
              <w:rPr>
                <w:rFonts w:eastAsiaTheme="minorEastAsia"/>
              </w:rPr>
            </w:pPr>
            <w:r w:rsidRPr="1BC1F171">
              <w:rPr>
                <w:rFonts w:ascii="Calibri" w:hAnsi="Calibri" w:cs="Calibri"/>
                <w:color w:val="000000" w:themeColor="text1"/>
              </w:rPr>
              <w:t>36</w:t>
            </w:r>
          </w:p>
        </w:tc>
        <w:tc>
          <w:tcPr>
            <w:tcW w:w="813" w:type="dxa"/>
            <w:shd w:val="clear" w:color="auto" w:fill="FFFFFF" w:themeFill="background1"/>
            <w:noWrap/>
            <w:vAlign w:val="bottom"/>
          </w:tcPr>
          <w:p w14:paraId="3DBA782B" w14:textId="77777777" w:rsidR="00DC3ED3" w:rsidRPr="007927A4" w:rsidRDefault="00DC3ED3" w:rsidP="00F12147">
            <w:pPr>
              <w:rPr>
                <w:rFonts w:eastAsiaTheme="minorEastAsia"/>
              </w:rPr>
            </w:pPr>
            <w:r w:rsidRPr="1BC1F171">
              <w:rPr>
                <w:rFonts w:ascii="Calibri" w:hAnsi="Calibri" w:cs="Calibri"/>
                <w:color w:val="000000" w:themeColor="text1"/>
              </w:rPr>
              <w:t>15</w:t>
            </w:r>
          </w:p>
        </w:tc>
        <w:tc>
          <w:tcPr>
            <w:tcW w:w="270" w:type="dxa"/>
            <w:shd w:val="clear" w:color="auto" w:fill="FFFFFF" w:themeFill="background1"/>
            <w:vAlign w:val="bottom"/>
          </w:tcPr>
          <w:p w14:paraId="35A0CF15" w14:textId="77777777" w:rsidR="00DC3ED3" w:rsidRPr="7A9D7D5A" w:rsidRDefault="00DC3ED3" w:rsidP="00F12147">
            <w:pPr>
              <w:rPr>
                <w:rFonts w:eastAsiaTheme="minorEastAsia"/>
                <w:b/>
                <w:color w:val="000000" w:themeColor="text1"/>
              </w:rPr>
            </w:pPr>
          </w:p>
        </w:tc>
        <w:tc>
          <w:tcPr>
            <w:tcW w:w="900" w:type="dxa"/>
            <w:shd w:val="clear" w:color="auto" w:fill="FFFFFF" w:themeFill="background1"/>
            <w:noWrap/>
            <w:vAlign w:val="bottom"/>
          </w:tcPr>
          <w:p w14:paraId="75351AB6" w14:textId="77777777" w:rsidR="00DC3ED3" w:rsidRPr="007927A4" w:rsidRDefault="00DC3ED3" w:rsidP="00F12147">
            <w:pPr>
              <w:rPr>
                <w:rFonts w:eastAsiaTheme="minorEastAsia"/>
                <w:b/>
              </w:rPr>
            </w:pPr>
            <w:r w:rsidRPr="1BC1F171">
              <w:rPr>
                <w:rFonts w:ascii="Calibri" w:hAnsi="Calibri" w:cs="Calibri"/>
                <w:color w:val="000000" w:themeColor="text1"/>
              </w:rPr>
              <w:t>54</w:t>
            </w:r>
          </w:p>
        </w:tc>
        <w:tc>
          <w:tcPr>
            <w:tcW w:w="810" w:type="dxa"/>
            <w:shd w:val="clear" w:color="auto" w:fill="FFFFFF" w:themeFill="background1"/>
            <w:noWrap/>
            <w:vAlign w:val="bottom"/>
          </w:tcPr>
          <w:p w14:paraId="114EC044" w14:textId="77777777" w:rsidR="00DC3ED3" w:rsidRPr="007927A4" w:rsidRDefault="00DC3ED3" w:rsidP="00F12147">
            <w:pPr>
              <w:rPr>
                <w:rFonts w:eastAsiaTheme="minorEastAsia"/>
              </w:rPr>
            </w:pPr>
            <w:r w:rsidRPr="1BC1F171">
              <w:rPr>
                <w:rFonts w:ascii="Calibri" w:hAnsi="Calibri" w:cs="Calibri"/>
                <w:color w:val="000000" w:themeColor="text1"/>
              </w:rPr>
              <w:t>36</w:t>
            </w:r>
          </w:p>
        </w:tc>
        <w:tc>
          <w:tcPr>
            <w:tcW w:w="810" w:type="dxa"/>
            <w:shd w:val="clear" w:color="auto" w:fill="FFFFFF" w:themeFill="background1"/>
            <w:noWrap/>
            <w:vAlign w:val="bottom"/>
          </w:tcPr>
          <w:p w14:paraId="1532A5D5" w14:textId="77777777" w:rsidR="00DC3ED3" w:rsidRPr="7A9D7D5A" w:rsidRDefault="00DC3ED3" w:rsidP="00F12147">
            <w:pPr>
              <w:rPr>
                <w:rFonts w:eastAsiaTheme="minorEastAsia"/>
                <w:color w:val="000000" w:themeColor="text1"/>
              </w:rPr>
            </w:pPr>
            <w:r w:rsidRPr="1BC1F171">
              <w:rPr>
                <w:rFonts w:ascii="Calibri" w:hAnsi="Calibri" w:cs="Calibri"/>
                <w:color w:val="000000" w:themeColor="text1"/>
              </w:rPr>
              <w:t>15</w:t>
            </w:r>
          </w:p>
        </w:tc>
      </w:tr>
      <w:tr w:rsidR="00DC3ED3" w:rsidRPr="007927A4" w14:paraId="3D123BAB" w14:textId="77777777" w:rsidTr="6A9E2235">
        <w:trPr>
          <w:trHeight w:val="320"/>
        </w:trPr>
        <w:tc>
          <w:tcPr>
            <w:tcW w:w="1705" w:type="dxa"/>
            <w:shd w:val="clear" w:color="auto" w:fill="auto"/>
            <w:noWrap/>
            <w:vAlign w:val="bottom"/>
          </w:tcPr>
          <w:p w14:paraId="3C2C8496" w14:textId="77777777" w:rsidR="00DC3ED3" w:rsidRPr="007927A4" w:rsidRDefault="00DC3ED3" w:rsidP="004B1105">
            <w:pPr>
              <w:rPr>
                <w:rFonts w:eastAsiaTheme="minorEastAsia"/>
                <w:color w:val="000000"/>
              </w:rPr>
            </w:pPr>
            <w:r w:rsidRPr="7A9D7D5A">
              <w:rPr>
                <w:rFonts w:eastAsiaTheme="minorEastAsia"/>
                <w:b/>
                <w:color w:val="000000" w:themeColor="text1"/>
              </w:rPr>
              <w:t xml:space="preserve">Middle </w:t>
            </w:r>
            <w:r>
              <w:rPr>
                <w:rFonts w:eastAsiaTheme="minorEastAsia"/>
                <w:b/>
                <w:color w:val="000000" w:themeColor="text1"/>
              </w:rPr>
              <w:t>Income</w:t>
            </w:r>
          </w:p>
        </w:tc>
        <w:tc>
          <w:tcPr>
            <w:tcW w:w="900" w:type="dxa"/>
            <w:shd w:val="clear" w:color="auto" w:fill="FFFFFF" w:themeFill="background1"/>
            <w:noWrap/>
            <w:vAlign w:val="bottom"/>
          </w:tcPr>
          <w:p w14:paraId="12E744F6" w14:textId="77777777" w:rsidR="00DC3ED3" w:rsidRPr="007927A4" w:rsidRDefault="00DC3ED3" w:rsidP="00F12147">
            <w:pPr>
              <w:rPr>
                <w:rFonts w:eastAsiaTheme="minorEastAsia"/>
              </w:rPr>
            </w:pPr>
          </w:p>
        </w:tc>
        <w:tc>
          <w:tcPr>
            <w:tcW w:w="810" w:type="dxa"/>
            <w:shd w:val="clear" w:color="auto" w:fill="FFFFFF" w:themeFill="background1"/>
            <w:noWrap/>
            <w:vAlign w:val="bottom"/>
          </w:tcPr>
          <w:p w14:paraId="4D4D5C5F" w14:textId="77777777" w:rsidR="00DC3ED3" w:rsidRPr="007927A4" w:rsidRDefault="00DC3ED3" w:rsidP="00F12147">
            <w:pPr>
              <w:rPr>
                <w:rFonts w:eastAsiaTheme="minorEastAsia"/>
                <w:b/>
              </w:rPr>
            </w:pPr>
          </w:p>
        </w:tc>
        <w:tc>
          <w:tcPr>
            <w:tcW w:w="815" w:type="dxa"/>
            <w:shd w:val="clear" w:color="auto" w:fill="FFFFFF" w:themeFill="background1"/>
            <w:noWrap/>
            <w:vAlign w:val="bottom"/>
          </w:tcPr>
          <w:p w14:paraId="2BDD7B89" w14:textId="77777777" w:rsidR="00DC3ED3" w:rsidRPr="007927A4" w:rsidRDefault="00DC3ED3" w:rsidP="00F12147">
            <w:pPr>
              <w:rPr>
                <w:rFonts w:eastAsiaTheme="minorEastAsia"/>
              </w:rPr>
            </w:pPr>
          </w:p>
        </w:tc>
        <w:tc>
          <w:tcPr>
            <w:tcW w:w="360" w:type="dxa"/>
            <w:shd w:val="clear" w:color="auto" w:fill="FFFFFF" w:themeFill="background1"/>
            <w:vAlign w:val="bottom"/>
          </w:tcPr>
          <w:p w14:paraId="6AD8F422" w14:textId="77777777" w:rsidR="00DC3ED3" w:rsidRPr="007927A4" w:rsidRDefault="00DC3ED3" w:rsidP="00F12147">
            <w:pPr>
              <w:rPr>
                <w:rFonts w:eastAsiaTheme="minorEastAsia"/>
              </w:rPr>
            </w:pPr>
          </w:p>
        </w:tc>
        <w:tc>
          <w:tcPr>
            <w:tcW w:w="900" w:type="dxa"/>
            <w:shd w:val="clear" w:color="auto" w:fill="FFFFFF" w:themeFill="background1"/>
            <w:noWrap/>
            <w:vAlign w:val="bottom"/>
          </w:tcPr>
          <w:p w14:paraId="201AB37D" w14:textId="77777777" w:rsidR="00DC3ED3" w:rsidRPr="007927A4" w:rsidRDefault="00DC3ED3" w:rsidP="00F12147">
            <w:pPr>
              <w:rPr>
                <w:rFonts w:eastAsiaTheme="minorEastAsia"/>
              </w:rPr>
            </w:pPr>
          </w:p>
        </w:tc>
        <w:tc>
          <w:tcPr>
            <w:tcW w:w="900" w:type="dxa"/>
            <w:shd w:val="clear" w:color="auto" w:fill="FFFFFF" w:themeFill="background1"/>
            <w:noWrap/>
            <w:vAlign w:val="bottom"/>
          </w:tcPr>
          <w:p w14:paraId="3B64950F" w14:textId="77777777" w:rsidR="00DC3ED3" w:rsidRPr="007927A4" w:rsidRDefault="00DC3ED3" w:rsidP="00F12147">
            <w:pPr>
              <w:rPr>
                <w:rFonts w:eastAsiaTheme="minorEastAsia"/>
              </w:rPr>
            </w:pPr>
          </w:p>
        </w:tc>
        <w:tc>
          <w:tcPr>
            <w:tcW w:w="813" w:type="dxa"/>
            <w:shd w:val="clear" w:color="auto" w:fill="FFFFFF" w:themeFill="background1"/>
            <w:noWrap/>
            <w:vAlign w:val="bottom"/>
          </w:tcPr>
          <w:p w14:paraId="1CB72157" w14:textId="77777777" w:rsidR="00DC3ED3" w:rsidRPr="007927A4" w:rsidRDefault="00DC3ED3" w:rsidP="00F12147">
            <w:pPr>
              <w:rPr>
                <w:rFonts w:eastAsiaTheme="minorEastAsia"/>
              </w:rPr>
            </w:pPr>
          </w:p>
        </w:tc>
        <w:tc>
          <w:tcPr>
            <w:tcW w:w="270" w:type="dxa"/>
            <w:shd w:val="clear" w:color="auto" w:fill="FFFFFF" w:themeFill="background1"/>
            <w:vAlign w:val="bottom"/>
          </w:tcPr>
          <w:p w14:paraId="3886C59F" w14:textId="77777777" w:rsidR="00DC3ED3" w:rsidRPr="007927A4" w:rsidRDefault="00DC3ED3" w:rsidP="00F12147">
            <w:pPr>
              <w:rPr>
                <w:rFonts w:eastAsiaTheme="minorEastAsia"/>
                <w:b/>
              </w:rPr>
            </w:pPr>
          </w:p>
        </w:tc>
        <w:tc>
          <w:tcPr>
            <w:tcW w:w="900" w:type="dxa"/>
            <w:shd w:val="clear" w:color="auto" w:fill="FFFFFF" w:themeFill="background1"/>
            <w:noWrap/>
            <w:vAlign w:val="bottom"/>
          </w:tcPr>
          <w:p w14:paraId="25583563" w14:textId="77777777" w:rsidR="00DC3ED3" w:rsidRPr="007927A4" w:rsidRDefault="00DC3ED3" w:rsidP="00F12147">
            <w:pPr>
              <w:rPr>
                <w:rFonts w:eastAsiaTheme="minorEastAsia"/>
                <w:b/>
              </w:rPr>
            </w:pPr>
          </w:p>
        </w:tc>
        <w:tc>
          <w:tcPr>
            <w:tcW w:w="810" w:type="dxa"/>
            <w:shd w:val="clear" w:color="auto" w:fill="FFFFFF" w:themeFill="background1"/>
            <w:noWrap/>
            <w:vAlign w:val="bottom"/>
          </w:tcPr>
          <w:p w14:paraId="4404DB86" w14:textId="77777777" w:rsidR="00DC3ED3" w:rsidRPr="007927A4" w:rsidRDefault="00DC3ED3" w:rsidP="00F12147">
            <w:pPr>
              <w:rPr>
                <w:rFonts w:eastAsiaTheme="minorEastAsia"/>
              </w:rPr>
            </w:pPr>
          </w:p>
        </w:tc>
        <w:tc>
          <w:tcPr>
            <w:tcW w:w="810" w:type="dxa"/>
            <w:shd w:val="clear" w:color="auto" w:fill="FFFFFF" w:themeFill="background1"/>
            <w:noWrap/>
            <w:vAlign w:val="bottom"/>
          </w:tcPr>
          <w:p w14:paraId="0966853D" w14:textId="77777777" w:rsidR="00DC3ED3" w:rsidRPr="007927A4" w:rsidRDefault="00DC3ED3" w:rsidP="00F12147">
            <w:pPr>
              <w:rPr>
                <w:rFonts w:eastAsiaTheme="minorEastAsia"/>
              </w:rPr>
            </w:pPr>
          </w:p>
        </w:tc>
      </w:tr>
      <w:tr w:rsidR="00DC3ED3" w:rsidRPr="007927A4" w14:paraId="6102E6D8" w14:textId="77777777" w:rsidTr="6A9E2235">
        <w:trPr>
          <w:trHeight w:val="320"/>
        </w:trPr>
        <w:tc>
          <w:tcPr>
            <w:tcW w:w="1705" w:type="dxa"/>
            <w:shd w:val="clear" w:color="auto" w:fill="auto"/>
            <w:noWrap/>
            <w:vAlign w:val="bottom"/>
          </w:tcPr>
          <w:p w14:paraId="7F87E609" w14:textId="77777777" w:rsidR="00DC3ED3" w:rsidRPr="007927A4" w:rsidRDefault="00DC3ED3" w:rsidP="004B1105">
            <w:pPr>
              <w:rPr>
                <w:rFonts w:eastAsiaTheme="minorEastAsia"/>
                <w:color w:val="000000"/>
              </w:rPr>
            </w:pPr>
            <w:r w:rsidRPr="7A9D7D5A">
              <w:rPr>
                <w:rFonts w:eastAsiaTheme="minorEastAsia"/>
                <w:color w:val="000000" w:themeColor="text1"/>
              </w:rPr>
              <w:t>Black</w:t>
            </w:r>
          </w:p>
        </w:tc>
        <w:tc>
          <w:tcPr>
            <w:tcW w:w="900" w:type="dxa"/>
            <w:shd w:val="clear" w:color="auto" w:fill="FFFFFF" w:themeFill="background1"/>
            <w:noWrap/>
            <w:vAlign w:val="bottom"/>
          </w:tcPr>
          <w:p w14:paraId="1B90DC16" w14:textId="77777777" w:rsidR="00DC3ED3" w:rsidRPr="007927A4" w:rsidRDefault="00DC3ED3" w:rsidP="00F12147">
            <w:pPr>
              <w:rPr>
                <w:rFonts w:eastAsiaTheme="minorEastAsia"/>
              </w:rPr>
            </w:pPr>
            <w:r w:rsidRPr="1BC1F171">
              <w:rPr>
                <w:rFonts w:ascii="Calibri" w:hAnsi="Calibri" w:cs="Calibri"/>
                <w:color w:val="000000" w:themeColor="text1"/>
              </w:rPr>
              <w:t>165</w:t>
            </w:r>
          </w:p>
        </w:tc>
        <w:tc>
          <w:tcPr>
            <w:tcW w:w="810" w:type="dxa"/>
            <w:shd w:val="clear" w:color="auto" w:fill="FFFFFF" w:themeFill="background1"/>
            <w:noWrap/>
            <w:vAlign w:val="bottom"/>
          </w:tcPr>
          <w:p w14:paraId="1F57F25D" w14:textId="77777777" w:rsidR="00DC3ED3" w:rsidRPr="007927A4" w:rsidRDefault="00DC3ED3" w:rsidP="00F12147">
            <w:pPr>
              <w:rPr>
                <w:rFonts w:eastAsiaTheme="minorEastAsia"/>
                <w:b/>
              </w:rPr>
            </w:pPr>
            <w:r w:rsidRPr="1BC1F171">
              <w:rPr>
                <w:rFonts w:ascii="Calibri" w:hAnsi="Calibri" w:cs="Calibri"/>
                <w:color w:val="000000" w:themeColor="text1"/>
              </w:rPr>
              <w:t>260</w:t>
            </w:r>
          </w:p>
        </w:tc>
        <w:tc>
          <w:tcPr>
            <w:tcW w:w="815" w:type="dxa"/>
            <w:shd w:val="clear" w:color="auto" w:fill="FFFFFF" w:themeFill="background1"/>
            <w:noWrap/>
            <w:vAlign w:val="bottom"/>
          </w:tcPr>
          <w:p w14:paraId="0BF9A05F" w14:textId="77777777" w:rsidR="00DC3ED3" w:rsidRPr="007927A4" w:rsidRDefault="00DC3ED3" w:rsidP="00F12147">
            <w:pPr>
              <w:rPr>
                <w:rFonts w:eastAsiaTheme="minorEastAsia"/>
              </w:rPr>
            </w:pPr>
            <w:r w:rsidRPr="1BC1F171">
              <w:rPr>
                <w:rFonts w:ascii="Calibri" w:hAnsi="Calibri" w:cs="Calibri"/>
                <w:color w:val="000000" w:themeColor="text1"/>
              </w:rPr>
              <w:t>118</w:t>
            </w:r>
          </w:p>
        </w:tc>
        <w:tc>
          <w:tcPr>
            <w:tcW w:w="360" w:type="dxa"/>
            <w:shd w:val="clear" w:color="auto" w:fill="FFFFFF" w:themeFill="background1"/>
            <w:vAlign w:val="bottom"/>
          </w:tcPr>
          <w:p w14:paraId="028A140A" w14:textId="77777777" w:rsidR="00DC3ED3" w:rsidRPr="7A9D7D5A" w:rsidRDefault="00DC3ED3" w:rsidP="00F12147">
            <w:pPr>
              <w:rPr>
                <w:rFonts w:eastAsiaTheme="minorEastAsia"/>
                <w:color w:val="000000" w:themeColor="text1"/>
              </w:rPr>
            </w:pPr>
          </w:p>
        </w:tc>
        <w:tc>
          <w:tcPr>
            <w:tcW w:w="900" w:type="dxa"/>
            <w:shd w:val="clear" w:color="auto" w:fill="FFFFFF" w:themeFill="background1"/>
            <w:noWrap/>
            <w:vAlign w:val="bottom"/>
          </w:tcPr>
          <w:p w14:paraId="062F679A" w14:textId="77777777" w:rsidR="00DC3ED3" w:rsidRPr="007927A4" w:rsidRDefault="00DC3ED3" w:rsidP="00F12147">
            <w:pPr>
              <w:rPr>
                <w:rFonts w:eastAsiaTheme="minorEastAsia"/>
              </w:rPr>
            </w:pPr>
            <w:r w:rsidRPr="1BC1F171">
              <w:rPr>
                <w:rFonts w:ascii="Calibri" w:hAnsi="Calibri" w:cs="Calibri"/>
                <w:color w:val="000000" w:themeColor="text1"/>
              </w:rPr>
              <w:t>116</w:t>
            </w:r>
          </w:p>
        </w:tc>
        <w:tc>
          <w:tcPr>
            <w:tcW w:w="900" w:type="dxa"/>
            <w:shd w:val="clear" w:color="auto" w:fill="FFFFFF" w:themeFill="background1"/>
            <w:noWrap/>
            <w:vAlign w:val="bottom"/>
          </w:tcPr>
          <w:p w14:paraId="63A6399D" w14:textId="77777777" w:rsidR="00DC3ED3" w:rsidRPr="007927A4" w:rsidRDefault="00DC3ED3" w:rsidP="00F12147">
            <w:pPr>
              <w:rPr>
                <w:rFonts w:eastAsiaTheme="minorEastAsia"/>
              </w:rPr>
            </w:pPr>
            <w:r w:rsidRPr="1BC1F171">
              <w:rPr>
                <w:rFonts w:ascii="Calibri" w:hAnsi="Calibri" w:cs="Calibri"/>
                <w:color w:val="000000" w:themeColor="text1"/>
              </w:rPr>
              <w:t>165</w:t>
            </w:r>
          </w:p>
        </w:tc>
        <w:tc>
          <w:tcPr>
            <w:tcW w:w="813" w:type="dxa"/>
            <w:shd w:val="clear" w:color="auto" w:fill="FFFFFF" w:themeFill="background1"/>
            <w:noWrap/>
            <w:vAlign w:val="bottom"/>
          </w:tcPr>
          <w:p w14:paraId="7AFD357B" w14:textId="77777777" w:rsidR="00DC3ED3" w:rsidRPr="00E42F35" w:rsidRDefault="00DC3ED3" w:rsidP="00F12147">
            <w:pPr>
              <w:rPr>
                <w:rFonts w:eastAsiaTheme="minorEastAsia"/>
                <w:b/>
              </w:rPr>
            </w:pPr>
            <w:r w:rsidRPr="1BC1F171">
              <w:rPr>
                <w:rFonts w:ascii="Calibri" w:hAnsi="Calibri" w:cs="Calibri"/>
                <w:color w:val="000000" w:themeColor="text1"/>
              </w:rPr>
              <w:t>91</w:t>
            </w:r>
          </w:p>
        </w:tc>
        <w:tc>
          <w:tcPr>
            <w:tcW w:w="270" w:type="dxa"/>
            <w:shd w:val="clear" w:color="auto" w:fill="FFFFFF" w:themeFill="background1"/>
            <w:vAlign w:val="bottom"/>
          </w:tcPr>
          <w:p w14:paraId="5EF9B175" w14:textId="77777777" w:rsidR="00DC3ED3" w:rsidRPr="7A9D7D5A" w:rsidRDefault="00DC3ED3" w:rsidP="00F12147">
            <w:pPr>
              <w:rPr>
                <w:rFonts w:eastAsiaTheme="minorEastAsia"/>
                <w:color w:val="000000" w:themeColor="text1"/>
              </w:rPr>
            </w:pPr>
          </w:p>
        </w:tc>
        <w:tc>
          <w:tcPr>
            <w:tcW w:w="900" w:type="dxa"/>
            <w:shd w:val="clear" w:color="auto" w:fill="FFFFFF" w:themeFill="background1"/>
            <w:noWrap/>
            <w:vAlign w:val="bottom"/>
          </w:tcPr>
          <w:p w14:paraId="2C19C66C" w14:textId="77777777" w:rsidR="00DC3ED3" w:rsidRPr="007927A4" w:rsidRDefault="00DC3ED3" w:rsidP="00F12147">
            <w:pPr>
              <w:rPr>
                <w:rFonts w:eastAsiaTheme="minorEastAsia"/>
                <w:b/>
              </w:rPr>
            </w:pPr>
            <w:r w:rsidRPr="1BC1F171">
              <w:rPr>
                <w:rFonts w:ascii="Calibri" w:hAnsi="Calibri" w:cs="Calibri"/>
                <w:color w:val="000000" w:themeColor="text1"/>
              </w:rPr>
              <w:t>116</w:t>
            </w:r>
          </w:p>
        </w:tc>
        <w:tc>
          <w:tcPr>
            <w:tcW w:w="810" w:type="dxa"/>
            <w:shd w:val="clear" w:color="auto" w:fill="FFFFFF" w:themeFill="background1"/>
            <w:noWrap/>
            <w:vAlign w:val="bottom"/>
          </w:tcPr>
          <w:p w14:paraId="73DDECCE" w14:textId="77777777" w:rsidR="00DC3ED3" w:rsidRPr="007927A4" w:rsidRDefault="00DC3ED3" w:rsidP="00F12147">
            <w:pPr>
              <w:rPr>
                <w:rFonts w:eastAsiaTheme="minorEastAsia"/>
              </w:rPr>
            </w:pPr>
            <w:r w:rsidRPr="1BC1F171">
              <w:rPr>
                <w:rFonts w:ascii="Calibri" w:hAnsi="Calibri" w:cs="Calibri"/>
                <w:color w:val="000000" w:themeColor="text1"/>
              </w:rPr>
              <w:t>165</w:t>
            </w:r>
          </w:p>
        </w:tc>
        <w:tc>
          <w:tcPr>
            <w:tcW w:w="810" w:type="dxa"/>
            <w:shd w:val="clear" w:color="auto" w:fill="FFFFFF" w:themeFill="background1"/>
            <w:noWrap/>
            <w:vAlign w:val="bottom"/>
          </w:tcPr>
          <w:p w14:paraId="23D2974B" w14:textId="77777777" w:rsidR="00DC3ED3" w:rsidRPr="007927A4" w:rsidRDefault="00DC3ED3" w:rsidP="00F12147">
            <w:pPr>
              <w:rPr>
                <w:rFonts w:eastAsiaTheme="minorEastAsia"/>
              </w:rPr>
            </w:pPr>
            <w:r w:rsidRPr="1BC1F171">
              <w:rPr>
                <w:rFonts w:ascii="Calibri" w:hAnsi="Calibri" w:cs="Calibri"/>
                <w:color w:val="000000" w:themeColor="text1"/>
              </w:rPr>
              <w:t>91</w:t>
            </w:r>
          </w:p>
        </w:tc>
      </w:tr>
      <w:tr w:rsidR="00DC3ED3" w:rsidRPr="007927A4" w14:paraId="5D07EABA" w14:textId="77777777" w:rsidTr="6A9E2235">
        <w:trPr>
          <w:trHeight w:val="320"/>
        </w:trPr>
        <w:tc>
          <w:tcPr>
            <w:tcW w:w="1705" w:type="dxa"/>
            <w:shd w:val="clear" w:color="auto" w:fill="auto"/>
            <w:noWrap/>
            <w:vAlign w:val="bottom"/>
          </w:tcPr>
          <w:p w14:paraId="475EDB10" w14:textId="77777777" w:rsidR="00DC3ED3" w:rsidRPr="007927A4" w:rsidRDefault="00DC3ED3" w:rsidP="004B1105">
            <w:pPr>
              <w:rPr>
                <w:rFonts w:eastAsiaTheme="minorEastAsia"/>
                <w:color w:val="000000"/>
              </w:rPr>
            </w:pPr>
            <w:r w:rsidRPr="7A9D7D5A">
              <w:rPr>
                <w:rFonts w:eastAsiaTheme="minorEastAsia"/>
                <w:color w:val="000000" w:themeColor="text1"/>
              </w:rPr>
              <w:t>Latinx</w:t>
            </w:r>
          </w:p>
        </w:tc>
        <w:tc>
          <w:tcPr>
            <w:tcW w:w="900" w:type="dxa"/>
            <w:shd w:val="clear" w:color="auto" w:fill="FFFFFF" w:themeFill="background1"/>
            <w:noWrap/>
            <w:vAlign w:val="bottom"/>
          </w:tcPr>
          <w:p w14:paraId="1D06D28D" w14:textId="77777777" w:rsidR="00DC3ED3" w:rsidRPr="007927A4" w:rsidRDefault="00DC3ED3" w:rsidP="00F12147">
            <w:pPr>
              <w:rPr>
                <w:rFonts w:eastAsiaTheme="minorEastAsia"/>
              </w:rPr>
            </w:pPr>
            <w:r w:rsidRPr="1BC1F171">
              <w:rPr>
                <w:rFonts w:ascii="Calibri" w:hAnsi="Calibri" w:cs="Calibri"/>
                <w:color w:val="000000" w:themeColor="text1"/>
              </w:rPr>
              <w:t>62</w:t>
            </w:r>
          </w:p>
        </w:tc>
        <w:tc>
          <w:tcPr>
            <w:tcW w:w="810" w:type="dxa"/>
            <w:shd w:val="clear" w:color="auto" w:fill="FFFFFF" w:themeFill="background1"/>
            <w:noWrap/>
            <w:vAlign w:val="bottom"/>
          </w:tcPr>
          <w:p w14:paraId="29C8279E" w14:textId="77777777" w:rsidR="00DC3ED3" w:rsidRPr="007927A4" w:rsidRDefault="00DC3ED3" w:rsidP="00F12147">
            <w:pPr>
              <w:rPr>
                <w:rFonts w:eastAsiaTheme="minorEastAsia"/>
                <w:b/>
              </w:rPr>
            </w:pPr>
            <w:r w:rsidRPr="1BC1F171">
              <w:rPr>
                <w:rFonts w:ascii="Calibri" w:hAnsi="Calibri" w:cs="Calibri"/>
                <w:color w:val="000000" w:themeColor="text1"/>
              </w:rPr>
              <w:t>117</w:t>
            </w:r>
          </w:p>
        </w:tc>
        <w:tc>
          <w:tcPr>
            <w:tcW w:w="815" w:type="dxa"/>
            <w:shd w:val="clear" w:color="auto" w:fill="FFFFFF" w:themeFill="background1"/>
            <w:noWrap/>
            <w:vAlign w:val="bottom"/>
          </w:tcPr>
          <w:p w14:paraId="7EA49B4E" w14:textId="77777777" w:rsidR="00DC3ED3" w:rsidRPr="007927A4" w:rsidRDefault="00DC3ED3" w:rsidP="00F12147">
            <w:pPr>
              <w:rPr>
                <w:rFonts w:eastAsiaTheme="minorEastAsia"/>
              </w:rPr>
            </w:pPr>
            <w:r w:rsidRPr="1BC1F171">
              <w:rPr>
                <w:rFonts w:ascii="Calibri" w:hAnsi="Calibri" w:cs="Calibri"/>
                <w:color w:val="000000" w:themeColor="text1"/>
              </w:rPr>
              <w:t>87</w:t>
            </w:r>
          </w:p>
        </w:tc>
        <w:tc>
          <w:tcPr>
            <w:tcW w:w="360" w:type="dxa"/>
            <w:shd w:val="clear" w:color="auto" w:fill="FFFFFF" w:themeFill="background1"/>
            <w:vAlign w:val="bottom"/>
          </w:tcPr>
          <w:p w14:paraId="0BE70769" w14:textId="77777777" w:rsidR="00DC3ED3" w:rsidRPr="7A9D7D5A" w:rsidRDefault="00DC3ED3" w:rsidP="00F12147">
            <w:pPr>
              <w:rPr>
                <w:rFonts w:eastAsiaTheme="minorEastAsia"/>
                <w:color w:val="000000" w:themeColor="text1"/>
              </w:rPr>
            </w:pPr>
          </w:p>
        </w:tc>
        <w:tc>
          <w:tcPr>
            <w:tcW w:w="900" w:type="dxa"/>
            <w:shd w:val="clear" w:color="auto" w:fill="FFFFFF" w:themeFill="background1"/>
            <w:noWrap/>
            <w:vAlign w:val="bottom"/>
          </w:tcPr>
          <w:p w14:paraId="3913F53A" w14:textId="77777777" w:rsidR="00DC3ED3" w:rsidRPr="007927A4" w:rsidRDefault="00DC3ED3" w:rsidP="00F12147">
            <w:pPr>
              <w:rPr>
                <w:rFonts w:eastAsiaTheme="minorEastAsia"/>
              </w:rPr>
            </w:pPr>
            <w:r w:rsidRPr="1BC1F171">
              <w:rPr>
                <w:rFonts w:ascii="Calibri" w:hAnsi="Calibri" w:cs="Calibri"/>
                <w:color w:val="000000" w:themeColor="text1"/>
              </w:rPr>
              <w:t>42</w:t>
            </w:r>
          </w:p>
        </w:tc>
        <w:tc>
          <w:tcPr>
            <w:tcW w:w="900" w:type="dxa"/>
            <w:shd w:val="clear" w:color="auto" w:fill="FFFFFF" w:themeFill="background1"/>
            <w:noWrap/>
            <w:vAlign w:val="bottom"/>
          </w:tcPr>
          <w:p w14:paraId="4DB380BF" w14:textId="77777777" w:rsidR="00DC3ED3" w:rsidRPr="007927A4" w:rsidRDefault="00DC3ED3" w:rsidP="00F12147">
            <w:pPr>
              <w:rPr>
                <w:rFonts w:eastAsiaTheme="minorEastAsia"/>
              </w:rPr>
            </w:pPr>
            <w:r w:rsidRPr="1BC1F171">
              <w:rPr>
                <w:rFonts w:ascii="Calibri" w:hAnsi="Calibri" w:cs="Calibri"/>
                <w:color w:val="000000" w:themeColor="text1"/>
              </w:rPr>
              <w:t>76</w:t>
            </w:r>
          </w:p>
        </w:tc>
        <w:tc>
          <w:tcPr>
            <w:tcW w:w="813" w:type="dxa"/>
            <w:shd w:val="clear" w:color="auto" w:fill="FFFFFF" w:themeFill="background1"/>
            <w:noWrap/>
            <w:vAlign w:val="bottom"/>
          </w:tcPr>
          <w:p w14:paraId="7A5EEE95" w14:textId="77777777" w:rsidR="00DC3ED3" w:rsidRPr="00E42F35" w:rsidRDefault="00DC3ED3" w:rsidP="00F12147">
            <w:pPr>
              <w:rPr>
                <w:rFonts w:eastAsiaTheme="minorEastAsia"/>
                <w:b/>
              </w:rPr>
            </w:pPr>
            <w:r w:rsidRPr="1BC1F171">
              <w:rPr>
                <w:rFonts w:ascii="Calibri" w:hAnsi="Calibri" w:cs="Calibri"/>
                <w:color w:val="000000" w:themeColor="text1"/>
              </w:rPr>
              <w:t>69</w:t>
            </w:r>
          </w:p>
        </w:tc>
        <w:tc>
          <w:tcPr>
            <w:tcW w:w="270" w:type="dxa"/>
            <w:shd w:val="clear" w:color="auto" w:fill="FFFFFF" w:themeFill="background1"/>
            <w:vAlign w:val="bottom"/>
          </w:tcPr>
          <w:p w14:paraId="26F3CA1C" w14:textId="77777777" w:rsidR="00DC3ED3" w:rsidRPr="7A9D7D5A" w:rsidRDefault="00DC3ED3" w:rsidP="00F12147">
            <w:pPr>
              <w:rPr>
                <w:rFonts w:eastAsiaTheme="minorEastAsia"/>
                <w:color w:val="000000" w:themeColor="text1"/>
              </w:rPr>
            </w:pPr>
          </w:p>
        </w:tc>
        <w:tc>
          <w:tcPr>
            <w:tcW w:w="900" w:type="dxa"/>
            <w:shd w:val="clear" w:color="auto" w:fill="FFFFFF" w:themeFill="background1"/>
            <w:noWrap/>
            <w:vAlign w:val="bottom"/>
          </w:tcPr>
          <w:p w14:paraId="719D50F0" w14:textId="77777777" w:rsidR="00DC3ED3" w:rsidRPr="007927A4" w:rsidRDefault="00DC3ED3" w:rsidP="00F12147">
            <w:pPr>
              <w:rPr>
                <w:rFonts w:eastAsiaTheme="minorEastAsia"/>
                <w:b/>
              </w:rPr>
            </w:pPr>
            <w:r w:rsidRPr="1BC1F171">
              <w:rPr>
                <w:rFonts w:ascii="Calibri" w:hAnsi="Calibri" w:cs="Calibri"/>
                <w:color w:val="000000" w:themeColor="text1"/>
              </w:rPr>
              <w:t>42</w:t>
            </w:r>
          </w:p>
        </w:tc>
        <w:tc>
          <w:tcPr>
            <w:tcW w:w="810" w:type="dxa"/>
            <w:shd w:val="clear" w:color="auto" w:fill="FFFFFF" w:themeFill="background1"/>
            <w:noWrap/>
            <w:vAlign w:val="bottom"/>
          </w:tcPr>
          <w:p w14:paraId="3B36ECF1" w14:textId="77777777" w:rsidR="00DC3ED3" w:rsidRPr="007927A4" w:rsidRDefault="00DC3ED3" w:rsidP="00F12147">
            <w:pPr>
              <w:rPr>
                <w:rFonts w:eastAsiaTheme="minorEastAsia"/>
              </w:rPr>
            </w:pPr>
            <w:r w:rsidRPr="1BC1F171">
              <w:rPr>
                <w:rFonts w:ascii="Calibri" w:hAnsi="Calibri" w:cs="Calibri"/>
                <w:color w:val="000000" w:themeColor="text1"/>
              </w:rPr>
              <w:t>76</w:t>
            </w:r>
          </w:p>
        </w:tc>
        <w:tc>
          <w:tcPr>
            <w:tcW w:w="810" w:type="dxa"/>
            <w:shd w:val="clear" w:color="auto" w:fill="FFFFFF" w:themeFill="background1"/>
            <w:noWrap/>
            <w:vAlign w:val="bottom"/>
          </w:tcPr>
          <w:p w14:paraId="452CA6CD" w14:textId="77777777" w:rsidR="00DC3ED3" w:rsidRPr="007927A4" w:rsidRDefault="00DC3ED3" w:rsidP="00F12147">
            <w:pPr>
              <w:rPr>
                <w:rFonts w:eastAsiaTheme="minorEastAsia"/>
              </w:rPr>
            </w:pPr>
            <w:r w:rsidRPr="1BC1F171">
              <w:rPr>
                <w:rFonts w:ascii="Calibri" w:hAnsi="Calibri" w:cs="Calibri"/>
                <w:color w:val="000000" w:themeColor="text1"/>
              </w:rPr>
              <w:t>69</w:t>
            </w:r>
          </w:p>
        </w:tc>
      </w:tr>
      <w:tr w:rsidR="00DC3ED3" w:rsidRPr="007927A4" w14:paraId="18D6292C" w14:textId="77777777" w:rsidTr="6A9E2235">
        <w:trPr>
          <w:trHeight w:val="320"/>
        </w:trPr>
        <w:tc>
          <w:tcPr>
            <w:tcW w:w="1705" w:type="dxa"/>
            <w:shd w:val="clear" w:color="auto" w:fill="auto"/>
            <w:noWrap/>
            <w:vAlign w:val="bottom"/>
          </w:tcPr>
          <w:p w14:paraId="13C4BCC3" w14:textId="77777777" w:rsidR="00DC3ED3" w:rsidRPr="007927A4" w:rsidRDefault="00DC3ED3" w:rsidP="004B1105">
            <w:pPr>
              <w:rPr>
                <w:rFonts w:eastAsiaTheme="minorEastAsia"/>
                <w:color w:val="000000"/>
              </w:rPr>
            </w:pPr>
            <w:r w:rsidRPr="7A9D7D5A">
              <w:rPr>
                <w:rFonts w:eastAsiaTheme="minorEastAsia"/>
                <w:color w:val="000000" w:themeColor="text1"/>
              </w:rPr>
              <w:t>White</w:t>
            </w:r>
          </w:p>
        </w:tc>
        <w:tc>
          <w:tcPr>
            <w:tcW w:w="900" w:type="dxa"/>
            <w:shd w:val="clear" w:color="auto" w:fill="FFFFFF" w:themeFill="background1"/>
            <w:noWrap/>
            <w:vAlign w:val="bottom"/>
          </w:tcPr>
          <w:p w14:paraId="7D8A3A7C" w14:textId="77777777" w:rsidR="00DC3ED3" w:rsidRPr="007927A4" w:rsidRDefault="00DC3ED3" w:rsidP="00F12147">
            <w:pPr>
              <w:rPr>
                <w:rFonts w:eastAsiaTheme="minorEastAsia"/>
              </w:rPr>
            </w:pPr>
            <w:r w:rsidRPr="1BC1F171">
              <w:rPr>
                <w:rFonts w:ascii="Calibri" w:hAnsi="Calibri" w:cs="Calibri"/>
                <w:color w:val="000000" w:themeColor="text1"/>
              </w:rPr>
              <w:t>76</w:t>
            </w:r>
          </w:p>
        </w:tc>
        <w:tc>
          <w:tcPr>
            <w:tcW w:w="810" w:type="dxa"/>
            <w:shd w:val="clear" w:color="auto" w:fill="FFFFFF" w:themeFill="background1"/>
            <w:noWrap/>
            <w:vAlign w:val="bottom"/>
          </w:tcPr>
          <w:p w14:paraId="3AF2A959" w14:textId="77777777" w:rsidR="00DC3ED3" w:rsidRPr="007927A4" w:rsidRDefault="00DC3ED3" w:rsidP="00F12147">
            <w:pPr>
              <w:rPr>
                <w:rFonts w:eastAsiaTheme="minorEastAsia"/>
                <w:b/>
              </w:rPr>
            </w:pPr>
            <w:r w:rsidRPr="1BC1F171">
              <w:rPr>
                <w:rFonts w:ascii="Calibri" w:hAnsi="Calibri" w:cs="Calibri"/>
                <w:color w:val="000000" w:themeColor="text1"/>
              </w:rPr>
              <w:t>131</w:t>
            </w:r>
          </w:p>
        </w:tc>
        <w:tc>
          <w:tcPr>
            <w:tcW w:w="815" w:type="dxa"/>
            <w:shd w:val="clear" w:color="auto" w:fill="FFFFFF" w:themeFill="background1"/>
            <w:noWrap/>
            <w:vAlign w:val="bottom"/>
          </w:tcPr>
          <w:p w14:paraId="0A579061" w14:textId="77777777" w:rsidR="00DC3ED3" w:rsidRPr="007927A4" w:rsidRDefault="00DC3ED3" w:rsidP="00F12147">
            <w:pPr>
              <w:rPr>
                <w:rFonts w:eastAsiaTheme="minorEastAsia"/>
              </w:rPr>
            </w:pPr>
            <w:r w:rsidRPr="1BC1F171">
              <w:rPr>
                <w:rFonts w:ascii="Calibri" w:hAnsi="Calibri" w:cs="Calibri"/>
                <w:color w:val="000000" w:themeColor="text1"/>
              </w:rPr>
              <w:t>162</w:t>
            </w:r>
          </w:p>
        </w:tc>
        <w:tc>
          <w:tcPr>
            <w:tcW w:w="360" w:type="dxa"/>
            <w:shd w:val="clear" w:color="auto" w:fill="FFFFFF" w:themeFill="background1"/>
            <w:vAlign w:val="bottom"/>
          </w:tcPr>
          <w:p w14:paraId="5C4A92EF" w14:textId="77777777" w:rsidR="00DC3ED3" w:rsidRPr="7A9D7D5A" w:rsidRDefault="00DC3ED3" w:rsidP="00F12147">
            <w:pPr>
              <w:rPr>
                <w:rFonts w:eastAsiaTheme="minorEastAsia"/>
                <w:color w:val="000000" w:themeColor="text1"/>
              </w:rPr>
            </w:pPr>
          </w:p>
        </w:tc>
        <w:tc>
          <w:tcPr>
            <w:tcW w:w="900" w:type="dxa"/>
            <w:shd w:val="clear" w:color="auto" w:fill="FFFFFF" w:themeFill="background1"/>
            <w:noWrap/>
            <w:vAlign w:val="bottom"/>
          </w:tcPr>
          <w:p w14:paraId="33F3AF6B" w14:textId="77777777" w:rsidR="00DC3ED3" w:rsidRPr="007927A4" w:rsidRDefault="00DC3ED3" w:rsidP="00F12147">
            <w:pPr>
              <w:rPr>
                <w:rFonts w:eastAsiaTheme="minorEastAsia"/>
              </w:rPr>
            </w:pPr>
            <w:r w:rsidRPr="1BC1F171">
              <w:rPr>
                <w:rFonts w:ascii="Calibri" w:hAnsi="Calibri" w:cs="Calibri"/>
                <w:color w:val="000000" w:themeColor="text1"/>
              </w:rPr>
              <w:t>48</w:t>
            </w:r>
          </w:p>
        </w:tc>
        <w:tc>
          <w:tcPr>
            <w:tcW w:w="900" w:type="dxa"/>
            <w:shd w:val="clear" w:color="auto" w:fill="FFFFFF" w:themeFill="background1"/>
            <w:noWrap/>
            <w:vAlign w:val="bottom"/>
          </w:tcPr>
          <w:p w14:paraId="269D787C" w14:textId="77777777" w:rsidR="00DC3ED3" w:rsidRPr="007927A4" w:rsidRDefault="00DC3ED3" w:rsidP="00F12147">
            <w:pPr>
              <w:rPr>
                <w:rFonts w:eastAsiaTheme="minorEastAsia"/>
              </w:rPr>
            </w:pPr>
            <w:r w:rsidRPr="1BC1F171">
              <w:rPr>
                <w:rFonts w:ascii="Calibri" w:hAnsi="Calibri" w:cs="Calibri"/>
                <w:color w:val="000000" w:themeColor="text1"/>
              </w:rPr>
              <w:t>76</w:t>
            </w:r>
          </w:p>
        </w:tc>
        <w:tc>
          <w:tcPr>
            <w:tcW w:w="813" w:type="dxa"/>
            <w:shd w:val="clear" w:color="auto" w:fill="FFFFFF" w:themeFill="background1"/>
            <w:noWrap/>
            <w:vAlign w:val="bottom"/>
          </w:tcPr>
          <w:p w14:paraId="0223F402" w14:textId="77777777" w:rsidR="00DC3ED3" w:rsidRPr="00E42F35" w:rsidRDefault="00DC3ED3" w:rsidP="00F12147">
            <w:pPr>
              <w:rPr>
                <w:rFonts w:eastAsiaTheme="minorEastAsia"/>
                <w:b/>
              </w:rPr>
            </w:pPr>
            <w:r w:rsidRPr="1BC1F171">
              <w:rPr>
                <w:rFonts w:ascii="Calibri" w:hAnsi="Calibri" w:cs="Calibri"/>
                <w:color w:val="000000" w:themeColor="text1"/>
              </w:rPr>
              <w:t>134</w:t>
            </w:r>
          </w:p>
        </w:tc>
        <w:tc>
          <w:tcPr>
            <w:tcW w:w="270" w:type="dxa"/>
            <w:shd w:val="clear" w:color="auto" w:fill="FFFFFF" w:themeFill="background1"/>
            <w:vAlign w:val="bottom"/>
          </w:tcPr>
          <w:p w14:paraId="3854A4BA" w14:textId="77777777" w:rsidR="00DC3ED3" w:rsidRPr="7A9D7D5A" w:rsidRDefault="00DC3ED3" w:rsidP="00F12147">
            <w:pPr>
              <w:rPr>
                <w:rFonts w:eastAsiaTheme="minorEastAsia"/>
                <w:color w:val="000000" w:themeColor="text1"/>
              </w:rPr>
            </w:pPr>
          </w:p>
        </w:tc>
        <w:tc>
          <w:tcPr>
            <w:tcW w:w="900" w:type="dxa"/>
            <w:shd w:val="clear" w:color="auto" w:fill="FFFFFF" w:themeFill="background1"/>
            <w:noWrap/>
            <w:vAlign w:val="bottom"/>
          </w:tcPr>
          <w:p w14:paraId="22404FA9" w14:textId="77777777" w:rsidR="00DC3ED3" w:rsidRPr="007927A4" w:rsidRDefault="00DC3ED3" w:rsidP="00F12147">
            <w:pPr>
              <w:rPr>
                <w:rFonts w:eastAsiaTheme="minorEastAsia"/>
                <w:b/>
              </w:rPr>
            </w:pPr>
            <w:r w:rsidRPr="1BC1F171">
              <w:rPr>
                <w:rFonts w:ascii="Calibri" w:hAnsi="Calibri" w:cs="Calibri"/>
                <w:color w:val="000000" w:themeColor="text1"/>
              </w:rPr>
              <w:t>48</w:t>
            </w:r>
          </w:p>
        </w:tc>
        <w:tc>
          <w:tcPr>
            <w:tcW w:w="810" w:type="dxa"/>
            <w:shd w:val="clear" w:color="auto" w:fill="FFFFFF" w:themeFill="background1"/>
            <w:noWrap/>
            <w:vAlign w:val="bottom"/>
          </w:tcPr>
          <w:p w14:paraId="183CD9F1" w14:textId="77777777" w:rsidR="00DC3ED3" w:rsidRPr="007927A4" w:rsidRDefault="00DC3ED3" w:rsidP="00F12147">
            <w:pPr>
              <w:rPr>
                <w:rFonts w:eastAsiaTheme="minorEastAsia"/>
              </w:rPr>
            </w:pPr>
            <w:r w:rsidRPr="1BC1F171">
              <w:rPr>
                <w:rFonts w:ascii="Calibri" w:hAnsi="Calibri" w:cs="Calibri"/>
                <w:color w:val="000000" w:themeColor="text1"/>
              </w:rPr>
              <w:t>76</w:t>
            </w:r>
          </w:p>
        </w:tc>
        <w:tc>
          <w:tcPr>
            <w:tcW w:w="810" w:type="dxa"/>
            <w:shd w:val="clear" w:color="auto" w:fill="FFFFFF" w:themeFill="background1"/>
            <w:noWrap/>
            <w:vAlign w:val="bottom"/>
          </w:tcPr>
          <w:p w14:paraId="7181BA54" w14:textId="77777777" w:rsidR="00DC3ED3" w:rsidRPr="007927A4" w:rsidRDefault="00DC3ED3" w:rsidP="00F12147">
            <w:pPr>
              <w:rPr>
                <w:rFonts w:eastAsiaTheme="minorEastAsia"/>
              </w:rPr>
            </w:pPr>
            <w:r w:rsidRPr="1BC1F171">
              <w:rPr>
                <w:rFonts w:ascii="Calibri" w:hAnsi="Calibri" w:cs="Calibri"/>
                <w:color w:val="000000" w:themeColor="text1"/>
              </w:rPr>
              <w:t>134</w:t>
            </w:r>
          </w:p>
        </w:tc>
      </w:tr>
      <w:tr w:rsidR="00DC3ED3" w:rsidRPr="7A9D7D5A" w14:paraId="317EE5BD" w14:textId="77777777" w:rsidTr="6A9E2235">
        <w:trPr>
          <w:trHeight w:val="320"/>
        </w:trPr>
        <w:tc>
          <w:tcPr>
            <w:tcW w:w="1705" w:type="dxa"/>
            <w:shd w:val="clear" w:color="auto" w:fill="auto"/>
            <w:noWrap/>
            <w:vAlign w:val="bottom"/>
          </w:tcPr>
          <w:p w14:paraId="6AF62BD0" w14:textId="32D4B450" w:rsidR="00DC3ED3" w:rsidRPr="7A9D7D5A" w:rsidRDefault="00DC3ED3" w:rsidP="004B1105">
            <w:pPr>
              <w:rPr>
                <w:rFonts w:eastAsiaTheme="minorEastAsia"/>
                <w:b/>
                <w:color w:val="000000" w:themeColor="text1"/>
              </w:rPr>
            </w:pPr>
            <w:r>
              <w:rPr>
                <w:rFonts w:eastAsiaTheme="minorEastAsia"/>
                <w:color w:val="000000" w:themeColor="text1"/>
              </w:rPr>
              <w:t xml:space="preserve">Another </w:t>
            </w:r>
            <w:r w:rsidR="00B41838">
              <w:rPr>
                <w:rFonts w:eastAsiaTheme="minorEastAsia"/>
                <w:color w:val="000000" w:themeColor="text1"/>
              </w:rPr>
              <w:t>Race</w:t>
            </w:r>
          </w:p>
        </w:tc>
        <w:tc>
          <w:tcPr>
            <w:tcW w:w="900" w:type="dxa"/>
            <w:shd w:val="clear" w:color="auto" w:fill="FFFFFF" w:themeFill="background1"/>
            <w:noWrap/>
            <w:vAlign w:val="bottom"/>
          </w:tcPr>
          <w:p w14:paraId="00FBB890" w14:textId="77777777" w:rsidR="00DC3ED3" w:rsidRPr="007927A4" w:rsidRDefault="00DC3ED3" w:rsidP="00F12147">
            <w:pPr>
              <w:rPr>
                <w:rFonts w:eastAsiaTheme="minorEastAsia"/>
              </w:rPr>
            </w:pPr>
            <w:r w:rsidRPr="1BC1F171">
              <w:rPr>
                <w:rFonts w:ascii="Calibri" w:hAnsi="Calibri" w:cs="Calibri"/>
                <w:color w:val="000000" w:themeColor="text1"/>
              </w:rPr>
              <w:t>54</w:t>
            </w:r>
          </w:p>
        </w:tc>
        <w:tc>
          <w:tcPr>
            <w:tcW w:w="810" w:type="dxa"/>
            <w:shd w:val="clear" w:color="auto" w:fill="FFFFFF" w:themeFill="background1"/>
            <w:noWrap/>
            <w:vAlign w:val="bottom"/>
          </w:tcPr>
          <w:p w14:paraId="53E4124D" w14:textId="77777777" w:rsidR="00DC3ED3" w:rsidRPr="007927A4" w:rsidRDefault="00DC3ED3" w:rsidP="00F12147">
            <w:pPr>
              <w:rPr>
                <w:rFonts w:eastAsiaTheme="minorEastAsia"/>
                <w:b/>
              </w:rPr>
            </w:pPr>
            <w:r w:rsidRPr="1BC1F171">
              <w:rPr>
                <w:rFonts w:ascii="Calibri" w:hAnsi="Calibri" w:cs="Calibri"/>
                <w:color w:val="000000" w:themeColor="text1"/>
              </w:rPr>
              <w:t>72</w:t>
            </w:r>
          </w:p>
        </w:tc>
        <w:tc>
          <w:tcPr>
            <w:tcW w:w="815" w:type="dxa"/>
            <w:shd w:val="clear" w:color="auto" w:fill="FFFFFF" w:themeFill="background1"/>
            <w:noWrap/>
            <w:vAlign w:val="bottom"/>
          </w:tcPr>
          <w:p w14:paraId="6F9EF155" w14:textId="77777777" w:rsidR="00DC3ED3" w:rsidRPr="007927A4" w:rsidRDefault="00DC3ED3" w:rsidP="00F12147">
            <w:pPr>
              <w:rPr>
                <w:rFonts w:eastAsiaTheme="minorEastAsia"/>
              </w:rPr>
            </w:pPr>
            <w:r w:rsidRPr="1BC1F171">
              <w:rPr>
                <w:rFonts w:ascii="Calibri" w:hAnsi="Calibri" w:cs="Calibri"/>
                <w:color w:val="000000" w:themeColor="text1"/>
              </w:rPr>
              <w:t>46</w:t>
            </w:r>
          </w:p>
        </w:tc>
        <w:tc>
          <w:tcPr>
            <w:tcW w:w="360" w:type="dxa"/>
            <w:shd w:val="clear" w:color="auto" w:fill="FFFFFF" w:themeFill="background1"/>
            <w:vAlign w:val="bottom"/>
          </w:tcPr>
          <w:p w14:paraId="3F9D3B9F" w14:textId="77777777" w:rsidR="00DC3ED3" w:rsidRPr="7A9D7D5A" w:rsidRDefault="00DC3ED3" w:rsidP="00F12147">
            <w:pPr>
              <w:rPr>
                <w:rFonts w:eastAsiaTheme="minorEastAsia"/>
                <w:color w:val="000000" w:themeColor="text1"/>
              </w:rPr>
            </w:pPr>
          </w:p>
        </w:tc>
        <w:tc>
          <w:tcPr>
            <w:tcW w:w="900" w:type="dxa"/>
            <w:shd w:val="clear" w:color="auto" w:fill="FFFFFF" w:themeFill="background1"/>
            <w:noWrap/>
            <w:vAlign w:val="bottom"/>
          </w:tcPr>
          <w:p w14:paraId="0E05126A" w14:textId="77777777" w:rsidR="00DC3ED3" w:rsidRPr="007927A4" w:rsidRDefault="00DC3ED3" w:rsidP="00F12147">
            <w:pPr>
              <w:rPr>
                <w:rFonts w:eastAsiaTheme="minorEastAsia"/>
              </w:rPr>
            </w:pPr>
            <w:r w:rsidRPr="1BC1F171">
              <w:rPr>
                <w:rFonts w:ascii="Calibri" w:hAnsi="Calibri" w:cs="Calibri"/>
                <w:color w:val="000000" w:themeColor="text1"/>
              </w:rPr>
              <w:t>30</w:t>
            </w:r>
          </w:p>
        </w:tc>
        <w:tc>
          <w:tcPr>
            <w:tcW w:w="900" w:type="dxa"/>
            <w:shd w:val="clear" w:color="auto" w:fill="FFFFFF" w:themeFill="background1"/>
            <w:noWrap/>
            <w:vAlign w:val="bottom"/>
          </w:tcPr>
          <w:p w14:paraId="73A02334" w14:textId="77777777" w:rsidR="00DC3ED3" w:rsidRPr="007927A4" w:rsidRDefault="00DC3ED3" w:rsidP="00F12147">
            <w:pPr>
              <w:rPr>
                <w:rFonts w:eastAsiaTheme="minorEastAsia"/>
              </w:rPr>
            </w:pPr>
            <w:r w:rsidRPr="1BC1F171">
              <w:rPr>
                <w:rFonts w:ascii="Calibri" w:hAnsi="Calibri" w:cs="Calibri"/>
                <w:color w:val="000000" w:themeColor="text1"/>
              </w:rPr>
              <w:t>53</w:t>
            </w:r>
          </w:p>
        </w:tc>
        <w:tc>
          <w:tcPr>
            <w:tcW w:w="813" w:type="dxa"/>
            <w:shd w:val="clear" w:color="auto" w:fill="FFFFFF" w:themeFill="background1"/>
            <w:noWrap/>
            <w:vAlign w:val="bottom"/>
          </w:tcPr>
          <w:p w14:paraId="617372A8" w14:textId="77777777" w:rsidR="00DC3ED3" w:rsidRPr="007927A4" w:rsidRDefault="00DC3ED3" w:rsidP="00F12147">
            <w:pPr>
              <w:rPr>
                <w:rFonts w:eastAsiaTheme="minorEastAsia"/>
              </w:rPr>
            </w:pPr>
            <w:r w:rsidRPr="1BC1F171">
              <w:rPr>
                <w:rFonts w:ascii="Calibri" w:hAnsi="Calibri" w:cs="Calibri"/>
                <w:color w:val="000000" w:themeColor="text1"/>
              </w:rPr>
              <w:t>34</w:t>
            </w:r>
          </w:p>
        </w:tc>
        <w:tc>
          <w:tcPr>
            <w:tcW w:w="270" w:type="dxa"/>
            <w:shd w:val="clear" w:color="auto" w:fill="FFFFFF" w:themeFill="background1"/>
            <w:vAlign w:val="bottom"/>
          </w:tcPr>
          <w:p w14:paraId="25027F1C" w14:textId="77777777" w:rsidR="00DC3ED3" w:rsidRPr="7A9D7D5A" w:rsidRDefault="00DC3ED3" w:rsidP="00F12147">
            <w:pPr>
              <w:rPr>
                <w:rFonts w:eastAsiaTheme="minorEastAsia"/>
                <w:color w:val="000000" w:themeColor="text1"/>
              </w:rPr>
            </w:pPr>
          </w:p>
        </w:tc>
        <w:tc>
          <w:tcPr>
            <w:tcW w:w="900" w:type="dxa"/>
            <w:shd w:val="clear" w:color="auto" w:fill="FFFFFF" w:themeFill="background1"/>
            <w:noWrap/>
            <w:vAlign w:val="bottom"/>
          </w:tcPr>
          <w:p w14:paraId="6BD3141C" w14:textId="77777777" w:rsidR="00DC3ED3" w:rsidRPr="007927A4" w:rsidRDefault="00DC3ED3" w:rsidP="00F12147">
            <w:pPr>
              <w:rPr>
                <w:rFonts w:eastAsiaTheme="minorEastAsia"/>
                <w:b/>
              </w:rPr>
            </w:pPr>
            <w:r w:rsidRPr="1BC1F171">
              <w:rPr>
                <w:rFonts w:ascii="Calibri" w:hAnsi="Calibri" w:cs="Calibri"/>
                <w:color w:val="000000" w:themeColor="text1"/>
              </w:rPr>
              <w:t>30</w:t>
            </w:r>
          </w:p>
        </w:tc>
        <w:tc>
          <w:tcPr>
            <w:tcW w:w="810" w:type="dxa"/>
            <w:shd w:val="clear" w:color="auto" w:fill="FFFFFF" w:themeFill="background1"/>
            <w:noWrap/>
            <w:vAlign w:val="bottom"/>
          </w:tcPr>
          <w:p w14:paraId="1BB76631" w14:textId="77777777" w:rsidR="00DC3ED3" w:rsidRPr="007927A4" w:rsidRDefault="00DC3ED3" w:rsidP="00F12147">
            <w:pPr>
              <w:rPr>
                <w:rFonts w:eastAsiaTheme="minorEastAsia"/>
              </w:rPr>
            </w:pPr>
            <w:r w:rsidRPr="1BC1F171">
              <w:rPr>
                <w:rFonts w:ascii="Calibri" w:hAnsi="Calibri" w:cs="Calibri"/>
                <w:color w:val="000000" w:themeColor="text1"/>
              </w:rPr>
              <w:t>53</w:t>
            </w:r>
          </w:p>
        </w:tc>
        <w:tc>
          <w:tcPr>
            <w:tcW w:w="810" w:type="dxa"/>
            <w:shd w:val="clear" w:color="auto" w:fill="FFFFFF" w:themeFill="background1"/>
            <w:noWrap/>
            <w:vAlign w:val="bottom"/>
          </w:tcPr>
          <w:p w14:paraId="65D82E8E" w14:textId="77777777" w:rsidR="00DC3ED3" w:rsidRPr="7A9D7D5A" w:rsidRDefault="00DC3ED3" w:rsidP="00F12147">
            <w:pPr>
              <w:rPr>
                <w:rFonts w:eastAsiaTheme="minorEastAsia"/>
                <w:color w:val="000000" w:themeColor="text1"/>
              </w:rPr>
            </w:pPr>
            <w:r w:rsidRPr="1BC1F171">
              <w:rPr>
                <w:rFonts w:ascii="Calibri" w:hAnsi="Calibri" w:cs="Calibri"/>
                <w:color w:val="000000" w:themeColor="text1"/>
              </w:rPr>
              <w:t>34</w:t>
            </w:r>
          </w:p>
        </w:tc>
      </w:tr>
      <w:tr w:rsidR="00DC3ED3" w:rsidRPr="007927A4" w14:paraId="63186985" w14:textId="77777777" w:rsidTr="6A9E2235">
        <w:trPr>
          <w:trHeight w:val="320"/>
        </w:trPr>
        <w:tc>
          <w:tcPr>
            <w:tcW w:w="1705" w:type="dxa"/>
            <w:shd w:val="clear" w:color="auto" w:fill="auto"/>
            <w:noWrap/>
            <w:vAlign w:val="bottom"/>
          </w:tcPr>
          <w:p w14:paraId="6C404991" w14:textId="5FAD0004" w:rsidR="00DC3ED3" w:rsidRPr="007927A4" w:rsidRDefault="00C80AEF" w:rsidP="004B1105">
            <w:pPr>
              <w:rPr>
                <w:rFonts w:eastAsiaTheme="minorEastAsia"/>
                <w:color w:val="000000"/>
              </w:rPr>
            </w:pPr>
            <w:r>
              <w:rPr>
                <w:rFonts w:eastAsiaTheme="minorEastAsia"/>
                <w:b/>
                <w:color w:val="000000" w:themeColor="text1"/>
              </w:rPr>
              <w:t>High</w:t>
            </w:r>
            <w:r w:rsidR="00DC3ED3" w:rsidRPr="7A9D7D5A">
              <w:rPr>
                <w:rFonts w:eastAsiaTheme="minorEastAsia"/>
                <w:b/>
                <w:color w:val="000000" w:themeColor="text1"/>
              </w:rPr>
              <w:t xml:space="preserve"> </w:t>
            </w:r>
            <w:r w:rsidR="00DC3ED3">
              <w:rPr>
                <w:rFonts w:eastAsiaTheme="minorEastAsia"/>
                <w:b/>
                <w:color w:val="000000" w:themeColor="text1"/>
              </w:rPr>
              <w:t>Income</w:t>
            </w:r>
          </w:p>
        </w:tc>
        <w:tc>
          <w:tcPr>
            <w:tcW w:w="900" w:type="dxa"/>
            <w:shd w:val="clear" w:color="auto" w:fill="FFFFFF" w:themeFill="background1"/>
            <w:noWrap/>
            <w:vAlign w:val="bottom"/>
          </w:tcPr>
          <w:p w14:paraId="79532B92" w14:textId="77777777" w:rsidR="00DC3ED3" w:rsidRPr="007927A4" w:rsidRDefault="00DC3ED3" w:rsidP="00F12147">
            <w:pPr>
              <w:rPr>
                <w:rFonts w:eastAsiaTheme="minorEastAsia"/>
              </w:rPr>
            </w:pPr>
          </w:p>
        </w:tc>
        <w:tc>
          <w:tcPr>
            <w:tcW w:w="810" w:type="dxa"/>
            <w:shd w:val="clear" w:color="auto" w:fill="FFFFFF" w:themeFill="background1"/>
            <w:noWrap/>
            <w:vAlign w:val="bottom"/>
          </w:tcPr>
          <w:p w14:paraId="06BB6F76" w14:textId="77777777" w:rsidR="00DC3ED3" w:rsidRPr="007927A4" w:rsidRDefault="00DC3ED3" w:rsidP="00F12147">
            <w:pPr>
              <w:rPr>
                <w:rFonts w:eastAsiaTheme="minorEastAsia"/>
                <w:b/>
              </w:rPr>
            </w:pPr>
          </w:p>
        </w:tc>
        <w:tc>
          <w:tcPr>
            <w:tcW w:w="815" w:type="dxa"/>
            <w:shd w:val="clear" w:color="auto" w:fill="FFFFFF" w:themeFill="background1"/>
            <w:noWrap/>
            <w:vAlign w:val="bottom"/>
          </w:tcPr>
          <w:p w14:paraId="5FAFB93D" w14:textId="77777777" w:rsidR="00DC3ED3" w:rsidRPr="007927A4" w:rsidRDefault="00DC3ED3" w:rsidP="00F12147">
            <w:pPr>
              <w:rPr>
                <w:rFonts w:eastAsiaTheme="minorEastAsia"/>
              </w:rPr>
            </w:pPr>
          </w:p>
        </w:tc>
        <w:tc>
          <w:tcPr>
            <w:tcW w:w="360" w:type="dxa"/>
            <w:shd w:val="clear" w:color="auto" w:fill="FFFFFF" w:themeFill="background1"/>
            <w:vAlign w:val="bottom"/>
          </w:tcPr>
          <w:p w14:paraId="73623BEA" w14:textId="77777777" w:rsidR="00DC3ED3" w:rsidRPr="007927A4" w:rsidRDefault="00DC3ED3" w:rsidP="00F12147">
            <w:pPr>
              <w:rPr>
                <w:rFonts w:eastAsiaTheme="minorEastAsia"/>
              </w:rPr>
            </w:pPr>
          </w:p>
        </w:tc>
        <w:tc>
          <w:tcPr>
            <w:tcW w:w="900" w:type="dxa"/>
            <w:shd w:val="clear" w:color="auto" w:fill="FFFFFF" w:themeFill="background1"/>
            <w:noWrap/>
            <w:vAlign w:val="bottom"/>
          </w:tcPr>
          <w:p w14:paraId="1AA16949" w14:textId="77777777" w:rsidR="00DC3ED3" w:rsidRPr="007927A4" w:rsidRDefault="00DC3ED3" w:rsidP="00F12147">
            <w:pPr>
              <w:rPr>
                <w:rFonts w:eastAsiaTheme="minorEastAsia"/>
              </w:rPr>
            </w:pPr>
          </w:p>
        </w:tc>
        <w:tc>
          <w:tcPr>
            <w:tcW w:w="900" w:type="dxa"/>
            <w:shd w:val="clear" w:color="auto" w:fill="FFFFFF" w:themeFill="background1"/>
            <w:noWrap/>
            <w:vAlign w:val="bottom"/>
          </w:tcPr>
          <w:p w14:paraId="3D50D0F0" w14:textId="77777777" w:rsidR="00DC3ED3" w:rsidRPr="007927A4" w:rsidRDefault="00DC3ED3" w:rsidP="00F12147">
            <w:pPr>
              <w:rPr>
                <w:rFonts w:eastAsiaTheme="minorEastAsia"/>
              </w:rPr>
            </w:pPr>
          </w:p>
        </w:tc>
        <w:tc>
          <w:tcPr>
            <w:tcW w:w="813" w:type="dxa"/>
            <w:shd w:val="clear" w:color="auto" w:fill="FFFFFF" w:themeFill="background1"/>
            <w:noWrap/>
            <w:vAlign w:val="bottom"/>
          </w:tcPr>
          <w:p w14:paraId="606C6299" w14:textId="77777777" w:rsidR="00DC3ED3" w:rsidRPr="007927A4" w:rsidRDefault="00DC3ED3" w:rsidP="00F12147">
            <w:pPr>
              <w:rPr>
                <w:rFonts w:eastAsiaTheme="minorEastAsia"/>
              </w:rPr>
            </w:pPr>
          </w:p>
        </w:tc>
        <w:tc>
          <w:tcPr>
            <w:tcW w:w="270" w:type="dxa"/>
            <w:shd w:val="clear" w:color="auto" w:fill="FFFFFF" w:themeFill="background1"/>
            <w:vAlign w:val="bottom"/>
          </w:tcPr>
          <w:p w14:paraId="390F7880" w14:textId="77777777" w:rsidR="00DC3ED3" w:rsidRPr="007927A4" w:rsidRDefault="00DC3ED3" w:rsidP="00F12147">
            <w:pPr>
              <w:rPr>
                <w:rFonts w:eastAsiaTheme="minorEastAsia"/>
                <w:b/>
              </w:rPr>
            </w:pPr>
          </w:p>
        </w:tc>
        <w:tc>
          <w:tcPr>
            <w:tcW w:w="900" w:type="dxa"/>
            <w:shd w:val="clear" w:color="auto" w:fill="FFFFFF" w:themeFill="background1"/>
            <w:noWrap/>
            <w:vAlign w:val="bottom"/>
          </w:tcPr>
          <w:p w14:paraId="218E9613" w14:textId="77777777" w:rsidR="00DC3ED3" w:rsidRPr="007927A4" w:rsidRDefault="00DC3ED3" w:rsidP="00F12147">
            <w:pPr>
              <w:rPr>
                <w:rFonts w:eastAsiaTheme="minorEastAsia"/>
                <w:b/>
              </w:rPr>
            </w:pPr>
          </w:p>
        </w:tc>
        <w:tc>
          <w:tcPr>
            <w:tcW w:w="810" w:type="dxa"/>
            <w:shd w:val="clear" w:color="auto" w:fill="FFFFFF" w:themeFill="background1"/>
            <w:noWrap/>
            <w:vAlign w:val="bottom"/>
          </w:tcPr>
          <w:p w14:paraId="76202CFE" w14:textId="77777777" w:rsidR="00DC3ED3" w:rsidRPr="007927A4" w:rsidRDefault="00DC3ED3" w:rsidP="00F12147">
            <w:pPr>
              <w:rPr>
                <w:rFonts w:eastAsiaTheme="minorEastAsia"/>
              </w:rPr>
            </w:pPr>
          </w:p>
        </w:tc>
        <w:tc>
          <w:tcPr>
            <w:tcW w:w="810" w:type="dxa"/>
            <w:shd w:val="clear" w:color="auto" w:fill="FFFFFF" w:themeFill="background1"/>
            <w:noWrap/>
            <w:vAlign w:val="bottom"/>
          </w:tcPr>
          <w:p w14:paraId="4B6B0129" w14:textId="77777777" w:rsidR="00DC3ED3" w:rsidRPr="007927A4" w:rsidRDefault="00DC3ED3" w:rsidP="00F12147">
            <w:pPr>
              <w:rPr>
                <w:rFonts w:eastAsiaTheme="minorEastAsia"/>
              </w:rPr>
            </w:pPr>
          </w:p>
        </w:tc>
      </w:tr>
      <w:tr w:rsidR="00DC3ED3" w:rsidRPr="007927A4" w14:paraId="67B7C2A9" w14:textId="77777777" w:rsidTr="6A9E2235">
        <w:trPr>
          <w:trHeight w:val="320"/>
        </w:trPr>
        <w:tc>
          <w:tcPr>
            <w:tcW w:w="1705" w:type="dxa"/>
            <w:shd w:val="clear" w:color="auto" w:fill="auto"/>
            <w:noWrap/>
            <w:vAlign w:val="bottom"/>
          </w:tcPr>
          <w:p w14:paraId="3A94F52C" w14:textId="77777777" w:rsidR="00DC3ED3" w:rsidRPr="007927A4" w:rsidRDefault="00DC3ED3" w:rsidP="004B1105">
            <w:pPr>
              <w:rPr>
                <w:rFonts w:eastAsiaTheme="minorEastAsia"/>
                <w:color w:val="000000"/>
              </w:rPr>
            </w:pPr>
            <w:r w:rsidRPr="7A9D7D5A">
              <w:rPr>
                <w:rFonts w:eastAsiaTheme="minorEastAsia"/>
                <w:color w:val="000000" w:themeColor="text1"/>
              </w:rPr>
              <w:t>Black</w:t>
            </w:r>
          </w:p>
        </w:tc>
        <w:tc>
          <w:tcPr>
            <w:tcW w:w="900" w:type="dxa"/>
            <w:shd w:val="clear" w:color="auto" w:fill="FFFFFF" w:themeFill="background1"/>
            <w:noWrap/>
            <w:vAlign w:val="bottom"/>
          </w:tcPr>
          <w:p w14:paraId="7F8E7B5D" w14:textId="77777777" w:rsidR="00DC3ED3" w:rsidRPr="007927A4" w:rsidRDefault="00DC3ED3" w:rsidP="00F12147">
            <w:pPr>
              <w:rPr>
                <w:rFonts w:eastAsiaTheme="minorEastAsia"/>
              </w:rPr>
            </w:pPr>
            <w:r w:rsidRPr="1BC1F171">
              <w:rPr>
                <w:rFonts w:ascii="Calibri" w:hAnsi="Calibri" w:cs="Calibri"/>
                <w:color w:val="000000" w:themeColor="text1"/>
              </w:rPr>
              <w:t>52</w:t>
            </w:r>
          </w:p>
        </w:tc>
        <w:tc>
          <w:tcPr>
            <w:tcW w:w="810" w:type="dxa"/>
            <w:shd w:val="clear" w:color="auto" w:fill="FFFFFF" w:themeFill="background1"/>
            <w:noWrap/>
            <w:vAlign w:val="bottom"/>
          </w:tcPr>
          <w:p w14:paraId="181F8B95" w14:textId="77777777" w:rsidR="00DC3ED3" w:rsidRPr="007927A4" w:rsidRDefault="00DC3ED3" w:rsidP="00F12147">
            <w:pPr>
              <w:rPr>
                <w:rFonts w:eastAsiaTheme="minorEastAsia"/>
                <w:b/>
              </w:rPr>
            </w:pPr>
            <w:r w:rsidRPr="1BC1F171">
              <w:rPr>
                <w:rFonts w:ascii="Calibri" w:hAnsi="Calibri" w:cs="Calibri"/>
                <w:color w:val="000000" w:themeColor="text1"/>
              </w:rPr>
              <w:t>120</w:t>
            </w:r>
          </w:p>
        </w:tc>
        <w:tc>
          <w:tcPr>
            <w:tcW w:w="815" w:type="dxa"/>
            <w:shd w:val="clear" w:color="auto" w:fill="FFFFFF" w:themeFill="background1"/>
            <w:noWrap/>
            <w:vAlign w:val="bottom"/>
          </w:tcPr>
          <w:p w14:paraId="0D3AA315" w14:textId="77777777" w:rsidR="00DC3ED3" w:rsidRPr="00FC28F1" w:rsidRDefault="00DC3ED3" w:rsidP="00F12147">
            <w:pPr>
              <w:rPr>
                <w:rFonts w:eastAsiaTheme="minorEastAsia"/>
                <w:b/>
              </w:rPr>
            </w:pPr>
            <w:r w:rsidRPr="1BC1F171">
              <w:rPr>
                <w:rFonts w:ascii="Calibri" w:hAnsi="Calibri" w:cs="Calibri"/>
                <w:color w:val="000000" w:themeColor="text1"/>
              </w:rPr>
              <w:t>156</w:t>
            </w:r>
          </w:p>
        </w:tc>
        <w:tc>
          <w:tcPr>
            <w:tcW w:w="360" w:type="dxa"/>
            <w:shd w:val="clear" w:color="auto" w:fill="FFFFFF" w:themeFill="background1"/>
            <w:vAlign w:val="bottom"/>
          </w:tcPr>
          <w:p w14:paraId="1D8F08D7" w14:textId="77777777" w:rsidR="00DC3ED3" w:rsidRPr="7A9D7D5A" w:rsidRDefault="00DC3ED3" w:rsidP="00F12147">
            <w:pPr>
              <w:rPr>
                <w:rFonts w:eastAsiaTheme="minorEastAsia"/>
                <w:b/>
                <w:color w:val="000000" w:themeColor="text1"/>
              </w:rPr>
            </w:pPr>
          </w:p>
        </w:tc>
        <w:tc>
          <w:tcPr>
            <w:tcW w:w="900" w:type="dxa"/>
            <w:shd w:val="clear" w:color="auto" w:fill="FFFFFF" w:themeFill="background1"/>
            <w:noWrap/>
            <w:vAlign w:val="bottom"/>
          </w:tcPr>
          <w:p w14:paraId="1352DA07" w14:textId="77777777" w:rsidR="00DC3ED3" w:rsidRPr="00E42F35" w:rsidRDefault="00DC3ED3" w:rsidP="00F12147">
            <w:pPr>
              <w:rPr>
                <w:rFonts w:eastAsiaTheme="minorEastAsia"/>
                <w:b/>
              </w:rPr>
            </w:pPr>
            <w:r w:rsidRPr="1BC1F171">
              <w:rPr>
                <w:rFonts w:ascii="Calibri" w:hAnsi="Calibri" w:cs="Calibri"/>
                <w:color w:val="000000" w:themeColor="text1"/>
              </w:rPr>
              <w:t>34</w:t>
            </w:r>
          </w:p>
        </w:tc>
        <w:tc>
          <w:tcPr>
            <w:tcW w:w="900" w:type="dxa"/>
            <w:shd w:val="clear" w:color="auto" w:fill="FFFFFF" w:themeFill="background1"/>
            <w:noWrap/>
            <w:vAlign w:val="bottom"/>
          </w:tcPr>
          <w:p w14:paraId="6C8301AD" w14:textId="77777777" w:rsidR="00DC3ED3" w:rsidRPr="007927A4" w:rsidRDefault="00DC3ED3" w:rsidP="00F12147">
            <w:pPr>
              <w:rPr>
                <w:rFonts w:eastAsiaTheme="minorEastAsia"/>
              </w:rPr>
            </w:pPr>
            <w:r w:rsidRPr="1BC1F171">
              <w:rPr>
                <w:rFonts w:ascii="Calibri" w:hAnsi="Calibri" w:cs="Calibri"/>
                <w:color w:val="000000" w:themeColor="text1"/>
              </w:rPr>
              <w:t>88</w:t>
            </w:r>
          </w:p>
        </w:tc>
        <w:tc>
          <w:tcPr>
            <w:tcW w:w="813" w:type="dxa"/>
            <w:shd w:val="clear" w:color="auto" w:fill="FFFFFF" w:themeFill="background1"/>
            <w:noWrap/>
            <w:vAlign w:val="bottom"/>
          </w:tcPr>
          <w:p w14:paraId="78E44075" w14:textId="77777777" w:rsidR="00DC3ED3" w:rsidRPr="00E42F35" w:rsidRDefault="00DC3ED3" w:rsidP="00F12147">
            <w:pPr>
              <w:rPr>
                <w:rFonts w:eastAsiaTheme="minorEastAsia"/>
                <w:b/>
              </w:rPr>
            </w:pPr>
            <w:r w:rsidRPr="1BC1F171">
              <w:rPr>
                <w:rFonts w:ascii="Calibri" w:hAnsi="Calibri" w:cs="Calibri"/>
                <w:color w:val="000000" w:themeColor="text1"/>
              </w:rPr>
              <w:t>129</w:t>
            </w:r>
          </w:p>
        </w:tc>
        <w:tc>
          <w:tcPr>
            <w:tcW w:w="270" w:type="dxa"/>
            <w:shd w:val="clear" w:color="auto" w:fill="FFFFFF" w:themeFill="background1"/>
            <w:vAlign w:val="bottom"/>
          </w:tcPr>
          <w:p w14:paraId="6789B705" w14:textId="77777777" w:rsidR="00DC3ED3" w:rsidRPr="7A9D7D5A" w:rsidRDefault="00DC3ED3" w:rsidP="00F12147">
            <w:pPr>
              <w:rPr>
                <w:rFonts w:eastAsiaTheme="minorEastAsia"/>
                <w:color w:val="000000" w:themeColor="text1"/>
              </w:rPr>
            </w:pPr>
          </w:p>
        </w:tc>
        <w:tc>
          <w:tcPr>
            <w:tcW w:w="900" w:type="dxa"/>
            <w:shd w:val="clear" w:color="auto" w:fill="FFFFFF" w:themeFill="background1"/>
            <w:noWrap/>
            <w:vAlign w:val="bottom"/>
          </w:tcPr>
          <w:p w14:paraId="293F3806" w14:textId="77777777" w:rsidR="00DC3ED3" w:rsidRPr="007927A4" w:rsidRDefault="00DC3ED3" w:rsidP="00F12147">
            <w:pPr>
              <w:rPr>
                <w:rFonts w:eastAsiaTheme="minorEastAsia"/>
                <w:b/>
              </w:rPr>
            </w:pPr>
            <w:r w:rsidRPr="1BC1F171">
              <w:rPr>
                <w:rFonts w:ascii="Calibri" w:hAnsi="Calibri" w:cs="Calibri"/>
                <w:color w:val="000000" w:themeColor="text1"/>
              </w:rPr>
              <w:t>34</w:t>
            </w:r>
          </w:p>
        </w:tc>
        <w:tc>
          <w:tcPr>
            <w:tcW w:w="810" w:type="dxa"/>
            <w:shd w:val="clear" w:color="auto" w:fill="FFFFFF" w:themeFill="background1"/>
            <w:noWrap/>
            <w:vAlign w:val="bottom"/>
          </w:tcPr>
          <w:p w14:paraId="795505A8" w14:textId="77777777" w:rsidR="00DC3ED3" w:rsidRPr="007927A4" w:rsidRDefault="00DC3ED3" w:rsidP="00F12147">
            <w:pPr>
              <w:rPr>
                <w:rFonts w:eastAsiaTheme="minorEastAsia"/>
              </w:rPr>
            </w:pPr>
            <w:r w:rsidRPr="1BC1F171">
              <w:rPr>
                <w:rFonts w:ascii="Calibri" w:hAnsi="Calibri" w:cs="Calibri"/>
                <w:color w:val="000000" w:themeColor="text1"/>
              </w:rPr>
              <w:t>88</w:t>
            </w:r>
          </w:p>
        </w:tc>
        <w:tc>
          <w:tcPr>
            <w:tcW w:w="810" w:type="dxa"/>
            <w:shd w:val="clear" w:color="auto" w:fill="FFFFFF" w:themeFill="background1"/>
            <w:noWrap/>
            <w:vAlign w:val="bottom"/>
          </w:tcPr>
          <w:p w14:paraId="4DC7092C" w14:textId="77777777" w:rsidR="00DC3ED3" w:rsidRPr="007927A4" w:rsidRDefault="00DC3ED3" w:rsidP="00F12147">
            <w:pPr>
              <w:rPr>
                <w:rFonts w:eastAsiaTheme="minorEastAsia"/>
              </w:rPr>
            </w:pPr>
            <w:r w:rsidRPr="1BC1F171">
              <w:rPr>
                <w:rFonts w:ascii="Calibri" w:hAnsi="Calibri" w:cs="Calibri"/>
                <w:color w:val="000000" w:themeColor="text1"/>
              </w:rPr>
              <w:t>129</w:t>
            </w:r>
          </w:p>
        </w:tc>
      </w:tr>
      <w:tr w:rsidR="00DC3ED3" w:rsidRPr="007927A4" w14:paraId="21A3A6CB" w14:textId="77777777" w:rsidTr="6A9E2235">
        <w:trPr>
          <w:trHeight w:val="320"/>
        </w:trPr>
        <w:tc>
          <w:tcPr>
            <w:tcW w:w="1705" w:type="dxa"/>
            <w:shd w:val="clear" w:color="auto" w:fill="auto"/>
            <w:noWrap/>
            <w:vAlign w:val="bottom"/>
          </w:tcPr>
          <w:p w14:paraId="0FB3B9E5" w14:textId="77777777" w:rsidR="00DC3ED3" w:rsidRPr="007927A4" w:rsidRDefault="00DC3ED3" w:rsidP="004B1105">
            <w:pPr>
              <w:rPr>
                <w:rFonts w:eastAsiaTheme="minorEastAsia"/>
                <w:color w:val="000000"/>
              </w:rPr>
            </w:pPr>
            <w:r w:rsidRPr="7A9D7D5A">
              <w:rPr>
                <w:rFonts w:eastAsiaTheme="minorEastAsia"/>
                <w:color w:val="000000" w:themeColor="text1"/>
              </w:rPr>
              <w:t>Latinx</w:t>
            </w:r>
          </w:p>
        </w:tc>
        <w:tc>
          <w:tcPr>
            <w:tcW w:w="900" w:type="dxa"/>
            <w:shd w:val="clear" w:color="auto" w:fill="FFFFFF" w:themeFill="background1"/>
            <w:noWrap/>
            <w:vAlign w:val="bottom"/>
          </w:tcPr>
          <w:p w14:paraId="7CEF3A43" w14:textId="77777777" w:rsidR="00DC3ED3" w:rsidRPr="007927A4" w:rsidRDefault="00DC3ED3" w:rsidP="00F12147">
            <w:pPr>
              <w:rPr>
                <w:rFonts w:eastAsiaTheme="minorEastAsia"/>
              </w:rPr>
            </w:pPr>
            <w:r w:rsidRPr="1BC1F171">
              <w:rPr>
                <w:rFonts w:ascii="Calibri" w:hAnsi="Calibri" w:cs="Calibri"/>
                <w:color w:val="000000" w:themeColor="text1"/>
              </w:rPr>
              <w:t>16</w:t>
            </w:r>
          </w:p>
        </w:tc>
        <w:tc>
          <w:tcPr>
            <w:tcW w:w="810" w:type="dxa"/>
            <w:shd w:val="clear" w:color="auto" w:fill="FFFFFF" w:themeFill="background1"/>
            <w:noWrap/>
            <w:vAlign w:val="bottom"/>
          </w:tcPr>
          <w:p w14:paraId="009B25C3" w14:textId="77777777" w:rsidR="00DC3ED3" w:rsidRPr="007927A4" w:rsidRDefault="00DC3ED3" w:rsidP="00F12147">
            <w:pPr>
              <w:rPr>
                <w:rFonts w:eastAsiaTheme="minorEastAsia"/>
                <w:b/>
              </w:rPr>
            </w:pPr>
            <w:r w:rsidRPr="1BC1F171">
              <w:rPr>
                <w:rFonts w:ascii="Calibri" w:hAnsi="Calibri" w:cs="Calibri"/>
                <w:color w:val="000000" w:themeColor="text1"/>
              </w:rPr>
              <w:t>37</w:t>
            </w:r>
          </w:p>
        </w:tc>
        <w:tc>
          <w:tcPr>
            <w:tcW w:w="815" w:type="dxa"/>
            <w:shd w:val="clear" w:color="auto" w:fill="FFFFFF" w:themeFill="background1"/>
            <w:noWrap/>
            <w:vAlign w:val="bottom"/>
          </w:tcPr>
          <w:p w14:paraId="5B046269" w14:textId="77777777" w:rsidR="00DC3ED3" w:rsidRPr="00FC28F1" w:rsidRDefault="00DC3ED3" w:rsidP="00F12147">
            <w:pPr>
              <w:rPr>
                <w:rFonts w:eastAsiaTheme="minorEastAsia"/>
                <w:b/>
              </w:rPr>
            </w:pPr>
            <w:r w:rsidRPr="1BC1F171">
              <w:rPr>
                <w:rFonts w:ascii="Calibri" w:hAnsi="Calibri" w:cs="Calibri"/>
                <w:color w:val="000000" w:themeColor="text1"/>
              </w:rPr>
              <w:t>110</w:t>
            </w:r>
          </w:p>
        </w:tc>
        <w:tc>
          <w:tcPr>
            <w:tcW w:w="360" w:type="dxa"/>
            <w:shd w:val="clear" w:color="auto" w:fill="FFFFFF" w:themeFill="background1"/>
            <w:vAlign w:val="bottom"/>
          </w:tcPr>
          <w:p w14:paraId="5240354E" w14:textId="77777777" w:rsidR="00DC3ED3" w:rsidRPr="7A9D7D5A" w:rsidRDefault="00DC3ED3" w:rsidP="00F12147">
            <w:pPr>
              <w:rPr>
                <w:rFonts w:eastAsiaTheme="minorEastAsia"/>
                <w:b/>
                <w:color w:val="000000" w:themeColor="text1"/>
              </w:rPr>
            </w:pPr>
          </w:p>
        </w:tc>
        <w:tc>
          <w:tcPr>
            <w:tcW w:w="900" w:type="dxa"/>
            <w:shd w:val="clear" w:color="auto" w:fill="FFFFFF" w:themeFill="background1"/>
            <w:noWrap/>
            <w:vAlign w:val="bottom"/>
          </w:tcPr>
          <w:p w14:paraId="0449CA81" w14:textId="77777777" w:rsidR="00DC3ED3" w:rsidRPr="00E42F35" w:rsidRDefault="00DC3ED3" w:rsidP="00F12147">
            <w:pPr>
              <w:rPr>
                <w:rFonts w:eastAsiaTheme="minorEastAsia"/>
                <w:b/>
              </w:rPr>
            </w:pPr>
            <w:r w:rsidRPr="1BC1F171">
              <w:rPr>
                <w:rFonts w:ascii="Calibri" w:hAnsi="Calibri" w:cs="Calibri"/>
                <w:color w:val="000000" w:themeColor="text1"/>
              </w:rPr>
              <w:t>8</w:t>
            </w:r>
          </w:p>
        </w:tc>
        <w:tc>
          <w:tcPr>
            <w:tcW w:w="900" w:type="dxa"/>
            <w:shd w:val="clear" w:color="auto" w:fill="FFFFFF" w:themeFill="background1"/>
            <w:noWrap/>
            <w:vAlign w:val="bottom"/>
          </w:tcPr>
          <w:p w14:paraId="1DEA7030" w14:textId="77777777" w:rsidR="00DC3ED3" w:rsidRPr="007927A4" w:rsidRDefault="00DC3ED3" w:rsidP="00F12147">
            <w:pPr>
              <w:rPr>
                <w:rFonts w:eastAsiaTheme="minorEastAsia"/>
              </w:rPr>
            </w:pPr>
            <w:r w:rsidRPr="1BC1F171">
              <w:rPr>
                <w:rFonts w:ascii="Calibri" w:hAnsi="Calibri" w:cs="Calibri"/>
                <w:color w:val="000000" w:themeColor="text1"/>
              </w:rPr>
              <w:t>30</w:t>
            </w:r>
          </w:p>
        </w:tc>
        <w:tc>
          <w:tcPr>
            <w:tcW w:w="813" w:type="dxa"/>
            <w:shd w:val="clear" w:color="auto" w:fill="FFFFFF" w:themeFill="background1"/>
            <w:noWrap/>
            <w:vAlign w:val="bottom"/>
          </w:tcPr>
          <w:p w14:paraId="45DE9331" w14:textId="77777777" w:rsidR="00DC3ED3" w:rsidRPr="00E42F35" w:rsidRDefault="00DC3ED3" w:rsidP="00F12147">
            <w:pPr>
              <w:rPr>
                <w:rFonts w:eastAsiaTheme="minorEastAsia"/>
                <w:b/>
              </w:rPr>
            </w:pPr>
            <w:r w:rsidRPr="1BC1F171">
              <w:rPr>
                <w:rFonts w:ascii="Calibri" w:hAnsi="Calibri" w:cs="Calibri"/>
                <w:color w:val="000000" w:themeColor="text1"/>
              </w:rPr>
              <w:t>93</w:t>
            </w:r>
          </w:p>
        </w:tc>
        <w:tc>
          <w:tcPr>
            <w:tcW w:w="270" w:type="dxa"/>
            <w:shd w:val="clear" w:color="auto" w:fill="FFFFFF" w:themeFill="background1"/>
            <w:vAlign w:val="bottom"/>
          </w:tcPr>
          <w:p w14:paraId="06C189A8" w14:textId="77777777" w:rsidR="00DC3ED3" w:rsidRPr="7A9D7D5A" w:rsidRDefault="00DC3ED3" w:rsidP="00F12147">
            <w:pPr>
              <w:rPr>
                <w:rFonts w:eastAsiaTheme="minorEastAsia"/>
                <w:color w:val="000000" w:themeColor="text1"/>
              </w:rPr>
            </w:pPr>
          </w:p>
        </w:tc>
        <w:tc>
          <w:tcPr>
            <w:tcW w:w="900" w:type="dxa"/>
            <w:shd w:val="clear" w:color="auto" w:fill="FFFFFF" w:themeFill="background1"/>
            <w:noWrap/>
            <w:vAlign w:val="bottom"/>
          </w:tcPr>
          <w:p w14:paraId="49CAB71D" w14:textId="77777777" w:rsidR="00DC3ED3" w:rsidRPr="007927A4" w:rsidRDefault="00DC3ED3" w:rsidP="00F12147">
            <w:pPr>
              <w:rPr>
                <w:rFonts w:eastAsiaTheme="minorEastAsia"/>
                <w:b/>
              </w:rPr>
            </w:pPr>
            <w:r w:rsidRPr="1BC1F171">
              <w:rPr>
                <w:rFonts w:ascii="Calibri" w:hAnsi="Calibri" w:cs="Calibri"/>
                <w:color w:val="000000" w:themeColor="text1"/>
              </w:rPr>
              <w:t>8</w:t>
            </w:r>
          </w:p>
        </w:tc>
        <w:tc>
          <w:tcPr>
            <w:tcW w:w="810" w:type="dxa"/>
            <w:shd w:val="clear" w:color="auto" w:fill="FFFFFF" w:themeFill="background1"/>
            <w:noWrap/>
            <w:vAlign w:val="bottom"/>
          </w:tcPr>
          <w:p w14:paraId="00DFBF83" w14:textId="77777777" w:rsidR="00DC3ED3" w:rsidRPr="007927A4" w:rsidRDefault="00DC3ED3" w:rsidP="00F12147">
            <w:pPr>
              <w:rPr>
                <w:rFonts w:eastAsiaTheme="minorEastAsia"/>
              </w:rPr>
            </w:pPr>
            <w:r w:rsidRPr="1BC1F171">
              <w:rPr>
                <w:rFonts w:ascii="Calibri" w:hAnsi="Calibri" w:cs="Calibri"/>
                <w:color w:val="000000" w:themeColor="text1"/>
              </w:rPr>
              <w:t>30</w:t>
            </w:r>
          </w:p>
        </w:tc>
        <w:tc>
          <w:tcPr>
            <w:tcW w:w="810" w:type="dxa"/>
            <w:shd w:val="clear" w:color="auto" w:fill="FFFFFF" w:themeFill="background1"/>
            <w:noWrap/>
            <w:vAlign w:val="bottom"/>
          </w:tcPr>
          <w:p w14:paraId="22C2AE41" w14:textId="77777777" w:rsidR="00DC3ED3" w:rsidRPr="007927A4" w:rsidRDefault="00DC3ED3" w:rsidP="00F12147">
            <w:pPr>
              <w:rPr>
                <w:rFonts w:eastAsiaTheme="minorEastAsia"/>
              </w:rPr>
            </w:pPr>
            <w:r w:rsidRPr="1BC1F171">
              <w:rPr>
                <w:rFonts w:ascii="Calibri" w:hAnsi="Calibri" w:cs="Calibri"/>
                <w:color w:val="000000" w:themeColor="text1"/>
              </w:rPr>
              <w:t>93</w:t>
            </w:r>
          </w:p>
        </w:tc>
      </w:tr>
      <w:tr w:rsidR="00DC3ED3" w:rsidRPr="007927A4" w14:paraId="1E3A209F" w14:textId="77777777" w:rsidTr="6A9E2235">
        <w:trPr>
          <w:trHeight w:val="320"/>
        </w:trPr>
        <w:tc>
          <w:tcPr>
            <w:tcW w:w="1705" w:type="dxa"/>
            <w:shd w:val="clear" w:color="auto" w:fill="auto"/>
            <w:noWrap/>
            <w:vAlign w:val="bottom"/>
          </w:tcPr>
          <w:p w14:paraId="1E427B0C" w14:textId="77777777" w:rsidR="00DC3ED3" w:rsidRPr="007927A4" w:rsidRDefault="00DC3ED3" w:rsidP="004B1105">
            <w:pPr>
              <w:rPr>
                <w:rFonts w:eastAsiaTheme="minorEastAsia"/>
                <w:color w:val="000000"/>
              </w:rPr>
            </w:pPr>
            <w:r w:rsidRPr="7A9D7D5A">
              <w:rPr>
                <w:rFonts w:eastAsiaTheme="minorEastAsia"/>
                <w:color w:val="000000" w:themeColor="text1"/>
              </w:rPr>
              <w:t>White</w:t>
            </w:r>
          </w:p>
        </w:tc>
        <w:tc>
          <w:tcPr>
            <w:tcW w:w="900" w:type="dxa"/>
            <w:shd w:val="clear" w:color="auto" w:fill="FFFFFF" w:themeFill="background1"/>
            <w:noWrap/>
            <w:vAlign w:val="bottom"/>
          </w:tcPr>
          <w:p w14:paraId="77774D84" w14:textId="77777777" w:rsidR="00DC3ED3" w:rsidRPr="007927A4" w:rsidRDefault="00DC3ED3" w:rsidP="00F12147">
            <w:pPr>
              <w:rPr>
                <w:rFonts w:eastAsiaTheme="minorEastAsia"/>
              </w:rPr>
            </w:pPr>
            <w:r w:rsidRPr="1BC1F171">
              <w:rPr>
                <w:rFonts w:ascii="Calibri" w:hAnsi="Calibri" w:cs="Calibri"/>
                <w:color w:val="000000" w:themeColor="text1"/>
              </w:rPr>
              <w:t>68</w:t>
            </w:r>
          </w:p>
        </w:tc>
        <w:tc>
          <w:tcPr>
            <w:tcW w:w="810" w:type="dxa"/>
            <w:shd w:val="clear" w:color="auto" w:fill="FFFFFF" w:themeFill="background1"/>
            <w:noWrap/>
            <w:vAlign w:val="bottom"/>
          </w:tcPr>
          <w:p w14:paraId="36E5B475" w14:textId="77777777" w:rsidR="00DC3ED3" w:rsidRPr="007927A4" w:rsidRDefault="00DC3ED3" w:rsidP="00F12147">
            <w:pPr>
              <w:rPr>
                <w:rFonts w:eastAsiaTheme="minorEastAsia"/>
                <w:b/>
              </w:rPr>
            </w:pPr>
            <w:r w:rsidRPr="1BC1F171">
              <w:rPr>
                <w:rFonts w:ascii="Calibri" w:hAnsi="Calibri" w:cs="Calibri"/>
                <w:color w:val="000000" w:themeColor="text1"/>
              </w:rPr>
              <w:t>137</w:t>
            </w:r>
          </w:p>
        </w:tc>
        <w:tc>
          <w:tcPr>
            <w:tcW w:w="815" w:type="dxa"/>
            <w:shd w:val="clear" w:color="auto" w:fill="FFFFFF" w:themeFill="background1"/>
            <w:noWrap/>
            <w:vAlign w:val="bottom"/>
          </w:tcPr>
          <w:p w14:paraId="2548B32A" w14:textId="77777777" w:rsidR="00DC3ED3" w:rsidRPr="00FC28F1" w:rsidRDefault="00DC3ED3" w:rsidP="00F12147">
            <w:pPr>
              <w:rPr>
                <w:rFonts w:eastAsiaTheme="minorEastAsia"/>
                <w:b/>
              </w:rPr>
            </w:pPr>
            <w:r w:rsidRPr="1BC1F171">
              <w:rPr>
                <w:rFonts w:ascii="Calibri" w:hAnsi="Calibri" w:cs="Calibri"/>
                <w:color w:val="000000" w:themeColor="text1"/>
              </w:rPr>
              <w:t>726</w:t>
            </w:r>
          </w:p>
        </w:tc>
        <w:tc>
          <w:tcPr>
            <w:tcW w:w="360" w:type="dxa"/>
            <w:shd w:val="clear" w:color="auto" w:fill="FFFFFF" w:themeFill="background1"/>
            <w:vAlign w:val="bottom"/>
          </w:tcPr>
          <w:p w14:paraId="710E10BF" w14:textId="77777777" w:rsidR="00DC3ED3" w:rsidRPr="7A9D7D5A" w:rsidRDefault="00DC3ED3" w:rsidP="00F12147">
            <w:pPr>
              <w:rPr>
                <w:rFonts w:eastAsiaTheme="minorEastAsia"/>
                <w:b/>
                <w:color w:val="000000" w:themeColor="text1"/>
              </w:rPr>
            </w:pPr>
          </w:p>
        </w:tc>
        <w:tc>
          <w:tcPr>
            <w:tcW w:w="900" w:type="dxa"/>
            <w:shd w:val="clear" w:color="auto" w:fill="FFFFFF" w:themeFill="background1"/>
            <w:noWrap/>
            <w:vAlign w:val="bottom"/>
          </w:tcPr>
          <w:p w14:paraId="43A55BF5" w14:textId="77777777" w:rsidR="00DC3ED3" w:rsidRPr="00E42F35" w:rsidRDefault="00DC3ED3" w:rsidP="00F12147">
            <w:pPr>
              <w:rPr>
                <w:rFonts w:eastAsiaTheme="minorEastAsia"/>
                <w:b/>
              </w:rPr>
            </w:pPr>
            <w:r w:rsidRPr="1BC1F171">
              <w:rPr>
                <w:rFonts w:ascii="Calibri" w:hAnsi="Calibri" w:cs="Calibri"/>
                <w:color w:val="000000" w:themeColor="text1"/>
              </w:rPr>
              <w:t>53</w:t>
            </w:r>
          </w:p>
        </w:tc>
        <w:tc>
          <w:tcPr>
            <w:tcW w:w="900" w:type="dxa"/>
            <w:shd w:val="clear" w:color="auto" w:fill="FFFFFF" w:themeFill="background1"/>
            <w:noWrap/>
            <w:vAlign w:val="bottom"/>
          </w:tcPr>
          <w:p w14:paraId="39C5A77C" w14:textId="77777777" w:rsidR="00DC3ED3" w:rsidRPr="007927A4" w:rsidRDefault="00DC3ED3" w:rsidP="00F12147">
            <w:pPr>
              <w:rPr>
                <w:rFonts w:eastAsiaTheme="minorEastAsia"/>
              </w:rPr>
            </w:pPr>
            <w:r w:rsidRPr="1BC1F171">
              <w:rPr>
                <w:rFonts w:ascii="Calibri" w:hAnsi="Calibri" w:cs="Calibri"/>
                <w:color w:val="000000" w:themeColor="text1"/>
              </w:rPr>
              <w:t>106</w:t>
            </w:r>
          </w:p>
        </w:tc>
        <w:tc>
          <w:tcPr>
            <w:tcW w:w="813" w:type="dxa"/>
            <w:shd w:val="clear" w:color="auto" w:fill="FFFFFF" w:themeFill="background1"/>
            <w:noWrap/>
            <w:vAlign w:val="bottom"/>
          </w:tcPr>
          <w:p w14:paraId="6EB725F2" w14:textId="77777777" w:rsidR="00DC3ED3" w:rsidRPr="00E42F35" w:rsidRDefault="00DC3ED3" w:rsidP="00F12147">
            <w:pPr>
              <w:rPr>
                <w:rFonts w:eastAsiaTheme="minorEastAsia"/>
                <w:b/>
              </w:rPr>
            </w:pPr>
            <w:r w:rsidRPr="1BC1F171">
              <w:rPr>
                <w:rFonts w:ascii="Calibri" w:hAnsi="Calibri" w:cs="Calibri"/>
                <w:color w:val="000000" w:themeColor="text1"/>
              </w:rPr>
              <w:t>666</w:t>
            </w:r>
          </w:p>
        </w:tc>
        <w:tc>
          <w:tcPr>
            <w:tcW w:w="270" w:type="dxa"/>
            <w:shd w:val="clear" w:color="auto" w:fill="FFFFFF" w:themeFill="background1"/>
            <w:vAlign w:val="bottom"/>
          </w:tcPr>
          <w:p w14:paraId="0337B652" w14:textId="77777777" w:rsidR="00DC3ED3" w:rsidRPr="7A9D7D5A" w:rsidRDefault="00DC3ED3" w:rsidP="00F12147">
            <w:pPr>
              <w:rPr>
                <w:rFonts w:eastAsiaTheme="minorEastAsia"/>
                <w:color w:val="000000" w:themeColor="text1"/>
              </w:rPr>
            </w:pPr>
          </w:p>
        </w:tc>
        <w:tc>
          <w:tcPr>
            <w:tcW w:w="900" w:type="dxa"/>
            <w:shd w:val="clear" w:color="auto" w:fill="FFFFFF" w:themeFill="background1"/>
            <w:noWrap/>
            <w:vAlign w:val="bottom"/>
          </w:tcPr>
          <w:p w14:paraId="0B5A0F94" w14:textId="77777777" w:rsidR="00DC3ED3" w:rsidRPr="007927A4" w:rsidRDefault="00DC3ED3" w:rsidP="00F12147">
            <w:pPr>
              <w:rPr>
                <w:rFonts w:eastAsiaTheme="minorEastAsia"/>
                <w:b/>
              </w:rPr>
            </w:pPr>
            <w:r w:rsidRPr="1BC1F171">
              <w:rPr>
                <w:rFonts w:ascii="Calibri" w:hAnsi="Calibri" w:cs="Calibri"/>
                <w:color w:val="000000" w:themeColor="text1"/>
              </w:rPr>
              <w:t>53</w:t>
            </w:r>
          </w:p>
        </w:tc>
        <w:tc>
          <w:tcPr>
            <w:tcW w:w="810" w:type="dxa"/>
            <w:shd w:val="clear" w:color="auto" w:fill="FFFFFF" w:themeFill="background1"/>
            <w:noWrap/>
            <w:vAlign w:val="bottom"/>
          </w:tcPr>
          <w:p w14:paraId="1914658E" w14:textId="77777777" w:rsidR="00DC3ED3" w:rsidRPr="007927A4" w:rsidRDefault="00DC3ED3" w:rsidP="00F12147">
            <w:pPr>
              <w:rPr>
                <w:rFonts w:eastAsiaTheme="minorEastAsia"/>
              </w:rPr>
            </w:pPr>
            <w:r w:rsidRPr="1BC1F171">
              <w:rPr>
                <w:rFonts w:ascii="Calibri" w:hAnsi="Calibri" w:cs="Calibri"/>
                <w:color w:val="000000" w:themeColor="text1"/>
              </w:rPr>
              <w:t>106</w:t>
            </w:r>
          </w:p>
        </w:tc>
        <w:tc>
          <w:tcPr>
            <w:tcW w:w="810" w:type="dxa"/>
            <w:shd w:val="clear" w:color="auto" w:fill="FFFFFF" w:themeFill="background1"/>
            <w:noWrap/>
            <w:vAlign w:val="bottom"/>
          </w:tcPr>
          <w:p w14:paraId="3E88B951" w14:textId="77777777" w:rsidR="00DC3ED3" w:rsidRPr="007927A4" w:rsidRDefault="00DC3ED3" w:rsidP="00F12147">
            <w:pPr>
              <w:rPr>
                <w:rFonts w:eastAsiaTheme="minorEastAsia"/>
              </w:rPr>
            </w:pPr>
            <w:r w:rsidRPr="1BC1F171">
              <w:rPr>
                <w:rFonts w:ascii="Calibri" w:hAnsi="Calibri" w:cs="Calibri"/>
                <w:color w:val="000000" w:themeColor="text1"/>
              </w:rPr>
              <w:t>666</w:t>
            </w:r>
          </w:p>
        </w:tc>
      </w:tr>
      <w:tr w:rsidR="00DC3ED3" w:rsidRPr="7A9D7D5A" w14:paraId="0B9BD9FA" w14:textId="77777777" w:rsidTr="6A9E2235">
        <w:trPr>
          <w:trHeight w:val="320"/>
        </w:trPr>
        <w:tc>
          <w:tcPr>
            <w:tcW w:w="1705" w:type="dxa"/>
            <w:tcBorders>
              <w:bottom w:val="single" w:sz="12" w:space="0" w:color="auto"/>
            </w:tcBorders>
            <w:shd w:val="clear" w:color="auto" w:fill="auto"/>
            <w:noWrap/>
            <w:vAlign w:val="bottom"/>
          </w:tcPr>
          <w:p w14:paraId="37023ACB" w14:textId="0C426176" w:rsidR="00DC3ED3" w:rsidRPr="7A9D7D5A" w:rsidRDefault="00DC3ED3" w:rsidP="004B1105">
            <w:pPr>
              <w:rPr>
                <w:rFonts w:eastAsiaTheme="minorEastAsia"/>
                <w:color w:val="000000" w:themeColor="text1"/>
              </w:rPr>
            </w:pPr>
            <w:r>
              <w:rPr>
                <w:rFonts w:eastAsiaTheme="minorEastAsia"/>
                <w:color w:val="000000" w:themeColor="text1"/>
              </w:rPr>
              <w:t xml:space="preserve">Another </w:t>
            </w:r>
            <w:r w:rsidR="00B41838">
              <w:rPr>
                <w:rFonts w:eastAsiaTheme="minorEastAsia"/>
                <w:color w:val="000000" w:themeColor="text1"/>
              </w:rPr>
              <w:t>Race</w:t>
            </w:r>
          </w:p>
        </w:tc>
        <w:tc>
          <w:tcPr>
            <w:tcW w:w="900" w:type="dxa"/>
            <w:tcBorders>
              <w:bottom w:val="single" w:sz="12" w:space="0" w:color="auto"/>
            </w:tcBorders>
            <w:shd w:val="clear" w:color="auto" w:fill="FFFFFF" w:themeFill="background1"/>
            <w:noWrap/>
            <w:vAlign w:val="bottom"/>
          </w:tcPr>
          <w:p w14:paraId="6B965F13" w14:textId="77777777" w:rsidR="00DC3ED3" w:rsidRPr="7A9D7D5A" w:rsidRDefault="00DC3ED3" w:rsidP="00F12147">
            <w:pPr>
              <w:rPr>
                <w:rFonts w:eastAsiaTheme="minorEastAsia"/>
                <w:color w:val="000000" w:themeColor="text1"/>
              </w:rPr>
            </w:pPr>
            <w:r w:rsidRPr="1BC1F171">
              <w:rPr>
                <w:rFonts w:ascii="Calibri" w:hAnsi="Calibri" w:cs="Calibri"/>
                <w:color w:val="000000" w:themeColor="text1"/>
              </w:rPr>
              <w:t>26</w:t>
            </w:r>
          </w:p>
        </w:tc>
        <w:tc>
          <w:tcPr>
            <w:tcW w:w="810" w:type="dxa"/>
            <w:tcBorders>
              <w:bottom w:val="single" w:sz="12" w:space="0" w:color="auto"/>
            </w:tcBorders>
            <w:shd w:val="clear" w:color="auto" w:fill="FFFFFF" w:themeFill="background1"/>
            <w:noWrap/>
            <w:vAlign w:val="bottom"/>
          </w:tcPr>
          <w:p w14:paraId="02CA5A3C" w14:textId="77777777" w:rsidR="00DC3ED3" w:rsidRPr="7A9D7D5A" w:rsidRDefault="00DC3ED3" w:rsidP="00F12147">
            <w:pPr>
              <w:rPr>
                <w:rFonts w:eastAsiaTheme="minorEastAsia"/>
                <w:color w:val="000000" w:themeColor="text1"/>
              </w:rPr>
            </w:pPr>
            <w:r w:rsidRPr="1BC1F171">
              <w:rPr>
                <w:rFonts w:ascii="Calibri" w:hAnsi="Calibri" w:cs="Calibri"/>
                <w:color w:val="000000" w:themeColor="text1"/>
              </w:rPr>
              <w:t>43</w:t>
            </w:r>
          </w:p>
        </w:tc>
        <w:tc>
          <w:tcPr>
            <w:tcW w:w="815" w:type="dxa"/>
            <w:tcBorders>
              <w:bottom w:val="single" w:sz="12" w:space="0" w:color="auto"/>
            </w:tcBorders>
            <w:shd w:val="clear" w:color="auto" w:fill="FFFFFF" w:themeFill="background1"/>
            <w:noWrap/>
            <w:vAlign w:val="bottom"/>
          </w:tcPr>
          <w:p w14:paraId="27F46CDD" w14:textId="77777777" w:rsidR="00DC3ED3" w:rsidRPr="7A9D7D5A" w:rsidRDefault="00DC3ED3" w:rsidP="00F12147">
            <w:pPr>
              <w:rPr>
                <w:rFonts w:eastAsiaTheme="minorEastAsia"/>
                <w:b/>
                <w:color w:val="000000" w:themeColor="text1"/>
              </w:rPr>
            </w:pPr>
            <w:r w:rsidRPr="1BC1F171">
              <w:rPr>
                <w:rFonts w:ascii="Calibri" w:hAnsi="Calibri" w:cs="Calibri"/>
                <w:color w:val="000000" w:themeColor="text1"/>
              </w:rPr>
              <w:t>115</w:t>
            </w:r>
          </w:p>
        </w:tc>
        <w:tc>
          <w:tcPr>
            <w:tcW w:w="360" w:type="dxa"/>
            <w:tcBorders>
              <w:bottom w:val="single" w:sz="12" w:space="0" w:color="auto"/>
            </w:tcBorders>
            <w:shd w:val="clear" w:color="auto" w:fill="FFFFFF" w:themeFill="background1"/>
            <w:vAlign w:val="bottom"/>
          </w:tcPr>
          <w:p w14:paraId="6701358C" w14:textId="77777777" w:rsidR="00DC3ED3" w:rsidRPr="7A9D7D5A" w:rsidRDefault="00DC3ED3" w:rsidP="00F12147">
            <w:pPr>
              <w:rPr>
                <w:rFonts w:eastAsiaTheme="minorEastAsia"/>
                <w:b/>
                <w:color w:val="000000" w:themeColor="text1"/>
              </w:rPr>
            </w:pPr>
          </w:p>
        </w:tc>
        <w:tc>
          <w:tcPr>
            <w:tcW w:w="900" w:type="dxa"/>
            <w:tcBorders>
              <w:bottom w:val="single" w:sz="12" w:space="0" w:color="auto"/>
            </w:tcBorders>
            <w:shd w:val="clear" w:color="auto" w:fill="FFFFFF" w:themeFill="background1"/>
            <w:noWrap/>
            <w:vAlign w:val="bottom"/>
          </w:tcPr>
          <w:p w14:paraId="347035D8" w14:textId="77777777" w:rsidR="00DC3ED3" w:rsidRPr="7A9D7D5A" w:rsidRDefault="00DC3ED3" w:rsidP="00F12147">
            <w:pPr>
              <w:rPr>
                <w:rFonts w:eastAsiaTheme="minorEastAsia"/>
                <w:b/>
                <w:color w:val="000000" w:themeColor="text1"/>
              </w:rPr>
            </w:pPr>
            <w:r w:rsidRPr="1BC1F171">
              <w:rPr>
                <w:rFonts w:ascii="Calibri" w:hAnsi="Calibri" w:cs="Calibri"/>
                <w:color w:val="000000" w:themeColor="text1"/>
              </w:rPr>
              <w:t>19</w:t>
            </w:r>
          </w:p>
        </w:tc>
        <w:tc>
          <w:tcPr>
            <w:tcW w:w="900" w:type="dxa"/>
            <w:tcBorders>
              <w:bottom w:val="single" w:sz="12" w:space="0" w:color="auto"/>
            </w:tcBorders>
            <w:shd w:val="clear" w:color="auto" w:fill="FFFFFF" w:themeFill="background1"/>
            <w:noWrap/>
            <w:vAlign w:val="bottom"/>
          </w:tcPr>
          <w:p w14:paraId="4FCE6E38" w14:textId="77777777" w:rsidR="00DC3ED3" w:rsidRPr="7A9D7D5A" w:rsidRDefault="00DC3ED3" w:rsidP="00F12147">
            <w:pPr>
              <w:rPr>
                <w:rFonts w:eastAsiaTheme="minorEastAsia"/>
                <w:color w:val="000000" w:themeColor="text1"/>
              </w:rPr>
            </w:pPr>
            <w:r w:rsidRPr="1BC1F171">
              <w:rPr>
                <w:rFonts w:ascii="Calibri" w:hAnsi="Calibri" w:cs="Calibri"/>
                <w:color w:val="000000" w:themeColor="text1"/>
              </w:rPr>
              <w:t>34</w:t>
            </w:r>
          </w:p>
        </w:tc>
        <w:tc>
          <w:tcPr>
            <w:tcW w:w="813" w:type="dxa"/>
            <w:tcBorders>
              <w:bottom w:val="single" w:sz="12" w:space="0" w:color="auto"/>
            </w:tcBorders>
            <w:shd w:val="clear" w:color="auto" w:fill="FFFFFF" w:themeFill="background1"/>
            <w:noWrap/>
            <w:vAlign w:val="bottom"/>
          </w:tcPr>
          <w:p w14:paraId="3D673083" w14:textId="77777777" w:rsidR="00DC3ED3" w:rsidRPr="7A9D7D5A" w:rsidRDefault="00DC3ED3" w:rsidP="00F12147">
            <w:pPr>
              <w:rPr>
                <w:rFonts w:eastAsiaTheme="minorEastAsia"/>
                <w:b/>
                <w:color w:val="000000" w:themeColor="text1"/>
              </w:rPr>
            </w:pPr>
            <w:r w:rsidRPr="1BC1F171">
              <w:rPr>
                <w:rFonts w:ascii="Calibri" w:hAnsi="Calibri" w:cs="Calibri"/>
                <w:color w:val="000000" w:themeColor="text1"/>
              </w:rPr>
              <w:t>103</w:t>
            </w:r>
          </w:p>
        </w:tc>
        <w:tc>
          <w:tcPr>
            <w:tcW w:w="270" w:type="dxa"/>
            <w:tcBorders>
              <w:bottom w:val="single" w:sz="12" w:space="0" w:color="auto"/>
            </w:tcBorders>
            <w:shd w:val="clear" w:color="auto" w:fill="FFFFFF" w:themeFill="background1"/>
            <w:vAlign w:val="bottom"/>
          </w:tcPr>
          <w:p w14:paraId="3ABCE715" w14:textId="77777777" w:rsidR="00DC3ED3" w:rsidRPr="7A9D7D5A" w:rsidRDefault="00DC3ED3" w:rsidP="00F12147">
            <w:pPr>
              <w:rPr>
                <w:rFonts w:eastAsiaTheme="minorEastAsia"/>
                <w:color w:val="000000" w:themeColor="text1"/>
              </w:rPr>
            </w:pPr>
          </w:p>
        </w:tc>
        <w:tc>
          <w:tcPr>
            <w:tcW w:w="900" w:type="dxa"/>
            <w:tcBorders>
              <w:bottom w:val="single" w:sz="12" w:space="0" w:color="auto"/>
            </w:tcBorders>
            <w:shd w:val="clear" w:color="auto" w:fill="FFFFFF" w:themeFill="background1"/>
            <w:noWrap/>
            <w:vAlign w:val="bottom"/>
          </w:tcPr>
          <w:p w14:paraId="7BF9F421" w14:textId="77777777" w:rsidR="00DC3ED3" w:rsidRPr="7A9D7D5A" w:rsidRDefault="00DC3ED3" w:rsidP="00F12147">
            <w:pPr>
              <w:rPr>
                <w:rFonts w:eastAsiaTheme="minorEastAsia"/>
                <w:color w:val="000000" w:themeColor="text1"/>
              </w:rPr>
            </w:pPr>
            <w:r w:rsidRPr="1BC1F171">
              <w:rPr>
                <w:rFonts w:ascii="Calibri" w:hAnsi="Calibri" w:cs="Calibri"/>
                <w:color w:val="000000" w:themeColor="text1"/>
              </w:rPr>
              <w:t>19</w:t>
            </w:r>
          </w:p>
        </w:tc>
        <w:tc>
          <w:tcPr>
            <w:tcW w:w="810" w:type="dxa"/>
            <w:tcBorders>
              <w:bottom w:val="single" w:sz="12" w:space="0" w:color="auto"/>
            </w:tcBorders>
            <w:shd w:val="clear" w:color="auto" w:fill="FFFFFF" w:themeFill="background1"/>
            <w:noWrap/>
            <w:vAlign w:val="bottom"/>
          </w:tcPr>
          <w:p w14:paraId="3F179E95" w14:textId="77777777" w:rsidR="00DC3ED3" w:rsidRPr="7A9D7D5A" w:rsidRDefault="00DC3ED3" w:rsidP="00F12147">
            <w:pPr>
              <w:rPr>
                <w:rFonts w:eastAsiaTheme="minorEastAsia"/>
                <w:color w:val="000000" w:themeColor="text1"/>
              </w:rPr>
            </w:pPr>
            <w:r w:rsidRPr="1BC1F171">
              <w:rPr>
                <w:rFonts w:ascii="Calibri" w:hAnsi="Calibri" w:cs="Calibri"/>
                <w:color w:val="000000" w:themeColor="text1"/>
              </w:rPr>
              <w:t>34</w:t>
            </w:r>
          </w:p>
        </w:tc>
        <w:tc>
          <w:tcPr>
            <w:tcW w:w="810" w:type="dxa"/>
            <w:tcBorders>
              <w:bottom w:val="single" w:sz="12" w:space="0" w:color="auto"/>
            </w:tcBorders>
            <w:shd w:val="clear" w:color="auto" w:fill="FFFFFF" w:themeFill="background1"/>
            <w:noWrap/>
            <w:vAlign w:val="bottom"/>
          </w:tcPr>
          <w:p w14:paraId="082B9911" w14:textId="77777777" w:rsidR="00DC3ED3" w:rsidRPr="7A9D7D5A" w:rsidRDefault="00DC3ED3" w:rsidP="00F12147">
            <w:pPr>
              <w:rPr>
                <w:rFonts w:eastAsiaTheme="minorEastAsia"/>
                <w:color w:val="000000" w:themeColor="text1"/>
              </w:rPr>
            </w:pPr>
            <w:r w:rsidRPr="1BC1F171">
              <w:rPr>
                <w:rFonts w:ascii="Calibri" w:hAnsi="Calibri" w:cs="Calibri"/>
                <w:color w:val="000000" w:themeColor="text1"/>
              </w:rPr>
              <w:t>103</w:t>
            </w:r>
          </w:p>
        </w:tc>
      </w:tr>
      <w:tr w:rsidR="00DC3ED3" w:rsidRPr="005E3322" w14:paraId="7D0088A6" w14:textId="77777777" w:rsidTr="6A9E2235">
        <w:trPr>
          <w:trHeight w:val="340"/>
        </w:trPr>
        <w:tc>
          <w:tcPr>
            <w:tcW w:w="1705" w:type="dxa"/>
            <w:tcBorders>
              <w:top w:val="single" w:sz="12" w:space="0" w:color="auto"/>
              <w:bottom w:val="single" w:sz="12" w:space="0" w:color="auto"/>
            </w:tcBorders>
            <w:shd w:val="clear" w:color="auto" w:fill="auto"/>
            <w:noWrap/>
            <w:vAlign w:val="bottom"/>
          </w:tcPr>
          <w:p w14:paraId="7505F328" w14:textId="77777777" w:rsidR="00DC3ED3" w:rsidRPr="005E3322" w:rsidRDefault="00DC3ED3" w:rsidP="004B1105">
            <w:pPr>
              <w:rPr>
                <w:rFonts w:eastAsiaTheme="minorEastAsia"/>
                <w:color w:val="000000"/>
              </w:rPr>
            </w:pPr>
            <w:r w:rsidRPr="1BC1F171">
              <w:rPr>
                <w:rFonts w:eastAsiaTheme="minorEastAsia"/>
                <w:color w:val="000000" w:themeColor="text1"/>
              </w:rPr>
              <w:t>Sample</w:t>
            </w:r>
          </w:p>
        </w:tc>
        <w:tc>
          <w:tcPr>
            <w:tcW w:w="2525" w:type="dxa"/>
            <w:gridSpan w:val="3"/>
            <w:tcBorders>
              <w:top w:val="single" w:sz="12" w:space="0" w:color="auto"/>
              <w:bottom w:val="single" w:sz="12" w:space="0" w:color="auto"/>
            </w:tcBorders>
            <w:shd w:val="clear" w:color="auto" w:fill="auto"/>
            <w:noWrap/>
            <w:vAlign w:val="bottom"/>
          </w:tcPr>
          <w:p w14:paraId="004E2D3C" w14:textId="77777777" w:rsidR="00DC3ED3" w:rsidRPr="005E3322" w:rsidRDefault="00DC3ED3" w:rsidP="00F12147">
            <w:pPr>
              <w:rPr>
                <w:rFonts w:eastAsiaTheme="minorEastAsia"/>
                <w:b/>
              </w:rPr>
            </w:pPr>
            <w:r w:rsidRPr="7A9D7D5A">
              <w:rPr>
                <w:rFonts w:eastAsiaTheme="minorEastAsia"/>
              </w:rPr>
              <w:t xml:space="preserve">All </w:t>
            </w:r>
            <w:r w:rsidRPr="1BC1F171">
              <w:rPr>
                <w:rFonts w:cstheme="minorBidi"/>
              </w:rPr>
              <w:t xml:space="preserve">PSID-TAS </w:t>
            </w:r>
            <w:r w:rsidRPr="7A9D7D5A">
              <w:rPr>
                <w:rFonts w:eastAsiaTheme="minorEastAsia"/>
              </w:rPr>
              <w:t>Respondents</w:t>
            </w:r>
          </w:p>
        </w:tc>
        <w:tc>
          <w:tcPr>
            <w:tcW w:w="360" w:type="dxa"/>
            <w:tcBorders>
              <w:top w:val="single" w:sz="12" w:space="0" w:color="auto"/>
              <w:bottom w:val="single" w:sz="12" w:space="0" w:color="auto"/>
            </w:tcBorders>
            <w:vAlign w:val="bottom"/>
          </w:tcPr>
          <w:p w14:paraId="522A1942" w14:textId="77777777" w:rsidR="00DC3ED3" w:rsidRPr="7A9D7D5A" w:rsidRDefault="00DC3ED3" w:rsidP="00F12147">
            <w:pPr>
              <w:rPr>
                <w:rFonts w:eastAsiaTheme="minorEastAsia"/>
              </w:rPr>
            </w:pPr>
          </w:p>
        </w:tc>
        <w:tc>
          <w:tcPr>
            <w:tcW w:w="2613" w:type="dxa"/>
            <w:gridSpan w:val="3"/>
            <w:tcBorders>
              <w:top w:val="single" w:sz="12" w:space="0" w:color="auto"/>
              <w:bottom w:val="single" w:sz="12" w:space="0" w:color="auto"/>
            </w:tcBorders>
            <w:shd w:val="clear" w:color="auto" w:fill="auto"/>
            <w:noWrap/>
            <w:vAlign w:val="bottom"/>
          </w:tcPr>
          <w:p w14:paraId="3417D73D" w14:textId="77777777" w:rsidR="00DC3ED3" w:rsidRPr="005E3322" w:rsidRDefault="00DC3ED3" w:rsidP="00F12147">
            <w:pPr>
              <w:rPr>
                <w:rFonts w:eastAsiaTheme="minorEastAsia"/>
                <w:b/>
              </w:rPr>
            </w:pPr>
            <w:r w:rsidRPr="7A9D7D5A">
              <w:rPr>
                <w:rFonts w:eastAsiaTheme="minorEastAsia"/>
              </w:rPr>
              <w:t>College Attendees</w:t>
            </w:r>
          </w:p>
        </w:tc>
        <w:tc>
          <w:tcPr>
            <w:tcW w:w="270" w:type="dxa"/>
            <w:tcBorders>
              <w:top w:val="single" w:sz="12" w:space="0" w:color="auto"/>
              <w:bottom w:val="single" w:sz="12" w:space="0" w:color="auto"/>
            </w:tcBorders>
            <w:vAlign w:val="bottom"/>
          </w:tcPr>
          <w:p w14:paraId="11A9145B" w14:textId="77777777" w:rsidR="00DC3ED3" w:rsidRPr="7A9D7D5A" w:rsidRDefault="00DC3ED3" w:rsidP="00F12147">
            <w:pPr>
              <w:rPr>
                <w:rFonts w:eastAsiaTheme="minorEastAsia"/>
              </w:rPr>
            </w:pPr>
          </w:p>
        </w:tc>
        <w:tc>
          <w:tcPr>
            <w:tcW w:w="2520" w:type="dxa"/>
            <w:gridSpan w:val="3"/>
            <w:tcBorders>
              <w:top w:val="single" w:sz="12" w:space="0" w:color="auto"/>
              <w:bottom w:val="single" w:sz="12" w:space="0" w:color="auto"/>
            </w:tcBorders>
            <w:shd w:val="clear" w:color="auto" w:fill="auto"/>
            <w:noWrap/>
            <w:vAlign w:val="bottom"/>
          </w:tcPr>
          <w:p w14:paraId="1E7EAEB1" w14:textId="77777777" w:rsidR="00DC3ED3" w:rsidRPr="005E3322" w:rsidRDefault="00DC3ED3" w:rsidP="00F12147">
            <w:pPr>
              <w:rPr>
                <w:rFonts w:eastAsiaTheme="minorEastAsia"/>
                <w:color w:val="000000"/>
              </w:rPr>
            </w:pPr>
            <w:r w:rsidRPr="7A9D7D5A">
              <w:rPr>
                <w:rFonts w:eastAsiaTheme="minorEastAsia"/>
              </w:rPr>
              <w:t>College Attendees</w:t>
            </w:r>
          </w:p>
        </w:tc>
      </w:tr>
      <w:tr w:rsidR="00DC3ED3" w:rsidRPr="005E3322" w14:paraId="5452F994" w14:textId="77777777" w:rsidTr="6A9E2235">
        <w:trPr>
          <w:trHeight w:val="340"/>
        </w:trPr>
        <w:tc>
          <w:tcPr>
            <w:tcW w:w="9993" w:type="dxa"/>
            <w:gridSpan w:val="12"/>
            <w:tcBorders>
              <w:top w:val="single" w:sz="12" w:space="0" w:color="auto"/>
            </w:tcBorders>
            <w:shd w:val="clear" w:color="auto" w:fill="auto"/>
            <w:noWrap/>
            <w:vAlign w:val="bottom"/>
          </w:tcPr>
          <w:p w14:paraId="5A85A58C" w14:textId="64311F20" w:rsidR="00DC3ED3" w:rsidRPr="00156407" w:rsidRDefault="4A141A6E" w:rsidP="004B1105">
            <w:pPr>
              <w:pStyle w:val="NoSpacing"/>
              <w:rPr>
                <w:rFonts w:eastAsiaTheme="minorEastAsia"/>
                <w:sz w:val="20"/>
                <w:szCs w:val="20"/>
              </w:rPr>
            </w:pPr>
            <w:r w:rsidRPr="00F12147">
              <w:rPr>
                <w:rFonts w:eastAsiaTheme="minorEastAsia"/>
                <w:sz w:val="20"/>
                <w:szCs w:val="20"/>
              </w:rPr>
              <w:t>Income and wealth are divided into terciles, with all racial and ethnic groups using the same cut</w:t>
            </w:r>
            <w:r w:rsidR="00156407">
              <w:rPr>
                <w:rFonts w:eastAsiaTheme="minorEastAsia"/>
                <w:sz w:val="20"/>
                <w:szCs w:val="20"/>
              </w:rPr>
              <w:t xml:space="preserve"> </w:t>
            </w:r>
            <w:r w:rsidRPr="00156407">
              <w:rPr>
                <w:rFonts w:eastAsiaTheme="minorEastAsia"/>
                <w:sz w:val="20"/>
                <w:szCs w:val="20"/>
              </w:rPr>
              <w:t xml:space="preserve">points. </w:t>
            </w:r>
            <w:r w:rsidR="5BD87EB5" w:rsidRPr="00156407">
              <w:rPr>
                <w:rFonts w:eastAsiaTheme="minorEastAsia"/>
                <w:sz w:val="20"/>
                <w:szCs w:val="20"/>
              </w:rPr>
              <w:t xml:space="preserve">Degree completion includes the completion of an </w:t>
            </w:r>
            <w:r w:rsidR="00CB20F5">
              <w:rPr>
                <w:rFonts w:eastAsiaTheme="minorEastAsia"/>
                <w:sz w:val="20"/>
                <w:szCs w:val="20"/>
              </w:rPr>
              <w:t>a</w:t>
            </w:r>
            <w:r w:rsidR="00CB20F5" w:rsidRPr="00156407">
              <w:rPr>
                <w:rFonts w:eastAsiaTheme="minorEastAsia"/>
                <w:sz w:val="20"/>
                <w:szCs w:val="20"/>
              </w:rPr>
              <w:t xml:space="preserve">ssociate’s </w:t>
            </w:r>
            <w:r w:rsidR="5BD87EB5" w:rsidRPr="00156407">
              <w:rPr>
                <w:rFonts w:eastAsiaTheme="minorEastAsia"/>
                <w:sz w:val="20"/>
                <w:szCs w:val="20"/>
              </w:rPr>
              <w:t xml:space="preserve">degree or </w:t>
            </w:r>
            <w:proofErr w:type="gramStart"/>
            <w:r w:rsidR="5BD87EB5" w:rsidRPr="00156407">
              <w:rPr>
                <w:rFonts w:eastAsiaTheme="minorEastAsia"/>
                <w:sz w:val="20"/>
                <w:szCs w:val="20"/>
              </w:rPr>
              <w:t>higher, and</w:t>
            </w:r>
            <w:proofErr w:type="gramEnd"/>
            <w:r w:rsidR="5BD87EB5" w:rsidRPr="00156407">
              <w:rPr>
                <w:rFonts w:eastAsiaTheme="minorEastAsia"/>
                <w:sz w:val="20"/>
                <w:szCs w:val="20"/>
              </w:rPr>
              <w:t xml:space="preserve"> does not include certificate completion. </w:t>
            </w:r>
            <w:proofErr w:type="gramStart"/>
            <w:r w:rsidR="003A1965" w:rsidRPr="00156407">
              <w:rPr>
                <w:rFonts w:eastAsiaTheme="minorEastAsia"/>
                <w:sz w:val="20"/>
                <w:szCs w:val="20"/>
              </w:rPr>
              <w:t>Sample</w:t>
            </w:r>
            <w:proofErr w:type="gramEnd"/>
            <w:r w:rsidR="003A1965" w:rsidRPr="00156407">
              <w:rPr>
                <w:rFonts w:eastAsiaTheme="minorEastAsia"/>
                <w:sz w:val="20"/>
                <w:szCs w:val="20"/>
              </w:rPr>
              <w:t xml:space="preserve"> shown exclude</w:t>
            </w:r>
            <w:r w:rsidR="00CB20F5">
              <w:rPr>
                <w:rFonts w:eastAsiaTheme="minorEastAsia"/>
                <w:sz w:val="20"/>
                <w:szCs w:val="20"/>
              </w:rPr>
              <w:t>s</w:t>
            </w:r>
            <w:r w:rsidR="003A1965" w:rsidRPr="00156407">
              <w:rPr>
                <w:rFonts w:eastAsiaTheme="minorEastAsia"/>
                <w:sz w:val="20"/>
                <w:szCs w:val="20"/>
              </w:rPr>
              <w:t xml:space="preserve"> cases assigned a longitudinal weight of zero, as well as 31 </w:t>
            </w:r>
            <w:r w:rsidR="007A7BB2" w:rsidRPr="00156407">
              <w:rPr>
                <w:rFonts w:eastAsiaTheme="minorEastAsia"/>
                <w:sz w:val="20"/>
                <w:szCs w:val="20"/>
              </w:rPr>
              <w:t xml:space="preserve">individuals </w:t>
            </w:r>
            <w:r w:rsidR="003A1965" w:rsidRPr="00156407">
              <w:rPr>
                <w:rFonts w:eastAsiaTheme="minorEastAsia"/>
                <w:sz w:val="20"/>
                <w:szCs w:val="20"/>
              </w:rPr>
              <w:t>with no reported race and ethnicity data.</w:t>
            </w:r>
          </w:p>
          <w:p w14:paraId="542CC373" w14:textId="7011FA38" w:rsidR="00DC3ED3" w:rsidRPr="7A9D7D5A" w:rsidRDefault="003A0646" w:rsidP="004B1105">
            <w:pPr>
              <w:rPr>
                <w:rFonts w:eastAsiaTheme="minorEastAsia"/>
              </w:rPr>
            </w:pPr>
            <w:r w:rsidRPr="00156407">
              <w:rPr>
                <w:rFonts w:eastAsiaTheme="minorEastAsia"/>
                <w:sz w:val="20"/>
                <w:szCs w:val="20"/>
              </w:rPr>
              <w:t>Source</w:t>
            </w:r>
            <w:r w:rsidR="00DC3ED3" w:rsidRPr="00156407">
              <w:rPr>
                <w:rFonts w:eastAsiaTheme="minorEastAsia"/>
                <w:sz w:val="20"/>
                <w:szCs w:val="20"/>
              </w:rPr>
              <w:t>: IHEP analysis of PSID-TAS data (2005–2019).</w:t>
            </w:r>
          </w:p>
        </w:tc>
      </w:tr>
    </w:tbl>
    <w:p w14:paraId="0E3D84B3" w14:textId="77777777" w:rsidR="00DC3ED3" w:rsidRDefault="00DC3ED3" w:rsidP="004B1105"/>
    <w:p w14:paraId="69188A03" w14:textId="77777777" w:rsidR="00DC3ED3" w:rsidRDefault="00DC3ED3" w:rsidP="004B1105"/>
    <w:p w14:paraId="28E08930" w14:textId="77777777" w:rsidR="00DC3ED3" w:rsidRDefault="00DC3ED3" w:rsidP="004B1105"/>
    <w:p w14:paraId="3F058A9D" w14:textId="77777777" w:rsidR="00DC3ED3" w:rsidRDefault="00DC3ED3" w:rsidP="004B1105"/>
    <w:p w14:paraId="66BDF316" w14:textId="77777777" w:rsidR="00DC3ED3" w:rsidRDefault="00DC3ED3" w:rsidP="004B1105"/>
    <w:p w14:paraId="0E31E997" w14:textId="77777777" w:rsidR="00DC3ED3" w:rsidRDefault="00DC3ED3" w:rsidP="004B1105"/>
    <w:p w14:paraId="0DDABE2E" w14:textId="77777777" w:rsidR="00DC3ED3" w:rsidRDefault="00DC3ED3" w:rsidP="004B1105"/>
    <w:p w14:paraId="7A740CDB" w14:textId="77777777" w:rsidR="006E1113" w:rsidRDefault="006E1113" w:rsidP="004B1105"/>
    <w:p w14:paraId="0E66BCA9" w14:textId="77777777" w:rsidR="00A042D6" w:rsidRDefault="00A042D6" w:rsidP="004B1105"/>
    <w:p w14:paraId="283A08F6" w14:textId="77777777" w:rsidR="00A042D6" w:rsidRDefault="00A042D6" w:rsidP="004B1105"/>
    <w:p w14:paraId="7FA0317D" w14:textId="77777777" w:rsidR="00DD2E95" w:rsidRDefault="00DD2E95" w:rsidP="004B1105"/>
    <w:p w14:paraId="36389759" w14:textId="77777777" w:rsidR="00DD2E95" w:rsidRDefault="00DD2E95" w:rsidP="004B1105"/>
    <w:p w14:paraId="6C42640D" w14:textId="77777777" w:rsidR="00DD2E95" w:rsidRDefault="00DD2E95" w:rsidP="004B1105"/>
    <w:p w14:paraId="4767C4E1" w14:textId="77777777" w:rsidR="00DD2E95" w:rsidRDefault="00DD2E95" w:rsidP="004B1105"/>
    <w:p w14:paraId="4CEBAE7F" w14:textId="77777777" w:rsidR="00DD2E95" w:rsidRDefault="00DD2E95" w:rsidP="004B1105"/>
    <w:p w14:paraId="1ED77819" w14:textId="4A810025" w:rsidR="00701169" w:rsidRPr="002944CB" w:rsidRDefault="00701169" w:rsidP="004B1105">
      <w:pPr>
        <w:sectPr w:rsidR="00701169" w:rsidRPr="002944CB" w:rsidSect="001A7A59">
          <w:footnotePr>
            <w:numFmt w:val="lowerRoman"/>
          </w:footnotePr>
          <w:endnotePr>
            <w:numFmt w:val="decimal"/>
          </w:endnotePr>
          <w:pgSz w:w="12240" w:h="15840"/>
          <w:pgMar w:top="1440" w:right="1440" w:bottom="1440" w:left="1440" w:header="720" w:footer="720" w:gutter="0"/>
          <w:cols w:space="720"/>
          <w:docGrid w:linePitch="360"/>
        </w:sectPr>
      </w:pPr>
    </w:p>
    <w:p w14:paraId="0B8ED4C1" w14:textId="4481D0DD" w:rsidR="001D40F4" w:rsidRPr="00E0673D" w:rsidRDefault="00CA40B0" w:rsidP="004B1105">
      <w:pPr>
        <w:pStyle w:val="Heading1"/>
      </w:pPr>
      <w:bookmarkStart w:id="52" w:name="_Toc167901761"/>
      <w:r>
        <w:lastRenderedPageBreak/>
        <w:t>N</w:t>
      </w:r>
      <w:r w:rsidR="002B68DC">
        <w:t>otes</w:t>
      </w:r>
      <w:bookmarkEnd w:id="52"/>
    </w:p>
    <w:sectPr w:rsidR="001D40F4" w:rsidRPr="00E0673D">
      <w:footnotePr>
        <w:numFmt w:val="lowerRoman"/>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88CB7" w14:textId="77777777" w:rsidR="00E543F9" w:rsidRDefault="00E543F9" w:rsidP="007861D0">
      <w:r>
        <w:separator/>
      </w:r>
    </w:p>
  </w:endnote>
  <w:endnote w:type="continuationSeparator" w:id="0">
    <w:p w14:paraId="603F1F88" w14:textId="77777777" w:rsidR="00E543F9" w:rsidRDefault="00E543F9" w:rsidP="007861D0">
      <w:r>
        <w:continuationSeparator/>
      </w:r>
    </w:p>
  </w:endnote>
  <w:endnote w:type="continuationNotice" w:id="1">
    <w:p w14:paraId="32799BC2" w14:textId="77777777" w:rsidR="00E543F9" w:rsidRDefault="00E543F9"/>
  </w:endnote>
  <w:endnote w:id="2">
    <w:p w14:paraId="1219771E" w14:textId="6DB841B3" w:rsidR="000F4059" w:rsidRDefault="000F4059">
      <w:pPr>
        <w:pStyle w:val="EndnoteText"/>
      </w:pPr>
      <w:r>
        <w:rPr>
          <w:rStyle w:val="EndnoteReference"/>
        </w:rPr>
        <w:endnoteRef/>
      </w:r>
      <w:r>
        <w:t xml:space="preserve"> </w:t>
      </w:r>
      <w:r w:rsidR="00A5480A">
        <w:t xml:space="preserve">Earned income </w:t>
      </w:r>
      <w:r>
        <w:t xml:space="preserve">can </w:t>
      </w:r>
      <w:r w:rsidR="00A5480A">
        <w:t>come from salaried, hourly, and/or self-employme</w:t>
      </w:r>
      <w:r w:rsidR="00F3385C">
        <w:t>nt</w:t>
      </w:r>
      <w:r w:rsidR="00A5480A">
        <w:t xml:space="preserve"> contracts.</w:t>
      </w:r>
      <w:r>
        <w:t xml:space="preserve"> </w:t>
      </w:r>
      <w:r w:rsidR="003F361A">
        <w:t>I</w:t>
      </w:r>
      <w:r>
        <w:t>ndividuals can</w:t>
      </w:r>
      <w:r w:rsidR="003F361A">
        <w:t xml:space="preserve"> also</w:t>
      </w:r>
      <w:r>
        <w:t xml:space="preserve"> earn income passively</w:t>
      </w:r>
      <w:r w:rsidR="009265FB">
        <w:t xml:space="preserve">, </w:t>
      </w:r>
      <w:r w:rsidR="003904E3">
        <w:t>by, for example,</w:t>
      </w:r>
      <w:r w:rsidRPr="005513B8">
        <w:t xml:space="preserve"> leasing rental properties or through a portfolio (e.g., </w:t>
      </w:r>
      <w:r w:rsidR="008F3B7D">
        <w:t>interest and dividen</w:t>
      </w:r>
      <w:r w:rsidR="00234BAE">
        <w:t>d income from investments</w:t>
      </w:r>
      <w:r w:rsidRPr="005513B8">
        <w:t>, etc.)</w:t>
      </w:r>
      <w:r w:rsidR="00494322">
        <w:t>.</w:t>
      </w:r>
    </w:p>
  </w:endnote>
  <w:endnote w:id="3">
    <w:p w14:paraId="0913B26A" w14:textId="29CD0E7A" w:rsidR="005E3C48" w:rsidRDefault="005E3C48">
      <w:pPr>
        <w:pStyle w:val="EndnoteText"/>
      </w:pPr>
      <w:r>
        <w:rPr>
          <w:rStyle w:val="EndnoteReference"/>
        </w:rPr>
        <w:endnoteRef/>
      </w:r>
      <w:r>
        <w:t xml:space="preserve"> Financial assets include</w:t>
      </w:r>
      <w:r w:rsidR="009B1792">
        <w:t>,</w:t>
      </w:r>
      <w:r>
        <w:t xml:space="preserve"> but are not limited to</w:t>
      </w:r>
      <w:r w:rsidR="009B1792">
        <w:t>,</w:t>
      </w:r>
      <w:r>
        <w:t xml:space="preserve"> all liquid assets, certificates of deposit(s), stock(s), bonds, IRAs, </w:t>
      </w:r>
      <w:r w:rsidR="0077490B">
        <w:t xml:space="preserve">and </w:t>
      </w:r>
      <w:r>
        <w:t>life insurance value.</w:t>
      </w:r>
    </w:p>
  </w:endnote>
  <w:endnote w:id="4">
    <w:p w14:paraId="19CDD465" w14:textId="4C018C92" w:rsidR="005E3C48" w:rsidRDefault="005E3C48">
      <w:pPr>
        <w:pStyle w:val="EndnoteText"/>
      </w:pPr>
      <w:r>
        <w:rPr>
          <w:rStyle w:val="EndnoteReference"/>
        </w:rPr>
        <w:endnoteRef/>
      </w:r>
      <w:r>
        <w:t xml:space="preserve"> Non-financial assets include</w:t>
      </w:r>
      <w:r w:rsidR="003F482C">
        <w:t>,</w:t>
      </w:r>
      <w:r>
        <w:t xml:space="preserve"> but are not limited to</w:t>
      </w:r>
      <w:r w:rsidR="003F482C">
        <w:t>,</w:t>
      </w:r>
      <w:r>
        <w:t xml:space="preserve"> the value of held real estate, housing equity, business(es), and vehicles.</w:t>
      </w:r>
    </w:p>
  </w:endnote>
  <w:endnote w:id="5">
    <w:p w14:paraId="0BA62F5A" w14:textId="40F0522D" w:rsidR="005E3C48" w:rsidRDefault="005E3C48">
      <w:pPr>
        <w:pStyle w:val="EndnoteText"/>
      </w:pPr>
      <w:r>
        <w:rPr>
          <w:rStyle w:val="EndnoteReference"/>
        </w:rPr>
        <w:endnoteRef/>
      </w:r>
      <w:r>
        <w:t xml:space="preserve"> Debts and liabilities can include</w:t>
      </w:r>
      <w:r w:rsidR="003F482C">
        <w:t>,</w:t>
      </w:r>
      <w:r>
        <w:t xml:space="preserve"> but are not limited to</w:t>
      </w:r>
      <w:r w:rsidR="003F482C">
        <w:t>,</w:t>
      </w:r>
      <w:r>
        <w:t xml:space="preserve"> farm or business loans, credit card debt, </w:t>
      </w:r>
      <w:r w:rsidR="002350E4">
        <w:t xml:space="preserve">and </w:t>
      </w:r>
      <w:r>
        <w:t>student loans.</w:t>
      </w:r>
    </w:p>
  </w:endnote>
  <w:endnote w:id="6">
    <w:p w14:paraId="4276E1BB" w14:textId="7673D0C4" w:rsidR="00004986" w:rsidRDefault="00004986" w:rsidP="00F95408">
      <w:pPr>
        <w:pStyle w:val="References"/>
      </w:pPr>
      <w:r>
        <w:rPr>
          <w:rStyle w:val="EndnoteReference"/>
        </w:rPr>
        <w:endnoteRef/>
      </w:r>
      <w:r>
        <w:t xml:space="preserve"> </w:t>
      </w:r>
      <w:r w:rsidR="00860BD7">
        <w:t>Asante-Muhamm</w:t>
      </w:r>
      <w:r w:rsidR="001B7C29">
        <w:t>a</w:t>
      </w:r>
      <w:r w:rsidR="00860BD7">
        <w:t>d, D., Collins, C., Hoxie, J., &amp; Nieves, E.</w:t>
      </w:r>
      <w:r w:rsidR="000173EE">
        <w:t>,</w:t>
      </w:r>
      <w:r w:rsidR="00860BD7">
        <w:t xml:space="preserve"> (2016</w:t>
      </w:r>
      <w:r w:rsidR="000173EE">
        <w:t xml:space="preserve">), </w:t>
      </w:r>
      <w:r w:rsidR="00860BD7">
        <w:rPr>
          <w:i/>
          <w:iCs/>
        </w:rPr>
        <w:t xml:space="preserve">The </w:t>
      </w:r>
      <w:r w:rsidR="000173EE">
        <w:rPr>
          <w:i/>
          <w:iCs/>
        </w:rPr>
        <w:t>ever-growing gap</w:t>
      </w:r>
      <w:r w:rsidR="00860BD7">
        <w:rPr>
          <w:i/>
          <w:iCs/>
        </w:rPr>
        <w:t xml:space="preserve">: Without </w:t>
      </w:r>
      <w:r w:rsidR="000173EE">
        <w:rPr>
          <w:i/>
          <w:iCs/>
        </w:rPr>
        <w:t>change</w:t>
      </w:r>
      <w:r w:rsidR="00860BD7">
        <w:rPr>
          <w:i/>
          <w:iCs/>
        </w:rPr>
        <w:t xml:space="preserve">, African-American and Latino </w:t>
      </w:r>
      <w:r w:rsidR="000173EE">
        <w:rPr>
          <w:i/>
          <w:iCs/>
        </w:rPr>
        <w:t>families won’t match</w:t>
      </w:r>
      <w:r w:rsidR="00860BD7">
        <w:rPr>
          <w:i/>
          <w:iCs/>
        </w:rPr>
        <w:t xml:space="preserve"> White </w:t>
      </w:r>
      <w:r w:rsidR="000173EE">
        <w:rPr>
          <w:i/>
          <w:iCs/>
        </w:rPr>
        <w:t>wealth for centuries</w:t>
      </w:r>
      <w:r w:rsidR="00860BD7">
        <w:t>. The Institute for Policy Studies</w:t>
      </w:r>
      <w:r w:rsidR="00103063">
        <w:t xml:space="preserve">, </w:t>
      </w:r>
      <w:hyperlink r:id="rId1" w:history="1">
        <w:r w:rsidR="00860BD7">
          <w:rPr>
            <w:rStyle w:val="Hyperlink"/>
          </w:rPr>
          <w:t>https://ips-dc.org/wp-content/uploads/2016/08/The-Ever-Growing-Gap-CFED_IPS-Final-2.pdf</w:t>
        </w:r>
      </w:hyperlink>
      <w:r w:rsidR="00A343FE">
        <w:rPr>
          <w:rStyle w:val="Hyperlink"/>
          <w:color w:val="auto"/>
          <w:u w:val="none"/>
        </w:rPr>
        <w:t>;</w:t>
      </w:r>
      <w:r w:rsidR="006F2680">
        <w:rPr>
          <w:rStyle w:val="Hyperlink"/>
          <w:color w:val="auto"/>
          <w:u w:val="none"/>
        </w:rPr>
        <w:t xml:space="preserve"> </w:t>
      </w:r>
      <w:r w:rsidR="004C53F9">
        <w:t>Ashman, H., &amp; Neumuller, S.</w:t>
      </w:r>
      <w:r w:rsidR="000173EE">
        <w:t>,</w:t>
      </w:r>
      <w:r w:rsidR="004C53F9">
        <w:t xml:space="preserve"> (2020</w:t>
      </w:r>
      <w:r w:rsidR="000173EE">
        <w:t xml:space="preserve">), </w:t>
      </w:r>
      <w:r w:rsidR="004C53F9">
        <w:t>Can income differences explain the racial wealth gap? A quantitative analysis</w:t>
      </w:r>
      <w:r w:rsidR="000173EE">
        <w:t xml:space="preserve">, </w:t>
      </w:r>
      <w:r w:rsidR="004C53F9">
        <w:rPr>
          <w:i/>
          <w:iCs/>
        </w:rPr>
        <w:t>Review of Economic Dynamics</w:t>
      </w:r>
      <w:r w:rsidR="004C53F9">
        <w:t xml:space="preserve">, </w:t>
      </w:r>
      <w:r w:rsidR="004C53F9">
        <w:rPr>
          <w:i/>
          <w:iCs/>
        </w:rPr>
        <w:t>35</w:t>
      </w:r>
      <w:r w:rsidR="004C53F9">
        <w:t>, 220–239</w:t>
      </w:r>
      <w:r w:rsidR="00103063">
        <w:t xml:space="preserve">, </w:t>
      </w:r>
      <w:hyperlink r:id="rId2" w:history="1">
        <w:r w:rsidR="004C53F9">
          <w:rPr>
            <w:rStyle w:val="Hyperlink"/>
          </w:rPr>
          <w:t>https://doi.org/10.1016/j.red.2019.06.004</w:t>
        </w:r>
      </w:hyperlink>
      <w:r w:rsidR="006F2680">
        <w:rPr>
          <w:rStyle w:val="Hyperlink"/>
          <w:color w:val="auto"/>
          <w:u w:val="none"/>
        </w:rPr>
        <w:t xml:space="preserve">; </w:t>
      </w:r>
      <w:r>
        <w:t>Bhutta, N., Chang, A. C., Dettling, L. J., &amp; Hewitt, J. W. H.</w:t>
      </w:r>
      <w:r w:rsidR="000173EE">
        <w:t>,</w:t>
      </w:r>
      <w:r>
        <w:t xml:space="preserve"> (2020, September 28</w:t>
      </w:r>
      <w:r w:rsidR="000173EE">
        <w:t xml:space="preserve">), </w:t>
      </w:r>
      <w:r>
        <w:rPr>
          <w:i/>
          <w:iCs/>
        </w:rPr>
        <w:t xml:space="preserve">Disparities in </w:t>
      </w:r>
      <w:r w:rsidR="000173EE">
        <w:rPr>
          <w:i/>
          <w:iCs/>
        </w:rPr>
        <w:t xml:space="preserve">wealth by race and ethnicity </w:t>
      </w:r>
      <w:r>
        <w:rPr>
          <w:i/>
          <w:iCs/>
        </w:rPr>
        <w:t>in the 2019 Survey of Consumer Finances</w:t>
      </w:r>
      <w:r w:rsidR="0092564C">
        <w:t xml:space="preserve">, </w:t>
      </w:r>
      <w:hyperlink r:id="rId3" w:history="1">
        <w:r>
          <w:rPr>
            <w:rStyle w:val="Hyperlink"/>
          </w:rPr>
          <w:t>https://www.federalreserve.gov/econres/notes/feds-notes/disparities-in-wealth-by-race-and-ethnicity-in-the-2019-survey-of-consumer-finances-20200928.html</w:t>
        </w:r>
      </w:hyperlink>
      <w:r w:rsidR="00612AE6" w:rsidRPr="00612AE6">
        <w:rPr>
          <w:rStyle w:val="Hyperlink"/>
          <w:color w:val="auto"/>
          <w:u w:val="none"/>
        </w:rPr>
        <w:t>; and</w:t>
      </w:r>
      <w:r w:rsidR="00612AE6">
        <w:t xml:space="preserve"> </w:t>
      </w:r>
      <w:r w:rsidR="00255C86" w:rsidRPr="00255C86">
        <w:t>Thompson, J</w:t>
      </w:r>
      <w:r w:rsidR="0092564C">
        <w:t>.</w:t>
      </w:r>
      <w:r w:rsidR="00255C86" w:rsidRPr="00255C86">
        <w:t xml:space="preserve"> P.</w:t>
      </w:r>
      <w:r w:rsidR="0092564C">
        <w:t>, &amp;</w:t>
      </w:r>
      <w:r w:rsidR="00255C86" w:rsidRPr="00255C86">
        <w:t xml:space="preserve"> </w:t>
      </w:r>
      <w:r w:rsidR="0092564C" w:rsidRPr="00255C86">
        <w:t>Suarez</w:t>
      </w:r>
      <w:r w:rsidR="0092564C">
        <w:t>,</w:t>
      </w:r>
      <w:r w:rsidR="0092564C" w:rsidRPr="00255C86">
        <w:t xml:space="preserve"> </w:t>
      </w:r>
      <w:r w:rsidR="00255C86" w:rsidRPr="00255C86">
        <w:t>G</w:t>
      </w:r>
      <w:r w:rsidR="0092564C">
        <w:t>.</w:t>
      </w:r>
      <w:r w:rsidR="00255C86" w:rsidRPr="00255C86">
        <w:t xml:space="preserve"> A.</w:t>
      </w:r>
      <w:r w:rsidR="000173EE">
        <w:t>,</w:t>
      </w:r>
      <w:r w:rsidR="00255C86" w:rsidRPr="00255C86">
        <w:t xml:space="preserve"> (2015</w:t>
      </w:r>
      <w:r w:rsidR="000173EE" w:rsidRPr="00255C86">
        <w:t>)</w:t>
      </w:r>
      <w:r w:rsidR="000173EE">
        <w:t>,</w:t>
      </w:r>
      <w:r w:rsidR="000173EE" w:rsidRPr="00255C86">
        <w:t xml:space="preserve"> </w:t>
      </w:r>
      <w:r w:rsidR="00255C86" w:rsidRPr="00F95408">
        <w:rPr>
          <w:i/>
        </w:rPr>
        <w:t xml:space="preserve">Exploring the </w:t>
      </w:r>
      <w:r w:rsidR="000173EE" w:rsidRPr="00F95408">
        <w:rPr>
          <w:i/>
        </w:rPr>
        <w:t>racial wealth gap using</w:t>
      </w:r>
      <w:r w:rsidR="00255C86" w:rsidRPr="00F95408">
        <w:rPr>
          <w:i/>
        </w:rPr>
        <w:t xml:space="preserve"> the Survey of Consumer Finances</w:t>
      </w:r>
      <w:r w:rsidR="00255C86" w:rsidRPr="00255C86">
        <w:t>, Finance and Economics Discussion Series 2015-076</w:t>
      </w:r>
      <w:r w:rsidR="000173EE">
        <w:t>,</w:t>
      </w:r>
      <w:r w:rsidR="00255C86" w:rsidRPr="00255C86">
        <w:t xml:space="preserve"> Board of Governors of the Federal Reserve System, </w:t>
      </w:r>
      <w:hyperlink r:id="rId4" w:history="1">
        <w:r w:rsidR="00255C86" w:rsidRPr="000A6836">
          <w:rPr>
            <w:rStyle w:val="Hyperlink"/>
          </w:rPr>
          <w:t>http://dx.doi.org/10.17016/FEDS.2015.076</w:t>
        </w:r>
      </w:hyperlink>
      <w:r w:rsidR="00255C86">
        <w:t>.</w:t>
      </w:r>
    </w:p>
  </w:endnote>
  <w:endnote w:id="7">
    <w:p w14:paraId="04F0FB44" w14:textId="7A40BF67" w:rsidR="00063DA4" w:rsidRDefault="009517B2" w:rsidP="007B65B8">
      <w:pPr>
        <w:pStyle w:val="References"/>
      </w:pPr>
      <w:r>
        <w:rPr>
          <w:rStyle w:val="EndnoteReference"/>
        </w:rPr>
        <w:endnoteRef/>
      </w:r>
      <w:r w:rsidR="007B65B8">
        <w:t xml:space="preserve"> Aladangady, A., Chang, A. C., &amp; Ma, J. K. (2023). </w:t>
      </w:r>
      <w:r w:rsidR="007B65B8">
        <w:rPr>
          <w:i/>
          <w:iCs/>
        </w:rPr>
        <w:t>Greater Wealth, Greater Uncertainty: Changes in Racial Inequality in the Survey of Consumer Finances</w:t>
      </w:r>
      <w:r w:rsidR="007B65B8">
        <w:t xml:space="preserve">. </w:t>
      </w:r>
      <w:hyperlink r:id="rId5" w:history="1">
        <w:r w:rsidR="007B65B8">
          <w:rPr>
            <w:rStyle w:val="Hyperlink"/>
          </w:rPr>
          <w:t>https://doi.org/10.17016/2380-7172.3405</w:t>
        </w:r>
      </w:hyperlink>
    </w:p>
  </w:endnote>
  <w:endnote w:id="8">
    <w:p w14:paraId="0AF6A5FB" w14:textId="77777777" w:rsidR="00063DA4" w:rsidRDefault="00063DA4" w:rsidP="007B65B8">
      <w:pPr>
        <w:pStyle w:val="References"/>
      </w:pPr>
      <w:r>
        <w:rPr>
          <w:rStyle w:val="EndnoteReference"/>
        </w:rPr>
        <w:endnoteRef/>
      </w:r>
      <w:r>
        <w:t xml:space="preserve"> </w:t>
      </w:r>
      <w:r w:rsidR="00342779" w:rsidRPr="00342779">
        <w:t>Choi, J. H., Young, C., McCargo, A., Neal, M., &amp; Goodman, L.</w:t>
      </w:r>
      <w:r w:rsidR="000173EE">
        <w:t>,</w:t>
      </w:r>
      <w:r w:rsidR="00342779" w:rsidRPr="00342779">
        <w:t xml:space="preserve"> (2019</w:t>
      </w:r>
      <w:r w:rsidR="000173EE" w:rsidRPr="00342779">
        <w:t>)</w:t>
      </w:r>
      <w:r w:rsidR="000173EE">
        <w:t>,</w:t>
      </w:r>
      <w:r w:rsidR="000173EE" w:rsidRPr="00342779">
        <w:t xml:space="preserve"> </w:t>
      </w:r>
      <w:r w:rsidR="00342779" w:rsidRPr="00342779">
        <w:rPr>
          <w:i/>
          <w:iCs/>
        </w:rPr>
        <w:t xml:space="preserve">Explaining the Black-White </w:t>
      </w:r>
      <w:r w:rsidR="000173EE" w:rsidRPr="00342779">
        <w:rPr>
          <w:i/>
          <w:iCs/>
        </w:rPr>
        <w:t>homeownership gap</w:t>
      </w:r>
      <w:r w:rsidR="00111CFA">
        <w:t>,</w:t>
      </w:r>
      <w:r w:rsidR="00342779" w:rsidRPr="00342779">
        <w:t xml:space="preserve"> Urban Institute.</w:t>
      </w:r>
    </w:p>
  </w:endnote>
  <w:endnote w:id="9">
    <w:p w14:paraId="3078046E" w14:textId="3725018F" w:rsidR="00884182" w:rsidRPr="00D52613" w:rsidRDefault="00884182" w:rsidP="007B65B8">
      <w:pPr>
        <w:pStyle w:val="References"/>
      </w:pPr>
      <w:r>
        <w:rPr>
          <w:rStyle w:val="EndnoteReference"/>
        </w:rPr>
        <w:endnoteRef/>
      </w:r>
      <w:r>
        <w:t xml:space="preserve"> </w:t>
      </w:r>
      <w:r w:rsidR="0052766F">
        <w:t>Dwyer, R. E.</w:t>
      </w:r>
      <w:r w:rsidR="000173EE">
        <w:t>,</w:t>
      </w:r>
      <w:r w:rsidR="0052766F">
        <w:t xml:space="preserve"> (2018</w:t>
      </w:r>
      <w:r w:rsidR="000173EE">
        <w:t xml:space="preserve">), </w:t>
      </w:r>
      <w:r w:rsidR="0052766F">
        <w:t>Credit</w:t>
      </w:r>
      <w:r w:rsidR="000173EE">
        <w:t>, debt, and inequality</w:t>
      </w:r>
      <w:r w:rsidR="00D52613">
        <w:t xml:space="preserve">, </w:t>
      </w:r>
      <w:r w:rsidR="0052766F">
        <w:rPr>
          <w:i/>
          <w:iCs/>
        </w:rPr>
        <w:t>Annual Review of Sociology</w:t>
      </w:r>
      <w:r w:rsidR="0052766F">
        <w:t xml:space="preserve">, </w:t>
      </w:r>
      <w:r w:rsidR="0052766F">
        <w:rPr>
          <w:i/>
          <w:iCs/>
        </w:rPr>
        <w:t>44</w:t>
      </w:r>
      <w:r w:rsidR="0052766F">
        <w:t>(1), 237–261</w:t>
      </w:r>
      <w:r w:rsidR="000173EE">
        <w:t xml:space="preserve">, </w:t>
      </w:r>
      <w:hyperlink r:id="rId6" w:history="1">
        <w:r w:rsidR="0052766F">
          <w:rPr>
            <w:rStyle w:val="Hyperlink"/>
          </w:rPr>
          <w:t>https://doi.org/10.1146/annurev-soc-060116-053420</w:t>
        </w:r>
      </w:hyperlink>
      <w:r w:rsidR="00D52613">
        <w:rPr>
          <w:rStyle w:val="Hyperlink"/>
          <w:u w:val="none"/>
        </w:rPr>
        <w:t>.</w:t>
      </w:r>
    </w:p>
  </w:endnote>
  <w:endnote w:id="10">
    <w:p w14:paraId="466C845D" w14:textId="06836901" w:rsidR="000643AC" w:rsidRPr="00D52613" w:rsidRDefault="000643AC" w:rsidP="007B65B8">
      <w:pPr>
        <w:pStyle w:val="References"/>
      </w:pPr>
      <w:r>
        <w:rPr>
          <w:rStyle w:val="EndnoteReference"/>
        </w:rPr>
        <w:endnoteRef/>
      </w:r>
      <w:r>
        <w:t xml:space="preserve"> </w:t>
      </w:r>
      <w:r w:rsidR="000F3AFB">
        <w:t>Avenancio-León, C. F., &amp; Howard, T.</w:t>
      </w:r>
      <w:r w:rsidR="00D52613">
        <w:t>,</w:t>
      </w:r>
      <w:r w:rsidR="000F3AFB">
        <w:t xml:space="preserve"> (2022</w:t>
      </w:r>
      <w:r w:rsidR="00D52613">
        <w:t xml:space="preserve">), </w:t>
      </w:r>
      <w:r w:rsidR="000F3AFB">
        <w:t xml:space="preserve">The </w:t>
      </w:r>
      <w:r w:rsidR="00D52613">
        <w:t>assessment g</w:t>
      </w:r>
      <w:r w:rsidR="000F3AFB">
        <w:t xml:space="preserve">ap: Racial </w:t>
      </w:r>
      <w:r w:rsidR="00D52613">
        <w:t>inequalities in property taxation,</w:t>
      </w:r>
      <w:r w:rsidR="000F3AFB">
        <w:t xml:space="preserve"> </w:t>
      </w:r>
      <w:r w:rsidR="000F3AFB">
        <w:rPr>
          <w:i/>
          <w:iCs/>
        </w:rPr>
        <w:t>The Quarterly Journal of Economics</w:t>
      </w:r>
      <w:r w:rsidR="000F3AFB">
        <w:t xml:space="preserve">, </w:t>
      </w:r>
      <w:r w:rsidR="000F3AFB">
        <w:rPr>
          <w:i/>
          <w:iCs/>
        </w:rPr>
        <w:t>137</w:t>
      </w:r>
      <w:r w:rsidR="000F3AFB">
        <w:t>(3), 1383–1434</w:t>
      </w:r>
      <w:r w:rsidR="00D52613">
        <w:t xml:space="preserve">, </w:t>
      </w:r>
      <w:hyperlink r:id="rId7" w:history="1">
        <w:r w:rsidR="000F3AFB">
          <w:rPr>
            <w:rStyle w:val="Hyperlink"/>
          </w:rPr>
          <w:t>https://doi.org/10.1093/qje/qjac009</w:t>
        </w:r>
      </w:hyperlink>
      <w:r w:rsidR="00D52613">
        <w:rPr>
          <w:rStyle w:val="Hyperlink"/>
          <w:u w:val="none"/>
        </w:rPr>
        <w:t>.</w:t>
      </w:r>
    </w:p>
  </w:endnote>
  <w:endnote w:id="11">
    <w:p w14:paraId="30E49393" w14:textId="29B01775" w:rsidR="00D860B3" w:rsidRPr="00D52613" w:rsidRDefault="00D860B3" w:rsidP="007B65B8">
      <w:pPr>
        <w:pStyle w:val="References"/>
      </w:pPr>
      <w:r>
        <w:rPr>
          <w:rStyle w:val="EndnoteReference"/>
        </w:rPr>
        <w:endnoteRef/>
      </w:r>
      <w:r>
        <w:t xml:space="preserve"> </w:t>
      </w:r>
      <w:r w:rsidR="0024775C">
        <w:t>Bertrand, M., &amp; Mullainathan, S.</w:t>
      </w:r>
      <w:r w:rsidR="00D52613">
        <w:t>,</w:t>
      </w:r>
      <w:r w:rsidR="0024775C">
        <w:t xml:space="preserve"> (2003</w:t>
      </w:r>
      <w:r w:rsidR="00D52613">
        <w:t xml:space="preserve">), </w:t>
      </w:r>
      <w:r w:rsidR="0024775C">
        <w:rPr>
          <w:i/>
          <w:iCs/>
        </w:rPr>
        <w:t xml:space="preserve">Are Emily and Greg </w:t>
      </w:r>
      <w:r w:rsidR="00D52613">
        <w:rPr>
          <w:i/>
          <w:iCs/>
        </w:rPr>
        <w:t xml:space="preserve">more employable than </w:t>
      </w:r>
      <w:r w:rsidR="0024775C">
        <w:rPr>
          <w:i/>
          <w:iCs/>
        </w:rPr>
        <w:t xml:space="preserve">Lakisha and Jamal? A </w:t>
      </w:r>
      <w:r w:rsidR="00D52613">
        <w:rPr>
          <w:i/>
          <w:iCs/>
        </w:rPr>
        <w:t>field experiment on labor market discriminat</w:t>
      </w:r>
      <w:r w:rsidR="0024775C">
        <w:rPr>
          <w:i/>
          <w:iCs/>
        </w:rPr>
        <w:t>ion</w:t>
      </w:r>
      <w:r w:rsidR="00D52613">
        <w:t xml:space="preserve">, </w:t>
      </w:r>
      <w:r w:rsidR="0024775C">
        <w:t>National Bureau of Economic Research</w:t>
      </w:r>
      <w:r w:rsidR="00D52613">
        <w:t xml:space="preserve">, </w:t>
      </w:r>
      <w:hyperlink r:id="rId8" w:history="1">
        <w:r w:rsidR="0024775C">
          <w:rPr>
            <w:rStyle w:val="Hyperlink"/>
          </w:rPr>
          <w:t>http://www.nber.org/papers/w987</w:t>
        </w:r>
        <w:bookmarkStart w:id="7" w:name="_Hlt162019215"/>
        <w:r w:rsidR="0024775C">
          <w:rPr>
            <w:rStyle w:val="Hyperlink"/>
          </w:rPr>
          <w:t>3</w:t>
        </w:r>
        <w:bookmarkEnd w:id="7"/>
      </w:hyperlink>
      <w:r w:rsidR="007E61FF">
        <w:t xml:space="preserve"> </w:t>
      </w:r>
      <w:r>
        <w:t>Kang, S. K., DeCelles, K. A., Tilcsik, A., &amp; Jun, S.</w:t>
      </w:r>
      <w:r w:rsidR="00D52613">
        <w:t>,</w:t>
      </w:r>
      <w:r>
        <w:t xml:space="preserve"> (2016</w:t>
      </w:r>
      <w:r w:rsidR="00D52613">
        <w:t xml:space="preserve">), </w:t>
      </w:r>
      <w:r>
        <w:t xml:space="preserve">Whitened </w:t>
      </w:r>
      <w:r w:rsidR="00D52613">
        <w:t>résumés</w:t>
      </w:r>
      <w:r>
        <w:t xml:space="preserve">: Race and </w:t>
      </w:r>
      <w:r w:rsidR="00D52613">
        <w:t xml:space="preserve">self-presentation in the labor market, </w:t>
      </w:r>
      <w:r>
        <w:rPr>
          <w:i/>
          <w:iCs/>
        </w:rPr>
        <w:t>Administrative Science Quarterly</w:t>
      </w:r>
      <w:r>
        <w:t xml:space="preserve">, </w:t>
      </w:r>
      <w:r>
        <w:rPr>
          <w:i/>
          <w:iCs/>
        </w:rPr>
        <w:t>61</w:t>
      </w:r>
      <w:r>
        <w:t>(3), 469–502</w:t>
      </w:r>
      <w:r w:rsidR="00D52613">
        <w:t xml:space="preserve">, </w:t>
      </w:r>
      <w:hyperlink r:id="rId9" w:history="1">
        <w:r>
          <w:rPr>
            <w:rStyle w:val="Hyperlink"/>
          </w:rPr>
          <w:t>https://doi.org/10.1177/0001839216639577</w:t>
        </w:r>
      </w:hyperlink>
      <w:r w:rsidR="00D52613">
        <w:rPr>
          <w:rStyle w:val="Hyperlink"/>
          <w:u w:val="none"/>
        </w:rPr>
        <w:t>.</w:t>
      </w:r>
    </w:p>
  </w:endnote>
  <w:endnote w:id="12">
    <w:p w14:paraId="11DA9CE9" w14:textId="741CDFD7" w:rsidR="001416F7" w:rsidRDefault="001416F7" w:rsidP="007B65B8">
      <w:pPr>
        <w:pStyle w:val="References"/>
      </w:pPr>
      <w:r>
        <w:rPr>
          <w:rStyle w:val="EndnoteReference"/>
        </w:rPr>
        <w:endnoteRef/>
      </w:r>
      <w:r>
        <w:t xml:space="preserve"> </w:t>
      </w:r>
      <w:r w:rsidRPr="00140817">
        <w:t>Sullivan, L., Meschede, T., Dietrich, L., Shapiro, T., Traub, A., Ruetschlin, C., &amp; Draut, T.</w:t>
      </w:r>
      <w:r w:rsidR="00D52613">
        <w:t>,</w:t>
      </w:r>
      <w:r w:rsidRPr="00140817">
        <w:t xml:space="preserve"> (2015</w:t>
      </w:r>
      <w:r w:rsidR="00D52613" w:rsidRPr="00140817">
        <w:t>)</w:t>
      </w:r>
      <w:r w:rsidR="00D52613">
        <w:t>,</w:t>
      </w:r>
      <w:r w:rsidR="00D52613" w:rsidRPr="00140817">
        <w:t xml:space="preserve"> </w:t>
      </w:r>
      <w:r w:rsidRPr="00140817">
        <w:rPr>
          <w:i/>
          <w:iCs/>
        </w:rPr>
        <w:t xml:space="preserve">The </w:t>
      </w:r>
      <w:r w:rsidR="00D52613" w:rsidRPr="00140817">
        <w:rPr>
          <w:i/>
          <w:iCs/>
        </w:rPr>
        <w:t>racial wealth gap</w:t>
      </w:r>
      <w:r w:rsidRPr="00140817">
        <w:rPr>
          <w:i/>
          <w:iCs/>
        </w:rPr>
        <w:t xml:space="preserve">: Why </w:t>
      </w:r>
      <w:r w:rsidR="00D52613" w:rsidRPr="00140817">
        <w:rPr>
          <w:i/>
          <w:iCs/>
        </w:rPr>
        <w:t>policy matters</w:t>
      </w:r>
      <w:r w:rsidR="00D52613">
        <w:t>,</w:t>
      </w:r>
      <w:r w:rsidR="00D52613" w:rsidRPr="00140817">
        <w:t xml:space="preserve"> </w:t>
      </w:r>
      <w:r w:rsidRPr="00140817">
        <w:t>Demos and The Institute on Assets and Social Policy, Brandeis University.</w:t>
      </w:r>
    </w:p>
  </w:endnote>
  <w:endnote w:id="13">
    <w:p w14:paraId="718752FA" w14:textId="2DECDB19" w:rsidR="00D42E2F" w:rsidRPr="00D52613" w:rsidRDefault="00D42E2F">
      <w:pPr>
        <w:pStyle w:val="EndnoteText"/>
      </w:pPr>
      <w:r>
        <w:rPr>
          <w:rStyle w:val="EndnoteReference"/>
        </w:rPr>
        <w:endnoteRef/>
      </w:r>
      <w:r>
        <w:t xml:space="preserve"> Manduca, R.</w:t>
      </w:r>
      <w:r w:rsidR="00D52613">
        <w:t>,</w:t>
      </w:r>
      <w:r>
        <w:t xml:space="preserve"> (2018</w:t>
      </w:r>
      <w:r w:rsidR="00D52613">
        <w:t xml:space="preserve">), </w:t>
      </w:r>
      <w:r>
        <w:t xml:space="preserve">Income </w:t>
      </w:r>
      <w:r w:rsidR="00D52613">
        <w:t xml:space="preserve">inequality and the persistence of racial economic disparities, </w:t>
      </w:r>
      <w:r>
        <w:rPr>
          <w:i/>
          <w:iCs/>
        </w:rPr>
        <w:t>Sociological Science</w:t>
      </w:r>
      <w:r>
        <w:t xml:space="preserve">, </w:t>
      </w:r>
      <w:r>
        <w:rPr>
          <w:i/>
          <w:iCs/>
        </w:rPr>
        <w:t>5</w:t>
      </w:r>
      <w:r>
        <w:t>, 182–205</w:t>
      </w:r>
      <w:r w:rsidR="00D52613">
        <w:t xml:space="preserve">, </w:t>
      </w:r>
      <w:hyperlink r:id="rId10" w:history="1">
        <w:r>
          <w:rPr>
            <w:rStyle w:val="Hyperlink"/>
          </w:rPr>
          <w:t>https://doi.org/10.15195/v5.a8</w:t>
        </w:r>
      </w:hyperlink>
      <w:r w:rsidR="00D52613">
        <w:rPr>
          <w:rStyle w:val="Hyperlink"/>
          <w:u w:val="none"/>
        </w:rPr>
        <w:t>.</w:t>
      </w:r>
    </w:p>
  </w:endnote>
  <w:endnote w:id="14">
    <w:p w14:paraId="6FCB4339" w14:textId="75E9A3CB" w:rsidR="00923709" w:rsidRDefault="00923709" w:rsidP="007B65B8">
      <w:pPr>
        <w:pStyle w:val="References"/>
      </w:pPr>
      <w:r>
        <w:rPr>
          <w:rStyle w:val="EndnoteReference"/>
        </w:rPr>
        <w:endnoteRef/>
      </w:r>
      <w:r>
        <w:t xml:space="preserve"> </w:t>
      </w:r>
      <w:r w:rsidR="00087E96" w:rsidRPr="00087E96">
        <w:t>Oliver, M. L., &amp; Shapiro, T. M.</w:t>
      </w:r>
      <w:r w:rsidR="00D52613">
        <w:t>,</w:t>
      </w:r>
      <w:r w:rsidR="00087E96" w:rsidRPr="00087E96">
        <w:t xml:space="preserve"> (2006</w:t>
      </w:r>
      <w:r w:rsidR="00D52613" w:rsidRPr="00087E96">
        <w:t>)</w:t>
      </w:r>
      <w:r w:rsidR="00D52613">
        <w:t>,</w:t>
      </w:r>
      <w:r w:rsidR="00D52613" w:rsidRPr="00087E96">
        <w:t xml:space="preserve"> </w:t>
      </w:r>
      <w:r w:rsidR="00087E96" w:rsidRPr="00AB7B78">
        <w:t xml:space="preserve">Black </w:t>
      </w:r>
      <w:r w:rsidR="00D52613" w:rsidRPr="00AB7B78">
        <w:t>wealth</w:t>
      </w:r>
      <w:r w:rsidR="00087E96" w:rsidRPr="00AB7B78">
        <w:t xml:space="preserve">/White </w:t>
      </w:r>
      <w:r w:rsidR="00D52613" w:rsidRPr="00AB7B78">
        <w:t>wealth</w:t>
      </w:r>
      <w:r w:rsidR="00087E96" w:rsidRPr="00AB7B78">
        <w:t xml:space="preserve">: A </w:t>
      </w:r>
      <w:r w:rsidR="00D52613" w:rsidRPr="00AB7B78">
        <w:t>new perspective on racial inequality</w:t>
      </w:r>
      <w:r w:rsidR="00D52613">
        <w:t>,</w:t>
      </w:r>
      <w:r w:rsidR="00D52613" w:rsidRPr="00087E96">
        <w:t xml:space="preserve"> </w:t>
      </w:r>
      <w:r w:rsidR="00087E96" w:rsidRPr="00087E96">
        <w:t>Routledge.</w:t>
      </w:r>
    </w:p>
  </w:endnote>
  <w:endnote w:id="15">
    <w:p w14:paraId="4AF95A79" w14:textId="77777777" w:rsidR="00392662" w:rsidRPr="00FF3B44" w:rsidRDefault="00392662" w:rsidP="007B65B8">
      <w:pPr>
        <w:pStyle w:val="References"/>
      </w:pPr>
      <w:r>
        <w:rPr>
          <w:rStyle w:val="EndnoteReference"/>
        </w:rPr>
        <w:endnoteRef/>
      </w:r>
      <w:r>
        <w:t xml:space="preserve"> </w:t>
      </w:r>
      <w:r w:rsidRPr="00726784">
        <w:t>Humes, E.</w:t>
      </w:r>
      <w:r>
        <w:t>,</w:t>
      </w:r>
      <w:r w:rsidRPr="00726784">
        <w:t xml:space="preserve"> (2006)</w:t>
      </w:r>
      <w:r>
        <w:t>,</w:t>
      </w:r>
      <w:r w:rsidRPr="00726784">
        <w:t xml:space="preserve"> How the GI Bill </w:t>
      </w:r>
      <w:r>
        <w:t>s</w:t>
      </w:r>
      <w:r w:rsidRPr="00726784">
        <w:t>hunted Blacks into vocational training</w:t>
      </w:r>
      <w:r>
        <w:t>,</w:t>
      </w:r>
      <w:r w:rsidRPr="00726784">
        <w:t xml:space="preserve"> </w:t>
      </w:r>
      <w:r w:rsidRPr="00726784">
        <w:rPr>
          <w:i/>
          <w:iCs/>
        </w:rPr>
        <w:t>The Journal of Blacks in Higher Education</w:t>
      </w:r>
      <w:r w:rsidRPr="00726784">
        <w:t xml:space="preserve">, </w:t>
      </w:r>
      <w:r w:rsidRPr="00726784">
        <w:rPr>
          <w:i/>
          <w:iCs/>
        </w:rPr>
        <w:t>53</w:t>
      </w:r>
      <w:r w:rsidRPr="00726784">
        <w:t>, 92–104</w:t>
      </w:r>
      <w:r>
        <w:t xml:space="preserve">; Serow, R. C., (2004), Policy as symbol: Title II of the 1944 G.I. Bill. </w:t>
      </w:r>
      <w:r>
        <w:rPr>
          <w:i/>
          <w:iCs/>
        </w:rPr>
        <w:t>The Review of Higher Education</w:t>
      </w:r>
      <w:r>
        <w:t xml:space="preserve">, </w:t>
      </w:r>
      <w:r>
        <w:rPr>
          <w:i/>
          <w:iCs/>
        </w:rPr>
        <w:t>27</w:t>
      </w:r>
      <w:r>
        <w:t xml:space="preserve">(4), 481–499, </w:t>
      </w:r>
      <w:hyperlink r:id="rId11" w:history="1">
        <w:r>
          <w:rPr>
            <w:rStyle w:val="Hyperlink"/>
          </w:rPr>
          <w:t>https://doi.org/10.1353/rhe.2004.0022</w:t>
        </w:r>
      </w:hyperlink>
      <w:r w:rsidRPr="007E61FF">
        <w:rPr>
          <w:rStyle w:val="Hyperlink"/>
          <w:color w:val="auto"/>
          <w:u w:val="none"/>
        </w:rPr>
        <w:t>; and</w:t>
      </w:r>
      <w:r>
        <w:t xml:space="preserve"> Thelin, J. R., (2011), </w:t>
      </w:r>
      <w:r>
        <w:rPr>
          <w:i/>
          <w:iCs/>
        </w:rPr>
        <w:t>A History of American Higher Education</w:t>
      </w:r>
      <w:r>
        <w:t xml:space="preserve"> (2nd ed.), The Johns Hopkins University Press.</w:t>
      </w:r>
    </w:p>
  </w:endnote>
  <w:endnote w:id="16">
    <w:p w14:paraId="466846C3" w14:textId="12ED79A0" w:rsidR="003E7477" w:rsidRPr="003E7477" w:rsidRDefault="003E7477" w:rsidP="007B65B8">
      <w:pPr>
        <w:pStyle w:val="References"/>
        <w:rPr>
          <w:szCs w:val="24"/>
        </w:rPr>
      </w:pPr>
      <w:r>
        <w:rPr>
          <w:rStyle w:val="EndnoteReference"/>
        </w:rPr>
        <w:endnoteRef/>
      </w:r>
      <w:r>
        <w:t xml:space="preserve"> Woods, L. L.</w:t>
      </w:r>
      <w:r w:rsidR="00855B84">
        <w:t>,</w:t>
      </w:r>
      <w:r>
        <w:t xml:space="preserve"> (2013</w:t>
      </w:r>
      <w:r w:rsidR="00855B84">
        <w:t xml:space="preserve">), </w:t>
      </w:r>
      <w:r>
        <w:t>Almost “</w:t>
      </w:r>
      <w:r w:rsidR="00855B84">
        <w:t>no Negro veteran…could get a loan</w:t>
      </w:r>
      <w:r>
        <w:t xml:space="preserve">”: African Americans, </w:t>
      </w:r>
      <w:r w:rsidR="00855B84">
        <w:t xml:space="preserve">the </w:t>
      </w:r>
      <w:r>
        <w:t>G</w:t>
      </w:r>
      <w:r w:rsidR="00A612D0">
        <w:t>I</w:t>
      </w:r>
      <w:r>
        <w:t xml:space="preserve"> Bill, </w:t>
      </w:r>
      <w:r w:rsidR="002350E4">
        <w:t xml:space="preserve">and the </w:t>
      </w:r>
      <w:r>
        <w:t xml:space="preserve">NAACP </w:t>
      </w:r>
      <w:r w:rsidR="00855B84">
        <w:t>campaign against residential segregation</w:t>
      </w:r>
      <w:r>
        <w:t>, 1917–1960</w:t>
      </w:r>
      <w:r w:rsidR="00855B84">
        <w:t xml:space="preserve">, </w:t>
      </w:r>
      <w:r>
        <w:rPr>
          <w:i/>
          <w:iCs/>
        </w:rPr>
        <w:t>The Journal of African American History</w:t>
      </w:r>
      <w:r>
        <w:t xml:space="preserve">, </w:t>
      </w:r>
      <w:r>
        <w:rPr>
          <w:i/>
          <w:iCs/>
        </w:rPr>
        <w:t>98</w:t>
      </w:r>
      <w:r>
        <w:t>(3), 392–417</w:t>
      </w:r>
      <w:r w:rsidR="00855B84">
        <w:t xml:space="preserve">, </w:t>
      </w:r>
      <w:hyperlink r:id="rId12" w:history="1">
        <w:r>
          <w:rPr>
            <w:rStyle w:val="Hyperlink"/>
          </w:rPr>
          <w:t>https://doi.org/10.5323/jafriamerhist.98.3.0392</w:t>
        </w:r>
      </w:hyperlink>
    </w:p>
  </w:endnote>
  <w:endnote w:id="17">
    <w:p w14:paraId="00B9B17A" w14:textId="04EAF21B" w:rsidR="001C6E80" w:rsidRDefault="001C6E80" w:rsidP="007B65B8">
      <w:pPr>
        <w:pStyle w:val="References"/>
      </w:pPr>
      <w:r>
        <w:rPr>
          <w:rStyle w:val="EndnoteReference"/>
        </w:rPr>
        <w:endnoteRef/>
      </w:r>
      <w:r>
        <w:t xml:space="preserve"> </w:t>
      </w:r>
      <w:r w:rsidRPr="001C6E80">
        <w:t>Humes</w:t>
      </w:r>
      <w:r w:rsidR="00855B84">
        <w:t>,</w:t>
      </w:r>
      <w:r w:rsidRPr="001C6E80">
        <w:t xml:space="preserve"> 2006. </w:t>
      </w:r>
    </w:p>
  </w:endnote>
  <w:endnote w:id="18">
    <w:p w14:paraId="0B248C6F" w14:textId="6C22C116" w:rsidR="00AC2A13" w:rsidRDefault="00AC2A13" w:rsidP="007B65B8">
      <w:pPr>
        <w:pStyle w:val="References"/>
      </w:pPr>
      <w:r>
        <w:rPr>
          <w:rStyle w:val="EndnoteReference"/>
        </w:rPr>
        <w:endnoteRef/>
      </w:r>
      <w:r>
        <w:t xml:space="preserve"> Herbold, H.</w:t>
      </w:r>
      <w:r w:rsidR="00855B84">
        <w:t>,</w:t>
      </w:r>
      <w:r>
        <w:t xml:space="preserve"> (1994</w:t>
      </w:r>
      <w:r w:rsidR="00855B84">
        <w:t xml:space="preserve">), </w:t>
      </w:r>
      <w:r>
        <w:t xml:space="preserve">Never a </w:t>
      </w:r>
      <w:r w:rsidR="00855B84">
        <w:t>level playing field</w:t>
      </w:r>
      <w:r>
        <w:t>: Blacks and the GI Bill</w:t>
      </w:r>
      <w:r w:rsidR="00855B84">
        <w:t xml:space="preserve">, </w:t>
      </w:r>
      <w:r>
        <w:rPr>
          <w:i/>
          <w:iCs/>
        </w:rPr>
        <w:t>The Journal of Blacks in Higher Education</w:t>
      </w:r>
      <w:r>
        <w:t xml:space="preserve">, </w:t>
      </w:r>
      <w:r>
        <w:rPr>
          <w:i/>
          <w:iCs/>
        </w:rPr>
        <w:t>6</w:t>
      </w:r>
      <w:r>
        <w:t>, 104</w:t>
      </w:r>
      <w:r w:rsidR="00855B84">
        <w:t xml:space="preserve">, </w:t>
      </w:r>
      <w:hyperlink r:id="rId13" w:history="1">
        <w:r>
          <w:rPr>
            <w:rStyle w:val="Hyperlink"/>
          </w:rPr>
          <w:t>https://doi.org/10.2307/2962479</w:t>
        </w:r>
      </w:hyperlink>
      <w:r w:rsidR="005C44C1">
        <w:rPr>
          <w:rStyle w:val="Hyperlink"/>
          <w:color w:val="auto"/>
          <w:u w:val="none"/>
        </w:rPr>
        <w:t xml:space="preserve">; </w:t>
      </w:r>
      <w:r>
        <w:t>Serow</w:t>
      </w:r>
      <w:r w:rsidR="00855B84">
        <w:t>,</w:t>
      </w:r>
      <w:r>
        <w:t xml:space="preserve"> 2004</w:t>
      </w:r>
      <w:r w:rsidR="005C44C1">
        <w:t xml:space="preserve">; </w:t>
      </w:r>
      <w:r w:rsidRPr="003A6FA6">
        <w:t>Thelin</w:t>
      </w:r>
      <w:r w:rsidR="00855B84">
        <w:t>,</w:t>
      </w:r>
      <w:r w:rsidRPr="003A6FA6">
        <w:t xml:space="preserve"> 2011</w:t>
      </w:r>
      <w:r w:rsidR="005C44C1">
        <w:t xml:space="preserve">; and </w:t>
      </w:r>
      <w:r>
        <w:t>Woods</w:t>
      </w:r>
      <w:r w:rsidR="00855B84">
        <w:t>,</w:t>
      </w:r>
      <w:r>
        <w:t xml:space="preserve"> 2013. </w:t>
      </w:r>
    </w:p>
  </w:endnote>
  <w:endnote w:id="19">
    <w:p w14:paraId="1503F845" w14:textId="6389AF7F" w:rsidR="009E16B4" w:rsidRPr="00EB5E2F" w:rsidRDefault="009E16B4" w:rsidP="008C542A">
      <w:pPr>
        <w:pStyle w:val="EndnoteText"/>
      </w:pPr>
      <w:r>
        <w:rPr>
          <w:rStyle w:val="EndnoteReference"/>
        </w:rPr>
        <w:endnoteRef/>
      </w:r>
      <w:r>
        <w:t xml:space="preserve"> Conley, D.</w:t>
      </w:r>
      <w:r w:rsidR="00855B84">
        <w:t>,</w:t>
      </w:r>
      <w:r>
        <w:t xml:space="preserve"> (2001</w:t>
      </w:r>
      <w:r w:rsidR="00855B84">
        <w:t xml:space="preserve">), </w:t>
      </w:r>
      <w:r>
        <w:t xml:space="preserve">Capital for </w:t>
      </w:r>
      <w:r w:rsidR="00855B84">
        <w:t>college</w:t>
      </w:r>
      <w:r>
        <w:t xml:space="preserve">: Parental </w:t>
      </w:r>
      <w:r w:rsidR="00855B84">
        <w:t xml:space="preserve">assets and postsecondary schooling, </w:t>
      </w:r>
      <w:r>
        <w:rPr>
          <w:i/>
          <w:iCs/>
        </w:rPr>
        <w:t>Sociology of Education</w:t>
      </w:r>
      <w:r>
        <w:t xml:space="preserve">, </w:t>
      </w:r>
      <w:r>
        <w:rPr>
          <w:i/>
          <w:iCs/>
        </w:rPr>
        <w:t>74</w:t>
      </w:r>
      <w:r>
        <w:t>(1), 59</w:t>
      </w:r>
      <w:r w:rsidR="00855B84">
        <w:t xml:space="preserve">, </w:t>
      </w:r>
      <w:hyperlink r:id="rId14" w:history="1">
        <w:r>
          <w:rPr>
            <w:rStyle w:val="Hyperlink"/>
          </w:rPr>
          <w:t>https://doi.org/10.2307/2673145</w:t>
        </w:r>
      </w:hyperlink>
      <w:r w:rsidR="005C44C1">
        <w:rPr>
          <w:rStyle w:val="Hyperlink"/>
          <w:color w:val="auto"/>
          <w:u w:val="none"/>
        </w:rPr>
        <w:t xml:space="preserve">; </w:t>
      </w:r>
      <w:r w:rsidR="00360822">
        <w:t>Elliott, W., &amp; Beverly, S. G.</w:t>
      </w:r>
      <w:r w:rsidR="00855B84">
        <w:t>,</w:t>
      </w:r>
      <w:r w:rsidR="00360822">
        <w:t xml:space="preserve"> (2011</w:t>
      </w:r>
      <w:r w:rsidR="00855B84">
        <w:t xml:space="preserve">), </w:t>
      </w:r>
      <w:r w:rsidR="00360822">
        <w:t xml:space="preserve">The role of savings and wealth in reducing </w:t>
      </w:r>
      <w:r w:rsidR="00293F84">
        <w:t>“</w:t>
      </w:r>
      <w:r w:rsidR="00360822">
        <w:t>wilt</w:t>
      </w:r>
      <w:r w:rsidR="00293F84">
        <w:t>”</w:t>
      </w:r>
      <w:r w:rsidR="00360822">
        <w:t xml:space="preserve"> between expectations and college attendance</w:t>
      </w:r>
      <w:r w:rsidR="00855B84">
        <w:t xml:space="preserve">, </w:t>
      </w:r>
      <w:r w:rsidR="00360822">
        <w:rPr>
          <w:i/>
          <w:iCs/>
        </w:rPr>
        <w:t>Journal of Children and Poverty</w:t>
      </w:r>
      <w:r w:rsidR="00360822">
        <w:t xml:space="preserve">, </w:t>
      </w:r>
      <w:r w:rsidR="00360822">
        <w:rPr>
          <w:i/>
          <w:iCs/>
        </w:rPr>
        <w:t>17</w:t>
      </w:r>
      <w:r w:rsidR="00360822">
        <w:t>(2), 165–185</w:t>
      </w:r>
      <w:r w:rsidR="00293F84">
        <w:t xml:space="preserve">, </w:t>
      </w:r>
      <w:hyperlink r:id="rId15" w:history="1">
        <w:r w:rsidR="00360822" w:rsidRPr="00360822">
          <w:rPr>
            <w:rStyle w:val="Hyperlink"/>
          </w:rPr>
          <w:t>https://doi.org/10.1080/10796126.2011.538375</w:t>
        </w:r>
      </w:hyperlink>
      <w:r w:rsidR="005C44C1">
        <w:rPr>
          <w:rStyle w:val="Hyperlink"/>
          <w:color w:val="auto"/>
          <w:u w:val="none"/>
        </w:rPr>
        <w:t xml:space="preserve">; </w:t>
      </w:r>
      <w:r w:rsidR="00935858">
        <w:t>Haveman, R., &amp; Wilson, K.</w:t>
      </w:r>
      <w:r w:rsidR="00897968">
        <w:t>,</w:t>
      </w:r>
      <w:r w:rsidR="00935858">
        <w:t xml:space="preserve"> (2007</w:t>
      </w:r>
      <w:r w:rsidR="00293F84">
        <w:t>)</w:t>
      </w:r>
      <w:r w:rsidR="00897968">
        <w:t>,</w:t>
      </w:r>
      <w:r w:rsidR="00293F84">
        <w:t xml:space="preserve"> </w:t>
      </w:r>
      <w:r w:rsidR="00935858">
        <w:t xml:space="preserve">Access, </w:t>
      </w:r>
      <w:r w:rsidR="00293F84">
        <w:t>matriculation, and gradu</w:t>
      </w:r>
      <w:r w:rsidR="00935858">
        <w:t>ation</w:t>
      </w:r>
      <w:r w:rsidR="00F92677">
        <w:t xml:space="preserve">, </w:t>
      </w:r>
      <w:r w:rsidR="00EB5E2F">
        <w:t>i</w:t>
      </w:r>
      <w:r w:rsidR="00935858">
        <w:t xml:space="preserve">n S. Dickert-Conlin &amp; R. Rubenstein (Eds.), </w:t>
      </w:r>
      <w:r w:rsidR="00935858">
        <w:rPr>
          <w:i/>
          <w:iCs/>
        </w:rPr>
        <w:t xml:space="preserve">Economic </w:t>
      </w:r>
      <w:r w:rsidR="003654D4">
        <w:rPr>
          <w:i/>
          <w:iCs/>
        </w:rPr>
        <w:t>inequality and higher education</w:t>
      </w:r>
      <w:r w:rsidR="00935858">
        <w:rPr>
          <w:i/>
          <w:iCs/>
        </w:rPr>
        <w:t xml:space="preserve">: Access, </w:t>
      </w:r>
      <w:r w:rsidR="003654D4">
        <w:rPr>
          <w:i/>
          <w:iCs/>
        </w:rPr>
        <w:t>persistence, and success</w:t>
      </w:r>
      <w:r w:rsidR="003654D4">
        <w:t xml:space="preserve"> </w:t>
      </w:r>
      <w:r w:rsidR="00935858">
        <w:t>(pp. 17–43</w:t>
      </w:r>
      <w:r w:rsidR="00EB5E2F">
        <w:t xml:space="preserve">), </w:t>
      </w:r>
      <w:r w:rsidR="00935858">
        <w:t>Russell Sage Foundation</w:t>
      </w:r>
      <w:r w:rsidR="00EB5E2F">
        <w:t xml:space="preserve">, </w:t>
      </w:r>
      <w:hyperlink r:id="rId16" w:history="1">
        <w:r w:rsidR="00935858">
          <w:rPr>
            <w:rStyle w:val="Hyperlink"/>
          </w:rPr>
          <w:t>https://www.jstor.org/stable/10.7758/9781610441568</w:t>
        </w:r>
      </w:hyperlink>
      <w:r w:rsidR="00EA401B">
        <w:rPr>
          <w:rStyle w:val="Hyperlink"/>
          <w:color w:val="auto"/>
          <w:u w:val="none"/>
        </w:rPr>
        <w:t xml:space="preserve">; </w:t>
      </w:r>
      <w:r>
        <w:t>Jez, S. J.</w:t>
      </w:r>
      <w:r w:rsidR="00EB5E2F">
        <w:t>,</w:t>
      </w:r>
      <w:r>
        <w:t xml:space="preserve"> (2008, November</w:t>
      </w:r>
      <w:r w:rsidR="00EB5E2F">
        <w:t xml:space="preserve">), </w:t>
      </w:r>
      <w:r>
        <w:rPr>
          <w:i/>
          <w:iCs/>
        </w:rPr>
        <w:t xml:space="preserve">The </w:t>
      </w:r>
      <w:r w:rsidR="00EB5E2F">
        <w:rPr>
          <w:i/>
          <w:iCs/>
        </w:rPr>
        <w:t>influence of wealth and race in four-year college attendanc</w:t>
      </w:r>
      <w:r>
        <w:rPr>
          <w:i/>
          <w:iCs/>
        </w:rPr>
        <w:t>e</w:t>
      </w:r>
      <w:r w:rsidR="00EB5E2F">
        <w:t xml:space="preserve">, </w:t>
      </w:r>
      <w:r>
        <w:t>SERU Research Symposium, UC Berkeley</w:t>
      </w:r>
      <w:r w:rsidR="00EB5E2F">
        <w:t xml:space="preserve">, </w:t>
      </w:r>
      <w:hyperlink r:id="rId17" w:history="1">
        <w:r>
          <w:rPr>
            <w:rStyle w:val="Hyperlink"/>
          </w:rPr>
          <w:t>https://files.eric.ed.gov/fulltext/ED503340.pdf</w:t>
        </w:r>
      </w:hyperlink>
      <w:r w:rsidR="00EA401B">
        <w:rPr>
          <w:rStyle w:val="Hyperlink"/>
          <w:color w:val="auto"/>
          <w:u w:val="none"/>
        </w:rPr>
        <w:t xml:space="preserve">; </w:t>
      </w:r>
      <w:r>
        <w:t>Jez, S. J.</w:t>
      </w:r>
      <w:r w:rsidR="00EB5E2F">
        <w:t>,</w:t>
      </w:r>
      <w:r>
        <w:t xml:space="preserve"> (2014</w:t>
      </w:r>
      <w:r w:rsidR="00EB5E2F">
        <w:t xml:space="preserve">), </w:t>
      </w:r>
      <w:r>
        <w:t xml:space="preserve">The </w:t>
      </w:r>
      <w:r w:rsidR="00EB5E2F">
        <w:t xml:space="preserve">differential impact of wealth versus income in the college-going process, </w:t>
      </w:r>
      <w:r>
        <w:rPr>
          <w:i/>
          <w:iCs/>
        </w:rPr>
        <w:t>Research in Higher Education</w:t>
      </w:r>
      <w:r>
        <w:t xml:space="preserve">, </w:t>
      </w:r>
      <w:r>
        <w:rPr>
          <w:i/>
          <w:iCs/>
        </w:rPr>
        <w:t>55</w:t>
      </w:r>
      <w:r>
        <w:t>(7), 710–734</w:t>
      </w:r>
      <w:r w:rsidR="00EB5E2F">
        <w:t xml:space="preserve">, </w:t>
      </w:r>
      <w:hyperlink r:id="rId18" w:history="1">
        <w:r>
          <w:rPr>
            <w:rStyle w:val="Hyperlink"/>
          </w:rPr>
          <w:t>https://doi.org/10.1007/s11162-014-9332-0</w:t>
        </w:r>
      </w:hyperlink>
      <w:r w:rsidR="00EA401B">
        <w:rPr>
          <w:rStyle w:val="Hyperlink"/>
          <w:color w:val="auto"/>
          <w:u w:val="none"/>
        </w:rPr>
        <w:t>; and</w:t>
      </w:r>
      <w:r w:rsidR="00EA401B">
        <w:t xml:space="preserve"> </w:t>
      </w:r>
      <w:r w:rsidR="008F7056" w:rsidRPr="0084764B">
        <w:t>Zhan, M., &amp; Sherraden, M.</w:t>
      </w:r>
      <w:r w:rsidR="00EB5E2F">
        <w:t>,</w:t>
      </w:r>
      <w:r w:rsidR="008F7056" w:rsidRPr="0084764B">
        <w:t xml:space="preserve"> (2011</w:t>
      </w:r>
      <w:r w:rsidR="005B748E">
        <w:t>a</w:t>
      </w:r>
      <w:r w:rsidR="00EB5E2F" w:rsidRPr="0084764B">
        <w:t>)</w:t>
      </w:r>
      <w:r w:rsidR="00EB5E2F">
        <w:t>,</w:t>
      </w:r>
      <w:r w:rsidR="00EB5E2F" w:rsidRPr="0084764B">
        <w:t xml:space="preserve"> </w:t>
      </w:r>
      <w:r w:rsidR="008F7056" w:rsidRPr="0084764B">
        <w:t>Assets and liabilities, race/ethnicity, and children’s college education</w:t>
      </w:r>
      <w:r w:rsidR="00EB5E2F">
        <w:t>,</w:t>
      </w:r>
      <w:r w:rsidR="00EB5E2F" w:rsidRPr="0084764B">
        <w:t xml:space="preserve"> </w:t>
      </w:r>
      <w:r w:rsidR="008F7056" w:rsidRPr="0084764B">
        <w:rPr>
          <w:i/>
          <w:iCs/>
        </w:rPr>
        <w:t>Children and Youth Services Review</w:t>
      </w:r>
      <w:r w:rsidR="008F7056" w:rsidRPr="0084764B">
        <w:t xml:space="preserve">, </w:t>
      </w:r>
      <w:r w:rsidR="008F7056" w:rsidRPr="0084764B">
        <w:rPr>
          <w:i/>
          <w:iCs/>
        </w:rPr>
        <w:t>33</w:t>
      </w:r>
      <w:r w:rsidR="008F7056" w:rsidRPr="0084764B">
        <w:t>(11), 2168–2175</w:t>
      </w:r>
      <w:r w:rsidR="00EB5E2F">
        <w:t>,</w:t>
      </w:r>
      <w:r w:rsidR="00EB5E2F" w:rsidRPr="0084764B">
        <w:t xml:space="preserve"> </w:t>
      </w:r>
      <w:hyperlink r:id="rId19" w:history="1">
        <w:r w:rsidR="008F7056" w:rsidRPr="0084764B">
          <w:rPr>
            <w:rStyle w:val="Hyperlink"/>
          </w:rPr>
          <w:t>https://doi.org/10.1016/j.childyouth.2011.06.024</w:t>
        </w:r>
      </w:hyperlink>
      <w:r w:rsidR="00EB5E2F">
        <w:rPr>
          <w:rStyle w:val="Hyperlink"/>
          <w:u w:val="none"/>
        </w:rPr>
        <w:t>.</w:t>
      </w:r>
    </w:p>
  </w:endnote>
  <w:endnote w:id="20">
    <w:p w14:paraId="763EB2B0" w14:textId="7393DC49" w:rsidR="009E16B4" w:rsidRDefault="009E16B4" w:rsidP="007B65B8">
      <w:pPr>
        <w:pStyle w:val="References"/>
      </w:pPr>
      <w:r>
        <w:rPr>
          <w:rStyle w:val="EndnoteReference"/>
        </w:rPr>
        <w:endnoteRef/>
      </w:r>
      <w:r>
        <w:t xml:space="preserve"> Jez, </w:t>
      </w:r>
      <w:r w:rsidR="00E03C91">
        <w:t>2</w:t>
      </w:r>
      <w:r>
        <w:t xml:space="preserve">014. </w:t>
      </w:r>
    </w:p>
  </w:endnote>
  <w:endnote w:id="21">
    <w:p w14:paraId="5FFC8619" w14:textId="6864AB33" w:rsidR="004A279A" w:rsidRDefault="004A279A">
      <w:pPr>
        <w:pStyle w:val="EndnoteText"/>
      </w:pPr>
      <w:r>
        <w:rPr>
          <w:rStyle w:val="EndnoteReference"/>
        </w:rPr>
        <w:endnoteRef/>
      </w:r>
      <w:r>
        <w:t xml:space="preserve"> Jez, 2014.</w:t>
      </w:r>
    </w:p>
  </w:endnote>
  <w:endnote w:id="22">
    <w:p w14:paraId="2B655357" w14:textId="6EE3060F" w:rsidR="00B225F5" w:rsidRPr="00141CA7" w:rsidRDefault="00B225F5" w:rsidP="00B225F5">
      <w:pPr>
        <w:pStyle w:val="NoSpacing"/>
        <w:rPr>
          <w:sz w:val="20"/>
          <w:szCs w:val="20"/>
        </w:rPr>
      </w:pPr>
      <w:r>
        <w:rPr>
          <w:rStyle w:val="EndnoteReference"/>
        </w:rPr>
        <w:endnoteRef/>
      </w:r>
      <w:r w:rsidR="00F83D1B">
        <w:t xml:space="preserve"> </w:t>
      </w:r>
      <w:r w:rsidR="002743D5">
        <w:t xml:space="preserve">Nam, Y. (2020). Parents’ financial assistance for college and black-white disparities in post-secondary educational attainment. </w:t>
      </w:r>
      <w:r w:rsidR="002743D5">
        <w:rPr>
          <w:i/>
          <w:iCs/>
        </w:rPr>
        <w:t>Children and Youth Services Review</w:t>
      </w:r>
      <w:r w:rsidR="002743D5">
        <w:t xml:space="preserve">, </w:t>
      </w:r>
      <w:r w:rsidR="002743D5">
        <w:rPr>
          <w:i/>
          <w:iCs/>
        </w:rPr>
        <w:t>110</w:t>
      </w:r>
      <w:r w:rsidR="00FA3054">
        <w:t xml:space="preserve">, </w:t>
      </w:r>
      <w:hyperlink r:id="rId20" w:history="1">
        <w:r w:rsidR="00F83D1B" w:rsidRPr="00F83D1B">
          <w:rPr>
            <w:rStyle w:val="Hyperlink"/>
            <w:szCs w:val="20"/>
          </w:rPr>
          <w:t>https://doi.org/10.1016/j.childyouth.2020.104828</w:t>
        </w:r>
      </w:hyperlink>
      <w:r w:rsidR="00A31137">
        <w:rPr>
          <w:rStyle w:val="Hyperlink"/>
          <w:color w:val="auto"/>
          <w:szCs w:val="20"/>
          <w:u w:val="none"/>
        </w:rPr>
        <w:t>;</w:t>
      </w:r>
      <w:r w:rsidR="00A31137">
        <w:rPr>
          <w:sz w:val="20"/>
          <w:szCs w:val="20"/>
        </w:rPr>
        <w:t xml:space="preserve"> </w:t>
      </w:r>
      <w:r w:rsidRPr="002717D0">
        <w:rPr>
          <w:sz w:val="20"/>
          <w:szCs w:val="20"/>
        </w:rPr>
        <w:t>Nam, Y., Hamilton, D., Darity Jr., W. A., &amp; Price, A. E.</w:t>
      </w:r>
      <w:r w:rsidR="00141CA7">
        <w:rPr>
          <w:sz w:val="20"/>
          <w:szCs w:val="20"/>
        </w:rPr>
        <w:t>,</w:t>
      </w:r>
      <w:r w:rsidRPr="002717D0">
        <w:rPr>
          <w:sz w:val="20"/>
          <w:szCs w:val="20"/>
        </w:rPr>
        <w:t xml:space="preserve"> (2015</w:t>
      </w:r>
      <w:r w:rsidR="00141CA7" w:rsidRPr="002717D0">
        <w:rPr>
          <w:sz w:val="20"/>
          <w:szCs w:val="20"/>
        </w:rPr>
        <w:t>)</w:t>
      </w:r>
      <w:r w:rsidR="00141CA7">
        <w:rPr>
          <w:sz w:val="20"/>
          <w:szCs w:val="20"/>
        </w:rPr>
        <w:t>,</w:t>
      </w:r>
      <w:r w:rsidR="00141CA7" w:rsidRPr="002717D0">
        <w:rPr>
          <w:sz w:val="20"/>
          <w:szCs w:val="20"/>
        </w:rPr>
        <w:t xml:space="preserve"> </w:t>
      </w:r>
      <w:r w:rsidRPr="002717D0">
        <w:rPr>
          <w:i/>
          <w:iCs/>
          <w:sz w:val="20"/>
          <w:szCs w:val="20"/>
        </w:rPr>
        <w:t xml:space="preserve">Bootstraps </w:t>
      </w:r>
      <w:r w:rsidR="00141CA7">
        <w:rPr>
          <w:i/>
          <w:iCs/>
          <w:sz w:val="20"/>
          <w:szCs w:val="20"/>
        </w:rPr>
        <w:t>a</w:t>
      </w:r>
      <w:r w:rsidR="00141CA7" w:rsidRPr="002717D0">
        <w:rPr>
          <w:i/>
          <w:iCs/>
          <w:sz w:val="20"/>
          <w:szCs w:val="20"/>
        </w:rPr>
        <w:t xml:space="preserve">re </w:t>
      </w:r>
      <w:r w:rsidRPr="002717D0">
        <w:rPr>
          <w:i/>
          <w:iCs/>
          <w:sz w:val="20"/>
          <w:szCs w:val="20"/>
        </w:rPr>
        <w:t xml:space="preserve">for Black </w:t>
      </w:r>
      <w:r w:rsidR="00897968">
        <w:rPr>
          <w:i/>
          <w:iCs/>
          <w:sz w:val="20"/>
          <w:szCs w:val="20"/>
        </w:rPr>
        <w:t>k</w:t>
      </w:r>
      <w:r w:rsidR="00897968" w:rsidRPr="002717D0">
        <w:rPr>
          <w:i/>
          <w:iCs/>
          <w:sz w:val="20"/>
          <w:szCs w:val="20"/>
        </w:rPr>
        <w:t>ids</w:t>
      </w:r>
      <w:r w:rsidRPr="002717D0">
        <w:rPr>
          <w:i/>
          <w:iCs/>
          <w:sz w:val="20"/>
          <w:szCs w:val="20"/>
        </w:rPr>
        <w:t xml:space="preserve">: Race, </w:t>
      </w:r>
      <w:r w:rsidR="00141CA7" w:rsidRPr="002717D0">
        <w:rPr>
          <w:i/>
          <w:iCs/>
          <w:sz w:val="20"/>
          <w:szCs w:val="20"/>
        </w:rPr>
        <w:t>wealth, and the impact of intergenerational transfers on adult outcomes</w:t>
      </w:r>
      <w:r w:rsidR="00141CA7">
        <w:rPr>
          <w:sz w:val="20"/>
          <w:szCs w:val="20"/>
        </w:rPr>
        <w:t>,</w:t>
      </w:r>
      <w:r w:rsidR="00141CA7" w:rsidRPr="002717D0">
        <w:rPr>
          <w:sz w:val="20"/>
          <w:szCs w:val="20"/>
        </w:rPr>
        <w:t xml:space="preserve"> </w:t>
      </w:r>
      <w:r w:rsidRPr="002717D0">
        <w:rPr>
          <w:sz w:val="20"/>
          <w:szCs w:val="20"/>
        </w:rPr>
        <w:t>Insight Center for Community Economic Development</w:t>
      </w:r>
      <w:r w:rsidR="00141CA7">
        <w:rPr>
          <w:sz w:val="20"/>
          <w:szCs w:val="20"/>
        </w:rPr>
        <w:t>,</w:t>
      </w:r>
      <w:r w:rsidR="00141CA7" w:rsidRPr="002717D0">
        <w:rPr>
          <w:sz w:val="20"/>
          <w:szCs w:val="20"/>
        </w:rPr>
        <w:t xml:space="preserve"> </w:t>
      </w:r>
      <w:hyperlink r:id="rId21" w:history="1">
        <w:r w:rsidRPr="002717D0">
          <w:rPr>
            <w:rStyle w:val="Hyperlink"/>
            <w:sz w:val="20"/>
            <w:szCs w:val="20"/>
          </w:rPr>
          <w:t>https://insightcced.org/wp-content/uploads/2015/07/Bootstraps-are-for-Black-Kids-Sept.pdf</w:t>
        </w:r>
      </w:hyperlink>
      <w:r w:rsidR="00A31137">
        <w:rPr>
          <w:rStyle w:val="Hyperlink"/>
          <w:color w:val="auto"/>
          <w:sz w:val="20"/>
          <w:szCs w:val="20"/>
          <w:u w:val="none"/>
        </w:rPr>
        <w:t>; and</w:t>
      </w:r>
      <w:r w:rsidR="00A31137">
        <w:rPr>
          <w:sz w:val="20"/>
          <w:szCs w:val="20"/>
        </w:rPr>
        <w:t xml:space="preserve"> </w:t>
      </w:r>
      <w:r w:rsidRPr="002717D0">
        <w:rPr>
          <w:sz w:val="20"/>
          <w:szCs w:val="20"/>
        </w:rPr>
        <w:t>Taylor, J., &amp; Meschede, T.</w:t>
      </w:r>
      <w:r w:rsidR="00141CA7">
        <w:rPr>
          <w:sz w:val="20"/>
          <w:szCs w:val="20"/>
        </w:rPr>
        <w:t>,</w:t>
      </w:r>
      <w:r w:rsidRPr="002717D0">
        <w:rPr>
          <w:sz w:val="20"/>
          <w:szCs w:val="20"/>
        </w:rPr>
        <w:t xml:space="preserve"> (2018</w:t>
      </w:r>
      <w:r w:rsidR="00141CA7" w:rsidRPr="002717D0">
        <w:rPr>
          <w:sz w:val="20"/>
          <w:szCs w:val="20"/>
        </w:rPr>
        <w:t>)</w:t>
      </w:r>
      <w:r w:rsidR="00141CA7">
        <w:rPr>
          <w:sz w:val="20"/>
          <w:szCs w:val="20"/>
        </w:rPr>
        <w:t>,</w:t>
      </w:r>
      <w:r w:rsidR="00141CA7" w:rsidRPr="002717D0">
        <w:rPr>
          <w:sz w:val="20"/>
          <w:szCs w:val="20"/>
        </w:rPr>
        <w:t xml:space="preserve"> </w:t>
      </w:r>
      <w:r w:rsidRPr="002717D0">
        <w:rPr>
          <w:sz w:val="20"/>
          <w:szCs w:val="20"/>
        </w:rPr>
        <w:t xml:space="preserve">Inherited </w:t>
      </w:r>
      <w:r w:rsidR="00141CA7">
        <w:rPr>
          <w:sz w:val="20"/>
          <w:szCs w:val="20"/>
        </w:rPr>
        <w:t>p</w:t>
      </w:r>
      <w:r w:rsidR="00141CA7" w:rsidRPr="002717D0">
        <w:rPr>
          <w:sz w:val="20"/>
          <w:szCs w:val="20"/>
        </w:rPr>
        <w:t>rospects</w:t>
      </w:r>
      <w:r w:rsidRPr="002717D0">
        <w:rPr>
          <w:sz w:val="20"/>
          <w:szCs w:val="20"/>
        </w:rPr>
        <w:t xml:space="preserve">: The </w:t>
      </w:r>
      <w:r w:rsidR="00141CA7" w:rsidRPr="002717D0">
        <w:rPr>
          <w:sz w:val="20"/>
          <w:szCs w:val="20"/>
        </w:rPr>
        <w:t xml:space="preserve">importance of financial transfers </w:t>
      </w:r>
      <w:r w:rsidRPr="002717D0">
        <w:rPr>
          <w:sz w:val="20"/>
          <w:szCs w:val="20"/>
        </w:rPr>
        <w:t xml:space="preserve">for White and Black </w:t>
      </w:r>
      <w:r w:rsidR="00141CA7" w:rsidRPr="002717D0">
        <w:rPr>
          <w:sz w:val="20"/>
          <w:szCs w:val="20"/>
        </w:rPr>
        <w:t>college‐educated households’ wealth trajectories</w:t>
      </w:r>
      <w:r w:rsidR="00141CA7">
        <w:rPr>
          <w:sz w:val="20"/>
          <w:szCs w:val="20"/>
        </w:rPr>
        <w:t>,</w:t>
      </w:r>
      <w:r w:rsidR="00141CA7" w:rsidRPr="002717D0">
        <w:rPr>
          <w:sz w:val="20"/>
          <w:szCs w:val="20"/>
        </w:rPr>
        <w:t xml:space="preserve"> </w:t>
      </w:r>
      <w:r w:rsidRPr="002717D0">
        <w:rPr>
          <w:i/>
          <w:iCs/>
          <w:sz w:val="20"/>
          <w:szCs w:val="20"/>
        </w:rPr>
        <w:t>The American Journal of Economics and Sociology</w:t>
      </w:r>
      <w:r w:rsidRPr="002717D0">
        <w:rPr>
          <w:sz w:val="20"/>
          <w:szCs w:val="20"/>
        </w:rPr>
        <w:t xml:space="preserve">, </w:t>
      </w:r>
      <w:r w:rsidRPr="002717D0">
        <w:rPr>
          <w:i/>
          <w:iCs/>
          <w:sz w:val="20"/>
          <w:szCs w:val="20"/>
        </w:rPr>
        <w:t>77</w:t>
      </w:r>
      <w:r w:rsidRPr="002717D0">
        <w:rPr>
          <w:sz w:val="20"/>
          <w:szCs w:val="20"/>
        </w:rPr>
        <w:t>(3–4), 1049–1076</w:t>
      </w:r>
      <w:r w:rsidR="00141CA7">
        <w:rPr>
          <w:sz w:val="20"/>
          <w:szCs w:val="20"/>
        </w:rPr>
        <w:t>,</w:t>
      </w:r>
      <w:r w:rsidR="00141CA7" w:rsidRPr="002717D0">
        <w:rPr>
          <w:sz w:val="20"/>
          <w:szCs w:val="20"/>
        </w:rPr>
        <w:t xml:space="preserve"> </w:t>
      </w:r>
      <w:hyperlink r:id="rId22" w:history="1">
        <w:r w:rsidRPr="002717D0">
          <w:rPr>
            <w:rStyle w:val="Hyperlink"/>
            <w:sz w:val="20"/>
            <w:szCs w:val="20"/>
          </w:rPr>
          <w:t>https://doi.org/10.1111/ajes.12227</w:t>
        </w:r>
      </w:hyperlink>
      <w:r w:rsidR="00141CA7">
        <w:rPr>
          <w:rStyle w:val="Hyperlink"/>
          <w:sz w:val="20"/>
          <w:szCs w:val="20"/>
          <w:u w:val="none"/>
        </w:rPr>
        <w:t>.</w:t>
      </w:r>
    </w:p>
  </w:endnote>
  <w:endnote w:id="23">
    <w:p w14:paraId="5A0DE79F" w14:textId="573642BE" w:rsidR="001F11D3" w:rsidRDefault="001F11D3" w:rsidP="007B65B8">
      <w:pPr>
        <w:pStyle w:val="References"/>
      </w:pPr>
      <w:r>
        <w:rPr>
          <w:rStyle w:val="EndnoteReference"/>
        </w:rPr>
        <w:endnoteRef/>
      </w:r>
      <w:r>
        <w:t xml:space="preserve"> </w:t>
      </w:r>
      <w:r w:rsidRPr="001F11D3">
        <w:t>Addo, F. R.</w:t>
      </w:r>
      <w:r w:rsidR="00141CA7">
        <w:t>,</w:t>
      </w:r>
      <w:r w:rsidRPr="001F11D3">
        <w:t xml:space="preserve"> (2021</w:t>
      </w:r>
      <w:r w:rsidR="00141CA7" w:rsidRPr="001F11D3">
        <w:t>)</w:t>
      </w:r>
      <w:r w:rsidR="00141CA7">
        <w:t>,</w:t>
      </w:r>
      <w:r w:rsidR="00141CA7" w:rsidRPr="001F11D3">
        <w:t xml:space="preserve"> </w:t>
      </w:r>
      <w:r w:rsidRPr="00AB7B78">
        <w:t xml:space="preserve">Ensuring </w:t>
      </w:r>
      <w:r w:rsidR="00141CA7" w:rsidRPr="00AB7B78">
        <w:t>a more equitable future</w:t>
      </w:r>
      <w:r w:rsidRPr="00AB7B78">
        <w:t xml:space="preserve">: Exploring </w:t>
      </w:r>
      <w:r w:rsidR="00141CA7" w:rsidRPr="00AB7B78">
        <w:t>and measuring the relationship between family wealth, education debt, and wealth accumulation</w:t>
      </w:r>
      <w:r w:rsidR="00141CA7">
        <w:t>,</w:t>
      </w:r>
      <w:r w:rsidR="00141CA7" w:rsidRPr="001F11D3">
        <w:t xml:space="preserve"> </w:t>
      </w:r>
      <w:r w:rsidRPr="001F11D3">
        <w:t>The University of North Carolina at Chapel Hill.</w:t>
      </w:r>
    </w:p>
  </w:endnote>
  <w:endnote w:id="24">
    <w:p w14:paraId="1B239D42" w14:textId="4A7399CB" w:rsidR="004E5CAC" w:rsidRPr="00141CA7" w:rsidRDefault="004E5CAC" w:rsidP="007B65B8">
      <w:pPr>
        <w:pStyle w:val="References"/>
        <w:rPr>
          <w:szCs w:val="24"/>
        </w:rPr>
      </w:pPr>
      <w:r>
        <w:rPr>
          <w:rStyle w:val="EndnoteReference"/>
        </w:rPr>
        <w:endnoteRef/>
      </w:r>
      <w:r>
        <w:t xml:space="preserve"> Charles, C. Z., Roscigno, V. J., &amp; Torres, K. C.</w:t>
      </w:r>
      <w:r w:rsidR="00141CA7">
        <w:t>,</w:t>
      </w:r>
      <w:r>
        <w:t xml:space="preserve"> (2007</w:t>
      </w:r>
      <w:r w:rsidR="00141CA7">
        <w:t xml:space="preserve">), </w:t>
      </w:r>
      <w:r>
        <w:t>Racial inequality and college attendance: The mediating role of parental investments</w:t>
      </w:r>
      <w:r w:rsidR="00141CA7">
        <w:t xml:space="preserve">, </w:t>
      </w:r>
      <w:r>
        <w:rPr>
          <w:i/>
          <w:iCs/>
        </w:rPr>
        <w:t>Social Science Research</w:t>
      </w:r>
      <w:r>
        <w:t xml:space="preserve">, </w:t>
      </w:r>
      <w:r>
        <w:rPr>
          <w:i/>
          <w:iCs/>
        </w:rPr>
        <w:t>36</w:t>
      </w:r>
      <w:r>
        <w:t>(1), 329–352</w:t>
      </w:r>
      <w:r w:rsidR="00141CA7">
        <w:t xml:space="preserve">, </w:t>
      </w:r>
      <w:hyperlink r:id="rId23" w:history="1">
        <w:r>
          <w:rPr>
            <w:rStyle w:val="Hyperlink"/>
          </w:rPr>
          <w:t>https://doi.org/10.1016/j.ssresearch.2006.02.004</w:t>
        </w:r>
      </w:hyperlink>
      <w:r w:rsidR="00141CA7">
        <w:rPr>
          <w:rStyle w:val="Hyperlink"/>
          <w:u w:val="none"/>
        </w:rPr>
        <w:t>.</w:t>
      </w:r>
    </w:p>
  </w:endnote>
  <w:endnote w:id="25">
    <w:p w14:paraId="4054B7FB" w14:textId="673F0677" w:rsidR="004E5CAC" w:rsidRPr="00141CA7" w:rsidRDefault="004E5CAC" w:rsidP="007B65B8">
      <w:pPr>
        <w:pStyle w:val="References"/>
        <w:rPr>
          <w:szCs w:val="24"/>
        </w:rPr>
      </w:pPr>
      <w:r>
        <w:rPr>
          <w:rStyle w:val="EndnoteReference"/>
        </w:rPr>
        <w:endnoteRef/>
      </w:r>
      <w:r>
        <w:t xml:space="preserve"> </w:t>
      </w:r>
      <w:r w:rsidR="00360822">
        <w:t>Elliott, W., &amp; Beverly, S.</w:t>
      </w:r>
      <w:r w:rsidR="00141CA7">
        <w:t>,</w:t>
      </w:r>
      <w:r w:rsidR="00360822">
        <w:t xml:space="preserve"> (2011</w:t>
      </w:r>
      <w:r w:rsidR="00141CA7">
        <w:t xml:space="preserve">), </w:t>
      </w:r>
      <w:r w:rsidR="00360822">
        <w:t xml:space="preserve">Staying on </w:t>
      </w:r>
      <w:r w:rsidR="00144C03">
        <w:t>course</w:t>
      </w:r>
      <w:r w:rsidR="00360822">
        <w:t xml:space="preserve">: The </w:t>
      </w:r>
      <w:r w:rsidR="00144C03">
        <w:t xml:space="preserve">effects of savings and assets on the college progress of young adults, </w:t>
      </w:r>
      <w:r w:rsidR="00360822">
        <w:rPr>
          <w:i/>
          <w:iCs/>
        </w:rPr>
        <w:t>American Journal of Education</w:t>
      </w:r>
      <w:r w:rsidR="00360822">
        <w:t xml:space="preserve">, </w:t>
      </w:r>
      <w:r w:rsidR="00360822">
        <w:rPr>
          <w:i/>
          <w:iCs/>
        </w:rPr>
        <w:t>117</w:t>
      </w:r>
      <w:r w:rsidR="00360822">
        <w:t>(3), 343–374</w:t>
      </w:r>
      <w:r w:rsidR="00144C03">
        <w:t xml:space="preserve">, </w:t>
      </w:r>
      <w:hyperlink r:id="rId24" w:history="1">
        <w:r w:rsidR="00360822">
          <w:rPr>
            <w:rStyle w:val="Hyperlink"/>
          </w:rPr>
          <w:t>https://doi.org/10.1086/659211</w:t>
        </w:r>
      </w:hyperlink>
      <w:r w:rsidR="00141CA7">
        <w:rPr>
          <w:rStyle w:val="Hyperlink"/>
          <w:u w:val="none"/>
        </w:rPr>
        <w:t>.</w:t>
      </w:r>
    </w:p>
  </w:endnote>
  <w:endnote w:id="26">
    <w:p w14:paraId="0D22EB35" w14:textId="55C6E9FB" w:rsidR="004E5CAC" w:rsidRPr="00141CA7" w:rsidRDefault="004E5CAC" w:rsidP="007B65B8">
      <w:pPr>
        <w:pStyle w:val="References"/>
        <w:rPr>
          <w:szCs w:val="24"/>
        </w:rPr>
      </w:pPr>
      <w:r>
        <w:rPr>
          <w:rStyle w:val="EndnoteReference"/>
        </w:rPr>
        <w:endnoteRef/>
      </w:r>
      <w:r>
        <w:t xml:space="preserve"> Nam, J., &amp; Ansong, D.</w:t>
      </w:r>
      <w:r w:rsidR="00144C03">
        <w:t>,</w:t>
      </w:r>
      <w:r>
        <w:t xml:space="preserve"> (2015</w:t>
      </w:r>
      <w:r w:rsidR="00144C03">
        <w:t xml:space="preserve">), </w:t>
      </w:r>
      <w:r>
        <w:t>The effects of a dedicated education savings account on children’s college graduation</w:t>
      </w:r>
      <w:r w:rsidR="00144C03">
        <w:t xml:space="preserve">, </w:t>
      </w:r>
      <w:r>
        <w:rPr>
          <w:i/>
          <w:iCs/>
        </w:rPr>
        <w:t>Economics of Education Review</w:t>
      </w:r>
      <w:r>
        <w:t xml:space="preserve">, </w:t>
      </w:r>
      <w:r>
        <w:rPr>
          <w:i/>
          <w:iCs/>
        </w:rPr>
        <w:t>48</w:t>
      </w:r>
      <w:r>
        <w:t>, 198–207</w:t>
      </w:r>
      <w:r w:rsidR="00144C03">
        <w:t xml:space="preserve">, </w:t>
      </w:r>
      <w:hyperlink r:id="rId25" w:history="1">
        <w:r>
          <w:rPr>
            <w:rStyle w:val="Hyperlink"/>
          </w:rPr>
          <w:t>https://doi.org/10.1016/j.econedurev.2015.07.004</w:t>
        </w:r>
      </w:hyperlink>
      <w:r w:rsidR="00141CA7">
        <w:rPr>
          <w:rStyle w:val="Hyperlink"/>
          <w:u w:val="none"/>
        </w:rPr>
        <w:t>.</w:t>
      </w:r>
    </w:p>
  </w:endnote>
  <w:endnote w:id="27">
    <w:p w14:paraId="77D6DA0F" w14:textId="0ED97A39" w:rsidR="00726764" w:rsidRPr="008C542A" w:rsidRDefault="004E5CAC" w:rsidP="007B65B8">
      <w:pPr>
        <w:pStyle w:val="References"/>
        <w:rPr>
          <w:color w:val="0563C1" w:themeColor="hyperlink"/>
        </w:rPr>
      </w:pPr>
      <w:r>
        <w:rPr>
          <w:rStyle w:val="EndnoteReference"/>
        </w:rPr>
        <w:endnoteRef/>
      </w:r>
      <w:r>
        <w:t xml:space="preserve"> </w:t>
      </w:r>
      <w:r w:rsidR="00600F9A">
        <w:t>Elliott, W., &amp; Friedline, T. (2013</w:t>
      </w:r>
      <w:r w:rsidR="00144C03">
        <w:t xml:space="preserve">), </w:t>
      </w:r>
      <w:r w:rsidR="00600F9A">
        <w:t>“You pay your share, we’ll pay our share”: The college cost burden and the role of race, income, and college assets</w:t>
      </w:r>
      <w:r w:rsidR="00947F0F">
        <w:t xml:space="preserve">, </w:t>
      </w:r>
      <w:r w:rsidR="00600F9A">
        <w:rPr>
          <w:i/>
          <w:iCs/>
        </w:rPr>
        <w:t>Economics of Education Review</w:t>
      </w:r>
      <w:r w:rsidR="00600F9A">
        <w:t xml:space="preserve">, </w:t>
      </w:r>
      <w:r w:rsidR="00600F9A">
        <w:rPr>
          <w:i/>
          <w:iCs/>
        </w:rPr>
        <w:t>33</w:t>
      </w:r>
      <w:r w:rsidR="00600F9A">
        <w:t>, 134–153</w:t>
      </w:r>
      <w:r w:rsidR="00947F0F">
        <w:t xml:space="preserve">, </w:t>
      </w:r>
      <w:hyperlink r:id="rId26" w:history="1">
        <w:r w:rsidR="00600F9A">
          <w:rPr>
            <w:rStyle w:val="Hyperlink"/>
          </w:rPr>
          <w:t>https://doi.org/10.1016/j.econedurev.2012.10.001</w:t>
        </w:r>
      </w:hyperlink>
      <w:r w:rsidR="003A4675">
        <w:rPr>
          <w:rStyle w:val="Hyperlink"/>
          <w:color w:val="auto"/>
          <w:u w:val="none"/>
        </w:rPr>
        <w:t xml:space="preserve">; </w:t>
      </w:r>
      <w:r w:rsidR="003A4675">
        <w:t xml:space="preserve">and </w:t>
      </w:r>
      <w:r>
        <w:t>Elliot, W., Lewis, M., Grinstein-Weiss, M., &amp; Nam, I.</w:t>
      </w:r>
      <w:r w:rsidR="00947F0F">
        <w:t>,</w:t>
      </w:r>
      <w:r>
        <w:t xml:space="preserve"> (2014</w:t>
      </w:r>
      <w:r w:rsidR="00947F0F">
        <w:t xml:space="preserve">), </w:t>
      </w:r>
      <w:r>
        <w:t xml:space="preserve">Student </w:t>
      </w:r>
      <w:r w:rsidR="00947F0F">
        <w:t>loan deb</w:t>
      </w:r>
      <w:r>
        <w:t xml:space="preserve">t: Can </w:t>
      </w:r>
      <w:r w:rsidR="00947F0F">
        <w:t>parental college savings help</w:t>
      </w:r>
      <w:r>
        <w:t xml:space="preserve">? </w:t>
      </w:r>
      <w:r>
        <w:rPr>
          <w:i/>
          <w:iCs/>
        </w:rPr>
        <w:t>Review</w:t>
      </w:r>
      <w:r>
        <w:t xml:space="preserve">, </w:t>
      </w:r>
      <w:r>
        <w:rPr>
          <w:i/>
          <w:iCs/>
        </w:rPr>
        <w:t>96</w:t>
      </w:r>
      <w:r>
        <w:t>(4</w:t>
      </w:r>
      <w:r w:rsidR="00947F0F">
        <w:t xml:space="preserve">), </w:t>
      </w:r>
      <w:hyperlink r:id="rId27" w:history="1">
        <w:r>
          <w:rPr>
            <w:rStyle w:val="Hyperlink"/>
          </w:rPr>
          <w:t>https://doi.org/10.20955/r.96.331-357</w:t>
        </w:r>
      </w:hyperlink>
      <w:r w:rsidR="00141CA7">
        <w:rPr>
          <w:rStyle w:val="Hyperlink"/>
          <w:u w:val="none"/>
        </w:rPr>
        <w:t>.</w:t>
      </w:r>
    </w:p>
  </w:endnote>
  <w:endnote w:id="28">
    <w:p w14:paraId="4CEC3CE4" w14:textId="50128D33" w:rsidR="003050D7" w:rsidRPr="00141CA7" w:rsidRDefault="003050D7" w:rsidP="003050D7">
      <w:pPr>
        <w:pStyle w:val="NoSpacing"/>
        <w:rPr>
          <w:sz w:val="20"/>
          <w:szCs w:val="20"/>
        </w:rPr>
      </w:pPr>
      <w:r>
        <w:rPr>
          <w:rStyle w:val="EndnoteReference"/>
        </w:rPr>
        <w:endnoteRef/>
      </w:r>
      <w:r>
        <w:t xml:space="preserve"> </w:t>
      </w:r>
      <w:r w:rsidRPr="00EE69D9">
        <w:rPr>
          <w:sz w:val="20"/>
          <w:szCs w:val="20"/>
        </w:rPr>
        <w:t>Addo, F. R., Houle, J. N., &amp; Simon, D.</w:t>
      </w:r>
      <w:r w:rsidR="00947F0F">
        <w:rPr>
          <w:sz w:val="20"/>
          <w:szCs w:val="20"/>
        </w:rPr>
        <w:t>,</w:t>
      </w:r>
      <w:r w:rsidRPr="00EE69D9">
        <w:rPr>
          <w:sz w:val="20"/>
          <w:szCs w:val="20"/>
        </w:rPr>
        <w:t xml:space="preserve"> (2016</w:t>
      </w:r>
      <w:r w:rsidR="00947F0F" w:rsidRPr="00EE69D9">
        <w:rPr>
          <w:sz w:val="20"/>
          <w:szCs w:val="20"/>
        </w:rPr>
        <w:t>)</w:t>
      </w:r>
      <w:r w:rsidR="00947F0F">
        <w:rPr>
          <w:sz w:val="20"/>
          <w:szCs w:val="20"/>
        </w:rPr>
        <w:t>,</w:t>
      </w:r>
      <w:r w:rsidR="00947F0F" w:rsidRPr="00EE69D9">
        <w:rPr>
          <w:sz w:val="20"/>
          <w:szCs w:val="20"/>
        </w:rPr>
        <w:t xml:space="preserve"> </w:t>
      </w:r>
      <w:r w:rsidRPr="00EE69D9">
        <w:rPr>
          <w:sz w:val="20"/>
          <w:szCs w:val="20"/>
        </w:rPr>
        <w:t>Young, Black, and (</w:t>
      </w:r>
      <w:r w:rsidR="00947F0F" w:rsidRPr="00EE69D9">
        <w:rPr>
          <w:sz w:val="20"/>
          <w:szCs w:val="20"/>
        </w:rPr>
        <w:t>still) in the red</w:t>
      </w:r>
      <w:r w:rsidRPr="00EE69D9">
        <w:rPr>
          <w:sz w:val="20"/>
          <w:szCs w:val="20"/>
        </w:rPr>
        <w:t xml:space="preserve">: Parental </w:t>
      </w:r>
      <w:r w:rsidR="00947F0F" w:rsidRPr="00EE69D9">
        <w:rPr>
          <w:sz w:val="20"/>
          <w:szCs w:val="20"/>
        </w:rPr>
        <w:t>wealth, race, and student loan de</w:t>
      </w:r>
      <w:r w:rsidRPr="00EE69D9">
        <w:rPr>
          <w:sz w:val="20"/>
          <w:szCs w:val="20"/>
        </w:rPr>
        <w:t>bt</w:t>
      </w:r>
      <w:r w:rsidR="00947F0F">
        <w:rPr>
          <w:sz w:val="20"/>
          <w:szCs w:val="20"/>
        </w:rPr>
        <w:t>,</w:t>
      </w:r>
      <w:r w:rsidR="00947F0F" w:rsidRPr="00EE69D9">
        <w:rPr>
          <w:sz w:val="20"/>
          <w:szCs w:val="20"/>
        </w:rPr>
        <w:t xml:space="preserve"> </w:t>
      </w:r>
      <w:r w:rsidRPr="00EE69D9">
        <w:rPr>
          <w:i/>
          <w:iCs/>
          <w:sz w:val="20"/>
          <w:szCs w:val="20"/>
        </w:rPr>
        <w:t>Race and Social Problems</w:t>
      </w:r>
      <w:r w:rsidRPr="00EE69D9">
        <w:rPr>
          <w:sz w:val="20"/>
          <w:szCs w:val="20"/>
        </w:rPr>
        <w:t xml:space="preserve">, </w:t>
      </w:r>
      <w:r w:rsidRPr="00EE69D9">
        <w:rPr>
          <w:i/>
          <w:iCs/>
          <w:sz w:val="20"/>
          <w:szCs w:val="20"/>
        </w:rPr>
        <w:t>8</w:t>
      </w:r>
      <w:r w:rsidRPr="00EE69D9">
        <w:rPr>
          <w:sz w:val="20"/>
          <w:szCs w:val="20"/>
        </w:rPr>
        <w:t>(1), 64–76</w:t>
      </w:r>
      <w:r w:rsidR="00947F0F">
        <w:rPr>
          <w:sz w:val="20"/>
          <w:szCs w:val="20"/>
        </w:rPr>
        <w:t>,</w:t>
      </w:r>
      <w:r w:rsidR="00947F0F" w:rsidRPr="00EE69D9">
        <w:rPr>
          <w:sz w:val="20"/>
          <w:szCs w:val="20"/>
        </w:rPr>
        <w:t xml:space="preserve"> </w:t>
      </w:r>
      <w:hyperlink r:id="rId28" w:history="1">
        <w:r w:rsidRPr="00EE69D9">
          <w:rPr>
            <w:rStyle w:val="Hyperlink"/>
            <w:sz w:val="20"/>
            <w:szCs w:val="20"/>
          </w:rPr>
          <w:t>https://doi.org/10.1007/s12552-016-9162-0</w:t>
        </w:r>
      </w:hyperlink>
      <w:r w:rsidR="00141CA7">
        <w:rPr>
          <w:rStyle w:val="Hyperlink"/>
          <w:sz w:val="20"/>
          <w:szCs w:val="20"/>
          <w:u w:val="none"/>
        </w:rPr>
        <w:t>.</w:t>
      </w:r>
    </w:p>
  </w:endnote>
  <w:endnote w:id="29">
    <w:p w14:paraId="3B19FAA6" w14:textId="315F48E5" w:rsidR="008C0888" w:rsidRPr="00947F0F" w:rsidRDefault="008C0888" w:rsidP="007B65B8">
      <w:pPr>
        <w:pStyle w:val="References"/>
        <w:rPr>
          <w:szCs w:val="24"/>
        </w:rPr>
      </w:pPr>
      <w:r>
        <w:rPr>
          <w:rStyle w:val="EndnoteReference"/>
        </w:rPr>
        <w:endnoteRef/>
      </w:r>
      <w:r>
        <w:t xml:space="preserve"> Marx, B. M., &amp; Turner, L. J.</w:t>
      </w:r>
      <w:r w:rsidR="00947F0F">
        <w:t>,</w:t>
      </w:r>
      <w:r>
        <w:t xml:space="preserve"> (2019</w:t>
      </w:r>
      <w:r w:rsidR="00947F0F">
        <w:t xml:space="preserve">), </w:t>
      </w:r>
      <w:r>
        <w:t xml:space="preserve">Student </w:t>
      </w:r>
      <w:r w:rsidR="00947F0F">
        <w:t>loan n</w:t>
      </w:r>
      <w:r>
        <w:t xml:space="preserve">udges: Experimental </w:t>
      </w:r>
      <w:r w:rsidR="00947F0F">
        <w:t xml:space="preserve">evidence on borrowing and educational attainment, </w:t>
      </w:r>
      <w:r>
        <w:rPr>
          <w:i/>
          <w:iCs/>
        </w:rPr>
        <w:t>American Economic Journal: Economic Policy</w:t>
      </w:r>
      <w:r>
        <w:t xml:space="preserve">, </w:t>
      </w:r>
      <w:r>
        <w:rPr>
          <w:i/>
          <w:iCs/>
        </w:rPr>
        <w:t>11</w:t>
      </w:r>
      <w:r>
        <w:t>(2), 108–141</w:t>
      </w:r>
      <w:r w:rsidR="00947F0F">
        <w:t xml:space="preserve">, </w:t>
      </w:r>
      <w:hyperlink r:id="rId29" w:history="1">
        <w:r>
          <w:rPr>
            <w:rStyle w:val="Hyperlink"/>
          </w:rPr>
          <w:t>https://doi.org/10.1257/pol.20180279</w:t>
        </w:r>
      </w:hyperlink>
      <w:r w:rsidR="00947F0F">
        <w:rPr>
          <w:rStyle w:val="Hyperlink"/>
          <w:u w:val="none"/>
        </w:rPr>
        <w:t>.</w:t>
      </w:r>
    </w:p>
  </w:endnote>
  <w:endnote w:id="30">
    <w:p w14:paraId="4CB5787B" w14:textId="2F7C5475" w:rsidR="00A907B6" w:rsidRDefault="00A907B6">
      <w:pPr>
        <w:pStyle w:val="EndnoteText"/>
      </w:pPr>
      <w:r>
        <w:rPr>
          <w:rStyle w:val="EndnoteReference"/>
        </w:rPr>
        <w:endnoteRef/>
      </w:r>
      <w:r>
        <w:t xml:space="preserve"> The authors note this null finding may be due to </w:t>
      </w:r>
      <w:r w:rsidR="00D406C6">
        <w:t xml:space="preserve">the fact that </w:t>
      </w:r>
      <w:r>
        <w:t xml:space="preserve">student outcomes </w:t>
      </w:r>
      <w:r w:rsidR="00D406C6">
        <w:t xml:space="preserve">were only observed </w:t>
      </w:r>
      <w:r>
        <w:t>through a two-year period.</w:t>
      </w:r>
    </w:p>
  </w:endnote>
  <w:endnote w:id="31">
    <w:p w14:paraId="01614BA5" w14:textId="31F08214" w:rsidR="00A93A36" w:rsidRPr="00141CA7" w:rsidRDefault="00A93A36" w:rsidP="007B65B8">
      <w:pPr>
        <w:pStyle w:val="References"/>
      </w:pPr>
      <w:r>
        <w:rPr>
          <w:rStyle w:val="EndnoteReference"/>
        </w:rPr>
        <w:endnoteRef/>
      </w:r>
      <w:r>
        <w:t xml:space="preserve"> Dowd, A. C., &amp; Coury, T.</w:t>
      </w:r>
      <w:r w:rsidR="00D406C6">
        <w:t>,</w:t>
      </w:r>
      <w:r>
        <w:t xml:space="preserve"> (2006</w:t>
      </w:r>
      <w:r w:rsidR="00D406C6">
        <w:t xml:space="preserve">), </w:t>
      </w:r>
      <w:r>
        <w:t xml:space="preserve">The </w:t>
      </w:r>
      <w:r w:rsidR="00D406C6">
        <w:t>effect of loans on the persistence and attainment of community college students</w:t>
      </w:r>
      <w:r>
        <w:t xml:space="preserve">. </w:t>
      </w:r>
      <w:r>
        <w:rPr>
          <w:i/>
          <w:iCs/>
        </w:rPr>
        <w:t>Research in Higher Education</w:t>
      </w:r>
      <w:r>
        <w:t xml:space="preserve">, </w:t>
      </w:r>
      <w:r>
        <w:rPr>
          <w:i/>
          <w:iCs/>
        </w:rPr>
        <w:t>47</w:t>
      </w:r>
      <w:r>
        <w:t>(1), 33–62</w:t>
      </w:r>
      <w:r w:rsidR="00D406C6">
        <w:t xml:space="preserve">, </w:t>
      </w:r>
      <w:hyperlink r:id="rId30" w:history="1">
        <w:r>
          <w:rPr>
            <w:rStyle w:val="Hyperlink"/>
          </w:rPr>
          <w:t>https://doi.org/10.1007/s11162-005-8151-8</w:t>
        </w:r>
      </w:hyperlink>
      <w:r w:rsidR="00141CA7">
        <w:rPr>
          <w:rStyle w:val="Hyperlink"/>
          <w:u w:val="none"/>
        </w:rPr>
        <w:t>.</w:t>
      </w:r>
    </w:p>
  </w:endnote>
  <w:endnote w:id="32">
    <w:p w14:paraId="4A874B36" w14:textId="65818B2B" w:rsidR="00F523C2" w:rsidRDefault="00F523C2" w:rsidP="008C542A">
      <w:pPr>
        <w:pStyle w:val="EndnoteText"/>
      </w:pPr>
      <w:r>
        <w:rPr>
          <w:rStyle w:val="EndnoteReference"/>
        </w:rPr>
        <w:endnoteRef/>
      </w:r>
      <w:r>
        <w:t xml:space="preserve"> </w:t>
      </w:r>
      <w:r w:rsidR="00E921C4" w:rsidRPr="00906C63">
        <w:t>Kim, D.</w:t>
      </w:r>
      <w:r w:rsidR="00D406C6">
        <w:t>,</w:t>
      </w:r>
      <w:r w:rsidR="00E921C4" w:rsidRPr="00906C63">
        <w:t xml:space="preserve"> (2007</w:t>
      </w:r>
      <w:r w:rsidR="00D406C6" w:rsidRPr="00906C63">
        <w:t>)</w:t>
      </w:r>
      <w:r w:rsidR="00D406C6">
        <w:t>,</w:t>
      </w:r>
      <w:r w:rsidR="00D406C6" w:rsidRPr="00906C63">
        <w:t xml:space="preserve"> </w:t>
      </w:r>
      <w:r w:rsidR="00E921C4" w:rsidRPr="00906C63">
        <w:t xml:space="preserve">The </w:t>
      </w:r>
      <w:r w:rsidR="00D406C6" w:rsidRPr="00906C63">
        <w:t>effect of loans on students’ degree attainment</w:t>
      </w:r>
      <w:r w:rsidR="00E921C4" w:rsidRPr="00906C63">
        <w:t xml:space="preserve">: Differences by </w:t>
      </w:r>
      <w:r w:rsidR="00D406C6" w:rsidRPr="00906C63">
        <w:t>student and institutional characteristics</w:t>
      </w:r>
      <w:r w:rsidR="00D406C6">
        <w:t>,</w:t>
      </w:r>
      <w:r w:rsidR="00D406C6" w:rsidRPr="00906C63">
        <w:t xml:space="preserve"> </w:t>
      </w:r>
      <w:r w:rsidR="00E921C4" w:rsidRPr="00906C63">
        <w:rPr>
          <w:i/>
          <w:iCs/>
        </w:rPr>
        <w:t>Harvard Educational Review</w:t>
      </w:r>
      <w:r w:rsidR="00E921C4" w:rsidRPr="00906C63">
        <w:t xml:space="preserve">, </w:t>
      </w:r>
      <w:r w:rsidR="00E921C4" w:rsidRPr="00906C63">
        <w:rPr>
          <w:i/>
          <w:iCs/>
        </w:rPr>
        <w:t>77</w:t>
      </w:r>
      <w:r w:rsidR="00E921C4" w:rsidRPr="00906C63">
        <w:t>(1), 64–100</w:t>
      </w:r>
      <w:r w:rsidR="00D406C6">
        <w:t xml:space="preserve">, </w:t>
      </w:r>
      <w:hyperlink r:id="rId31" w:history="1">
        <w:r w:rsidR="00176F3E" w:rsidRPr="004F318A">
          <w:rPr>
            <w:rStyle w:val="Hyperlink"/>
          </w:rPr>
          <w:t>https://doi.org/10.17763/haer.77.1.n14t69l0q8292784</w:t>
        </w:r>
      </w:hyperlink>
      <w:r w:rsidR="003A4675">
        <w:rPr>
          <w:rStyle w:val="Hyperlink"/>
          <w:color w:val="auto"/>
          <w:u w:val="none"/>
        </w:rPr>
        <w:t>; and</w:t>
      </w:r>
      <w:r w:rsidR="003A4675">
        <w:t xml:space="preserve"> </w:t>
      </w:r>
      <w:r w:rsidR="008C1910">
        <w:t>Dwyer, R. E., McCloud, L., &amp; Hodson, R.</w:t>
      </w:r>
      <w:r w:rsidR="00D406C6">
        <w:t>,</w:t>
      </w:r>
      <w:r w:rsidR="008C1910">
        <w:t xml:space="preserve"> (2012</w:t>
      </w:r>
      <w:r w:rsidR="00D406C6">
        <w:t xml:space="preserve">), </w:t>
      </w:r>
      <w:r w:rsidR="008C1910">
        <w:t xml:space="preserve">Debt and </w:t>
      </w:r>
      <w:r w:rsidR="00D406C6">
        <w:t xml:space="preserve">graduation </w:t>
      </w:r>
      <w:r w:rsidR="008C1910">
        <w:t xml:space="preserve">from American </w:t>
      </w:r>
      <w:r w:rsidR="00D406C6">
        <w:t xml:space="preserve">universities, </w:t>
      </w:r>
      <w:r w:rsidR="008C1910">
        <w:rPr>
          <w:i/>
          <w:iCs/>
        </w:rPr>
        <w:t>Social Forces</w:t>
      </w:r>
      <w:r w:rsidR="008C1910">
        <w:t xml:space="preserve">, </w:t>
      </w:r>
      <w:r w:rsidR="008C1910">
        <w:rPr>
          <w:i/>
          <w:iCs/>
        </w:rPr>
        <w:t>90</w:t>
      </w:r>
      <w:r w:rsidR="008C1910">
        <w:t>(4), 1133–1155</w:t>
      </w:r>
      <w:r w:rsidR="00D406C6">
        <w:t xml:space="preserve">, </w:t>
      </w:r>
      <w:hyperlink r:id="rId32" w:history="1">
        <w:r w:rsidR="008C1910">
          <w:rPr>
            <w:rStyle w:val="Hyperlink"/>
          </w:rPr>
          <w:t>https://doi.org/10.1093/sf/sos072</w:t>
        </w:r>
      </w:hyperlink>
    </w:p>
  </w:endnote>
  <w:endnote w:id="33">
    <w:p w14:paraId="34DFE482" w14:textId="5A3BBB2B" w:rsidR="00F87399" w:rsidRDefault="00F87399" w:rsidP="007B65B8">
      <w:pPr>
        <w:pStyle w:val="References"/>
      </w:pPr>
      <w:r>
        <w:rPr>
          <w:rStyle w:val="EndnoteReference"/>
        </w:rPr>
        <w:endnoteRef/>
      </w:r>
      <w:r>
        <w:t xml:space="preserve"> Kim, 2007. </w:t>
      </w:r>
    </w:p>
  </w:endnote>
  <w:endnote w:id="34">
    <w:p w14:paraId="58CB7B60" w14:textId="6E74ED80" w:rsidR="00A03CE5" w:rsidRPr="005D34FC" w:rsidRDefault="00A03CE5" w:rsidP="008C542A">
      <w:pPr>
        <w:pStyle w:val="EndnoteText"/>
        <w:rPr>
          <w:szCs w:val="24"/>
        </w:rPr>
      </w:pPr>
      <w:r>
        <w:rPr>
          <w:rStyle w:val="EndnoteReference"/>
        </w:rPr>
        <w:endnoteRef/>
      </w:r>
      <w:r>
        <w:t xml:space="preserve"> Conley, 2001</w:t>
      </w:r>
      <w:r w:rsidR="003A4675">
        <w:t xml:space="preserve">; </w:t>
      </w:r>
      <w:r>
        <w:t>Haveman &amp; Wilson, 2007</w:t>
      </w:r>
      <w:r w:rsidR="003A4675">
        <w:t xml:space="preserve">; and </w:t>
      </w:r>
      <w:r>
        <w:t>Zhan &amp; Sherraden, 2011</w:t>
      </w:r>
      <w:r w:rsidR="005B748E">
        <w:t>a</w:t>
      </w:r>
      <w:r>
        <w:t xml:space="preserve">. </w:t>
      </w:r>
    </w:p>
  </w:endnote>
  <w:endnote w:id="35">
    <w:p w14:paraId="2E80FEC2" w14:textId="31BDA81A" w:rsidR="00534DB5" w:rsidRPr="00ED0820" w:rsidRDefault="00534DB5" w:rsidP="007B65B8">
      <w:pPr>
        <w:pStyle w:val="References"/>
        <w:rPr>
          <w:szCs w:val="24"/>
        </w:rPr>
      </w:pPr>
      <w:r>
        <w:rPr>
          <w:rStyle w:val="EndnoteReference"/>
        </w:rPr>
        <w:endnoteRef/>
      </w:r>
      <w:r>
        <w:t xml:space="preserve"> </w:t>
      </w:r>
      <w:r w:rsidR="00ED0820">
        <w:t>Nam, Y., &amp; Huang, J.</w:t>
      </w:r>
      <w:r w:rsidR="00D406C6">
        <w:t>,</w:t>
      </w:r>
      <w:r w:rsidR="00ED0820">
        <w:t xml:space="preserve"> (2009)</w:t>
      </w:r>
      <w:r w:rsidR="00D406C6">
        <w:t>,</w:t>
      </w:r>
      <w:r w:rsidR="00ED0820">
        <w:t xml:space="preserve"> Equal opportunity for all? Parental economic resources and children’s educational attainment</w:t>
      </w:r>
      <w:r w:rsidR="00D406C6">
        <w:t>,</w:t>
      </w:r>
      <w:r w:rsidR="00ED0820">
        <w:t xml:space="preserve"> </w:t>
      </w:r>
      <w:r w:rsidR="00ED0820">
        <w:rPr>
          <w:i/>
          <w:iCs/>
        </w:rPr>
        <w:t>Children and Youth Services Review</w:t>
      </w:r>
      <w:r w:rsidR="00ED0820">
        <w:t xml:space="preserve">, </w:t>
      </w:r>
      <w:r w:rsidR="00ED0820">
        <w:rPr>
          <w:i/>
          <w:iCs/>
        </w:rPr>
        <w:t>31</w:t>
      </w:r>
      <w:r w:rsidR="00ED0820">
        <w:t>(6), 625–634</w:t>
      </w:r>
      <w:r w:rsidR="00D406C6">
        <w:t>,</w:t>
      </w:r>
      <w:r w:rsidR="00ED0820">
        <w:t xml:space="preserve"> </w:t>
      </w:r>
      <w:hyperlink r:id="rId33" w:history="1">
        <w:r w:rsidR="00ED0820">
          <w:rPr>
            <w:rStyle w:val="Hyperlink"/>
          </w:rPr>
          <w:t>https://doi.org/10.1016/j.childyouth.2008.12.002</w:t>
        </w:r>
      </w:hyperlink>
      <w:r w:rsidR="00D406C6">
        <w:t>.</w:t>
      </w:r>
    </w:p>
  </w:endnote>
  <w:endnote w:id="36">
    <w:p w14:paraId="567FD84D" w14:textId="2BB2AFAB" w:rsidR="0056379E" w:rsidRPr="0056379E" w:rsidRDefault="008756C2" w:rsidP="007B65B8">
      <w:pPr>
        <w:pStyle w:val="References"/>
        <w:rPr>
          <w:szCs w:val="24"/>
        </w:rPr>
      </w:pPr>
      <w:r>
        <w:rPr>
          <w:rStyle w:val="EndnoteReference"/>
        </w:rPr>
        <w:endnoteRef/>
      </w:r>
      <w:r>
        <w:t xml:space="preserve"> </w:t>
      </w:r>
      <w:r w:rsidR="009E5415">
        <w:t>Kim, Y., &amp; Sherraden, M.</w:t>
      </w:r>
      <w:r w:rsidR="00D406C6">
        <w:t>,</w:t>
      </w:r>
      <w:r w:rsidR="009E5415">
        <w:t xml:space="preserve"> (2011)</w:t>
      </w:r>
      <w:r w:rsidR="00D406C6">
        <w:t>,</w:t>
      </w:r>
      <w:r w:rsidR="009E5415">
        <w:t xml:space="preserve"> Do parental assets matter for children’s educational attainment? Evidence from mediation tests</w:t>
      </w:r>
      <w:r w:rsidR="00D406C6">
        <w:t>,</w:t>
      </w:r>
      <w:r w:rsidR="009E5415">
        <w:t xml:space="preserve"> </w:t>
      </w:r>
      <w:r w:rsidR="009E5415">
        <w:rPr>
          <w:i/>
          <w:iCs/>
        </w:rPr>
        <w:t>Children and Youth Services Review</w:t>
      </w:r>
      <w:r w:rsidR="009E5415">
        <w:t xml:space="preserve">, </w:t>
      </w:r>
      <w:r w:rsidR="009E5415">
        <w:rPr>
          <w:i/>
          <w:iCs/>
        </w:rPr>
        <w:t>33</w:t>
      </w:r>
      <w:r w:rsidR="009E5415">
        <w:t>(6), 969–979</w:t>
      </w:r>
      <w:r w:rsidR="00D406C6">
        <w:t>,</w:t>
      </w:r>
      <w:r w:rsidR="009E5415">
        <w:t xml:space="preserve"> </w:t>
      </w:r>
      <w:hyperlink r:id="rId34" w:history="1">
        <w:r w:rsidR="009E5415">
          <w:rPr>
            <w:rStyle w:val="Hyperlink"/>
          </w:rPr>
          <w:t>https://doi.org/10.1016/j.childyouth.2011.01.003</w:t>
        </w:r>
      </w:hyperlink>
      <w:r w:rsidR="003A4675">
        <w:t xml:space="preserve">; </w:t>
      </w:r>
      <w:r w:rsidR="009E5415">
        <w:t>Zhan &amp; Sherraden, 2011a</w:t>
      </w:r>
      <w:r w:rsidR="003A4675">
        <w:t xml:space="preserve">; and </w:t>
      </w:r>
      <w:r w:rsidR="0056379E">
        <w:t>Zhan, M., &amp; Sherraden, M.</w:t>
      </w:r>
      <w:r w:rsidR="00D406C6">
        <w:t>,</w:t>
      </w:r>
      <w:r w:rsidR="0056379E">
        <w:t xml:space="preserve"> (2011b)</w:t>
      </w:r>
      <w:r w:rsidR="00D406C6">
        <w:t>,</w:t>
      </w:r>
      <w:r w:rsidR="0056379E">
        <w:t xml:space="preserve"> Assets and liabilities, race/ethnicity, and children’s college education</w:t>
      </w:r>
      <w:r w:rsidR="00D406C6">
        <w:t>,</w:t>
      </w:r>
      <w:r w:rsidR="0056379E">
        <w:t xml:space="preserve"> </w:t>
      </w:r>
      <w:r w:rsidR="0056379E">
        <w:rPr>
          <w:i/>
          <w:iCs/>
        </w:rPr>
        <w:t>Children and Youth Services Review</w:t>
      </w:r>
      <w:r w:rsidR="0056379E">
        <w:t xml:space="preserve">, </w:t>
      </w:r>
      <w:r w:rsidR="0056379E">
        <w:rPr>
          <w:i/>
          <w:iCs/>
        </w:rPr>
        <w:t>33</w:t>
      </w:r>
      <w:r w:rsidR="0056379E">
        <w:t>(11), 2168–2175</w:t>
      </w:r>
      <w:r w:rsidR="00D406C6">
        <w:t>,</w:t>
      </w:r>
      <w:r w:rsidR="0056379E">
        <w:t xml:space="preserve"> </w:t>
      </w:r>
      <w:hyperlink r:id="rId35" w:history="1">
        <w:r w:rsidR="0056379E">
          <w:rPr>
            <w:rStyle w:val="Hyperlink"/>
          </w:rPr>
          <w:t>https://doi.org/10.1016/j.childyouth.2011.06.024</w:t>
        </w:r>
      </w:hyperlink>
      <w:r w:rsidR="00D406C6">
        <w:t>.</w:t>
      </w:r>
    </w:p>
  </w:endnote>
  <w:endnote w:id="37">
    <w:p w14:paraId="39803B67" w14:textId="77777777" w:rsidR="004C0C85" w:rsidRDefault="004C0C85" w:rsidP="004C0C85">
      <w:pPr>
        <w:pStyle w:val="EndnoteText"/>
      </w:pPr>
      <w:r>
        <w:rPr>
          <w:rStyle w:val="EndnoteReference"/>
        </w:rPr>
        <w:endnoteRef/>
      </w:r>
      <w:r>
        <w:t xml:space="preserve"> Zhan, M., &amp; Sherraden, M. (2011b).</w:t>
      </w:r>
    </w:p>
  </w:endnote>
  <w:endnote w:id="38">
    <w:p w14:paraId="04D42378" w14:textId="44EDFF96" w:rsidR="00E5526F" w:rsidRPr="00D406C6" w:rsidRDefault="00E5526F" w:rsidP="007B65B8">
      <w:pPr>
        <w:pStyle w:val="References"/>
      </w:pPr>
      <w:r>
        <w:rPr>
          <w:rStyle w:val="EndnoteReference"/>
        </w:rPr>
        <w:endnoteRef/>
      </w:r>
      <w:r>
        <w:t xml:space="preserve"> </w:t>
      </w:r>
      <w:r w:rsidR="00D86E48">
        <w:t>Postsecondary Value Commission</w:t>
      </w:r>
      <w:r w:rsidR="00D406C6">
        <w:t xml:space="preserve">, </w:t>
      </w:r>
      <w:r w:rsidR="00D86E48">
        <w:t>(2021</w:t>
      </w:r>
      <w:r w:rsidR="00D406C6">
        <w:t xml:space="preserve">), </w:t>
      </w:r>
      <w:r w:rsidR="00D86E48">
        <w:rPr>
          <w:i/>
          <w:iCs/>
        </w:rPr>
        <w:t>Equitable value: Promoting economic mobility and social justice through postsecondary education</w:t>
      </w:r>
      <w:r w:rsidR="00D406C6">
        <w:t xml:space="preserve">, </w:t>
      </w:r>
      <w:hyperlink r:id="rId36" w:history="1">
        <w:r w:rsidR="00D86E48">
          <w:rPr>
            <w:rStyle w:val="Hyperlink"/>
          </w:rPr>
          <w:t>https://www.postsecondaryvalue.org/wp-content/uploads/2021/07/PVC-Final-Report-FINAL-7.2.pdf</w:t>
        </w:r>
      </w:hyperlink>
      <w:r w:rsidR="00D406C6">
        <w:rPr>
          <w:rStyle w:val="Hyperlink"/>
        </w:rPr>
        <w:t>.</w:t>
      </w:r>
    </w:p>
  </w:endnote>
  <w:endnote w:id="39">
    <w:p w14:paraId="6150C635" w14:textId="443CED00" w:rsidR="007116D0" w:rsidRPr="00B3523B" w:rsidRDefault="007116D0" w:rsidP="008C542A">
      <w:pPr>
        <w:pStyle w:val="EndnoteText"/>
      </w:pPr>
      <w:r>
        <w:rPr>
          <w:rStyle w:val="EndnoteReference"/>
        </w:rPr>
        <w:endnoteRef/>
      </w:r>
      <w:r>
        <w:t xml:space="preserve"> </w:t>
      </w:r>
      <w:r w:rsidRPr="00EE69D9">
        <w:t>Addo, Houle, &amp; Simon, 2016</w:t>
      </w:r>
      <w:r w:rsidR="003A4675">
        <w:t xml:space="preserve">; </w:t>
      </w:r>
      <w:r>
        <w:t>Cunningham, A. F., &amp; Santiago, D. H.</w:t>
      </w:r>
      <w:r w:rsidR="00507104">
        <w:t>,</w:t>
      </w:r>
      <w:r>
        <w:t xml:space="preserve"> (2008</w:t>
      </w:r>
      <w:r w:rsidR="00507104">
        <w:t xml:space="preserve">), </w:t>
      </w:r>
      <w:r>
        <w:rPr>
          <w:i/>
          <w:iCs/>
        </w:rPr>
        <w:t xml:space="preserve">Student </w:t>
      </w:r>
      <w:r w:rsidR="00507104">
        <w:rPr>
          <w:i/>
          <w:iCs/>
        </w:rPr>
        <w:t>aversion to borrowing</w:t>
      </w:r>
      <w:r>
        <w:rPr>
          <w:i/>
          <w:iCs/>
        </w:rPr>
        <w:t xml:space="preserve">: Who </w:t>
      </w:r>
      <w:r w:rsidR="00507104">
        <w:rPr>
          <w:i/>
          <w:iCs/>
        </w:rPr>
        <w:t>borrows and who doesn’t</w:t>
      </w:r>
      <w:r w:rsidR="00507104">
        <w:t xml:space="preserve">, </w:t>
      </w:r>
      <w:r>
        <w:t xml:space="preserve">Institute for Higher Education Policy </w:t>
      </w:r>
      <w:r w:rsidR="00470AD6">
        <w:t>and</w:t>
      </w:r>
      <w:r>
        <w:t xml:space="preserve"> Excelencia in Education</w:t>
      </w:r>
      <w:r w:rsidR="00507104">
        <w:t xml:space="preserve">, </w:t>
      </w:r>
      <w:hyperlink r:id="rId37" w:history="1">
        <w:r>
          <w:rPr>
            <w:rStyle w:val="Hyperlink"/>
          </w:rPr>
          <w:t>https://</w:t>
        </w:r>
        <w:bookmarkStart w:id="11" w:name="_Hlt160520963"/>
        <w:bookmarkStart w:id="12" w:name="_Hlt160520964"/>
        <w:r>
          <w:rPr>
            <w:rStyle w:val="Hyperlink"/>
          </w:rPr>
          <w:t>f</w:t>
        </w:r>
        <w:bookmarkEnd w:id="11"/>
        <w:bookmarkEnd w:id="12"/>
        <w:r>
          <w:rPr>
            <w:rStyle w:val="Hyperlink"/>
          </w:rPr>
          <w:t>iles.eric.ed.gov/fulltext/ED503684.pdf</w:t>
        </w:r>
      </w:hyperlink>
      <w:r w:rsidR="003A4675">
        <w:rPr>
          <w:rStyle w:val="Hyperlink"/>
          <w:color w:val="auto"/>
          <w:u w:val="none"/>
        </w:rPr>
        <w:t xml:space="preserve">; </w:t>
      </w:r>
      <w:r w:rsidR="000C265E" w:rsidRPr="00C92384">
        <w:rPr>
          <w:rStyle w:val="Hyperlink"/>
          <w:rFonts w:eastAsiaTheme="minorHAnsi" w:cstheme="minorBidi"/>
          <w:color w:val="auto"/>
          <w:szCs w:val="22"/>
          <w:u w:val="none"/>
        </w:rPr>
        <w:t>and</w:t>
      </w:r>
      <w:r w:rsidR="00F35BA6">
        <w:rPr>
          <w:rStyle w:val="Hyperlink"/>
          <w:rFonts w:eastAsiaTheme="minorHAnsi" w:cstheme="minorBidi"/>
          <w:color w:val="auto"/>
          <w:szCs w:val="22"/>
          <w:u w:val="none"/>
        </w:rPr>
        <w:t xml:space="preserve"> </w:t>
      </w:r>
      <w:r w:rsidRPr="00C92384">
        <w:rPr>
          <w:rFonts w:eastAsiaTheme="minorHAnsi" w:cstheme="minorBidi"/>
          <w:szCs w:val="22"/>
        </w:rPr>
        <w:t>Grinstein</w:t>
      </w:r>
      <w:r>
        <w:t>-Weiss, M., Perantie, D. C., Taylor, S. H., Guo, S., &amp; Raghavan, R.</w:t>
      </w:r>
      <w:r w:rsidR="00EC0A01">
        <w:t>,</w:t>
      </w:r>
      <w:r>
        <w:t xml:space="preserve"> (2016</w:t>
      </w:r>
      <w:r w:rsidR="00EC0A01">
        <w:t xml:space="preserve">), </w:t>
      </w:r>
      <w:r>
        <w:t>Racial disparities in education debt burden among low- and moderate-income households</w:t>
      </w:r>
      <w:r w:rsidR="00EC0A01">
        <w:t xml:space="preserve">, </w:t>
      </w:r>
      <w:r>
        <w:rPr>
          <w:i/>
          <w:iCs/>
        </w:rPr>
        <w:t>Children and Youth Services Review</w:t>
      </w:r>
      <w:r>
        <w:t xml:space="preserve">, </w:t>
      </w:r>
      <w:r>
        <w:rPr>
          <w:i/>
          <w:iCs/>
        </w:rPr>
        <w:t>65</w:t>
      </w:r>
      <w:r>
        <w:t>, 166–174</w:t>
      </w:r>
      <w:r w:rsidR="00EC0A01">
        <w:t xml:space="preserve">, </w:t>
      </w:r>
      <w:hyperlink r:id="rId38" w:history="1">
        <w:r>
          <w:rPr>
            <w:rStyle w:val="Hyperlink"/>
          </w:rPr>
          <w:t>https://doi.org/10.1016/j.childyouth.2016.04.010</w:t>
        </w:r>
      </w:hyperlink>
      <w:r w:rsidR="00D406C6" w:rsidRPr="00B3523B">
        <w:rPr>
          <w:rStyle w:val="Hyperlink"/>
          <w:color w:val="auto"/>
          <w:u w:val="none"/>
        </w:rPr>
        <w:t>.</w:t>
      </w:r>
    </w:p>
  </w:endnote>
  <w:endnote w:id="40">
    <w:p w14:paraId="7DCCCBC1" w14:textId="2B2A8AF1" w:rsidR="00032C3F" w:rsidRPr="00B3523B" w:rsidRDefault="00896DE6" w:rsidP="008C542A">
      <w:pPr>
        <w:pStyle w:val="NoSpacing"/>
        <w:rPr>
          <w:szCs w:val="20"/>
        </w:rPr>
      </w:pPr>
      <w:r>
        <w:rPr>
          <w:rStyle w:val="EndnoteReference"/>
        </w:rPr>
        <w:endnoteRef/>
      </w:r>
      <w:r>
        <w:t xml:space="preserve"> </w:t>
      </w:r>
      <w:r w:rsidRPr="00EE69D9">
        <w:rPr>
          <w:sz w:val="20"/>
          <w:szCs w:val="20"/>
        </w:rPr>
        <w:t>Addo, Houle, &amp; Simon, 2016</w:t>
      </w:r>
      <w:r w:rsidR="000C265E">
        <w:rPr>
          <w:sz w:val="20"/>
          <w:szCs w:val="20"/>
        </w:rPr>
        <w:t>;</w:t>
      </w:r>
      <w:r w:rsidR="000C265E">
        <w:t xml:space="preserve"> </w:t>
      </w:r>
      <w:r w:rsidR="000C265E" w:rsidRPr="008C542A">
        <w:rPr>
          <w:sz w:val="20"/>
          <w:szCs w:val="20"/>
        </w:rPr>
        <w:t>and</w:t>
      </w:r>
      <w:r w:rsidR="000C265E">
        <w:t xml:space="preserve"> </w:t>
      </w:r>
      <w:r w:rsidR="00032C3F" w:rsidRPr="008C542A">
        <w:rPr>
          <w:sz w:val="20"/>
          <w:szCs w:val="20"/>
        </w:rPr>
        <w:t>Taylor, M., Turk, J. M., Chessman, H. M., &amp; Espinosa, L. L.</w:t>
      </w:r>
      <w:r w:rsidR="003502FA">
        <w:rPr>
          <w:sz w:val="20"/>
          <w:szCs w:val="20"/>
        </w:rPr>
        <w:t>,</w:t>
      </w:r>
      <w:r w:rsidR="00032C3F" w:rsidRPr="008C542A">
        <w:rPr>
          <w:sz w:val="20"/>
          <w:szCs w:val="20"/>
        </w:rPr>
        <w:t xml:space="preserve"> (2020</w:t>
      </w:r>
      <w:r w:rsidR="003502FA" w:rsidRPr="008C542A">
        <w:rPr>
          <w:sz w:val="20"/>
          <w:szCs w:val="20"/>
        </w:rPr>
        <w:t>)</w:t>
      </w:r>
      <w:r w:rsidR="003502FA">
        <w:rPr>
          <w:sz w:val="20"/>
          <w:szCs w:val="20"/>
        </w:rPr>
        <w:t>,</w:t>
      </w:r>
      <w:r w:rsidR="003502FA" w:rsidRPr="008C542A">
        <w:rPr>
          <w:sz w:val="20"/>
          <w:szCs w:val="20"/>
        </w:rPr>
        <w:t xml:space="preserve"> </w:t>
      </w:r>
      <w:r w:rsidR="00032C3F" w:rsidRPr="008C542A">
        <w:rPr>
          <w:i/>
          <w:iCs/>
          <w:sz w:val="20"/>
          <w:szCs w:val="20"/>
        </w:rPr>
        <w:t xml:space="preserve">Race and </w:t>
      </w:r>
      <w:r w:rsidR="003A42DC" w:rsidRPr="003A42DC">
        <w:rPr>
          <w:i/>
          <w:iCs/>
          <w:sz w:val="20"/>
          <w:szCs w:val="20"/>
        </w:rPr>
        <w:t>ethnicity in higher education</w:t>
      </w:r>
      <w:r w:rsidR="003A42DC">
        <w:rPr>
          <w:i/>
          <w:iCs/>
          <w:sz w:val="20"/>
          <w:szCs w:val="20"/>
        </w:rPr>
        <w:t>:</w:t>
      </w:r>
      <w:r w:rsidR="00032C3F" w:rsidRPr="008C542A">
        <w:rPr>
          <w:i/>
          <w:iCs/>
          <w:sz w:val="20"/>
          <w:szCs w:val="20"/>
        </w:rPr>
        <w:t xml:space="preserve"> 2020 </w:t>
      </w:r>
      <w:r w:rsidR="003A42DC">
        <w:rPr>
          <w:i/>
          <w:iCs/>
          <w:sz w:val="20"/>
          <w:szCs w:val="20"/>
        </w:rPr>
        <w:t>s</w:t>
      </w:r>
      <w:r w:rsidR="003A42DC" w:rsidRPr="008C542A">
        <w:rPr>
          <w:i/>
          <w:iCs/>
          <w:sz w:val="20"/>
          <w:szCs w:val="20"/>
        </w:rPr>
        <w:t>upplement</w:t>
      </w:r>
      <w:r w:rsidR="003A42DC" w:rsidRPr="008C542A">
        <w:rPr>
          <w:sz w:val="20"/>
          <w:szCs w:val="20"/>
        </w:rPr>
        <w:t>,</w:t>
      </w:r>
      <w:r w:rsidR="00032C3F" w:rsidRPr="008C542A">
        <w:rPr>
          <w:sz w:val="20"/>
          <w:szCs w:val="20"/>
        </w:rPr>
        <w:t xml:space="preserve"> American Council on Education</w:t>
      </w:r>
      <w:r w:rsidR="003A42DC">
        <w:rPr>
          <w:sz w:val="20"/>
          <w:szCs w:val="20"/>
        </w:rPr>
        <w:t>,</w:t>
      </w:r>
      <w:r w:rsidR="003A42DC" w:rsidRPr="008C542A">
        <w:rPr>
          <w:sz w:val="20"/>
          <w:szCs w:val="20"/>
        </w:rPr>
        <w:t xml:space="preserve"> </w:t>
      </w:r>
      <w:hyperlink r:id="rId39" w:history="1">
        <w:r w:rsidR="00032C3F" w:rsidRPr="008C542A">
          <w:rPr>
            <w:rStyle w:val="Hyperlink"/>
            <w:sz w:val="20"/>
            <w:szCs w:val="20"/>
          </w:rPr>
          <w:t>https://www.equityinhighered.org/wp-content/uploads/2020/11/REHE-2020-final.pdf</w:t>
        </w:r>
      </w:hyperlink>
      <w:r w:rsidR="003A42DC" w:rsidRPr="008C542A">
        <w:rPr>
          <w:rStyle w:val="Hyperlink"/>
          <w:color w:val="auto"/>
          <w:sz w:val="20"/>
          <w:szCs w:val="20"/>
          <w:u w:val="none"/>
        </w:rPr>
        <w:t>.</w:t>
      </w:r>
    </w:p>
  </w:endnote>
  <w:endnote w:id="41">
    <w:p w14:paraId="39F186A4" w14:textId="661B765D" w:rsidR="00EB5546" w:rsidRDefault="00EB5546" w:rsidP="007B65B8">
      <w:pPr>
        <w:pStyle w:val="References"/>
      </w:pPr>
      <w:r>
        <w:rPr>
          <w:rStyle w:val="EndnoteReference"/>
        </w:rPr>
        <w:endnoteRef/>
      </w:r>
      <w:r>
        <w:t xml:space="preserve"> </w:t>
      </w:r>
      <w:bookmarkStart w:id="13" w:name="OLE_LINK9"/>
      <w:bookmarkStart w:id="14" w:name="OLE_LINK10"/>
      <w:r w:rsidRPr="00C92384">
        <w:t>Grinstein-Weiss</w:t>
      </w:r>
      <w:r>
        <w:t>, Perantie, Taylor,</w:t>
      </w:r>
      <w:r w:rsidR="00444155">
        <w:t xml:space="preserve"> </w:t>
      </w:r>
      <w:r>
        <w:t xml:space="preserve">Guo, &amp; Raghavan, 2016. </w:t>
      </w:r>
    </w:p>
    <w:bookmarkEnd w:id="13"/>
    <w:bookmarkEnd w:id="14"/>
  </w:endnote>
  <w:endnote w:id="42">
    <w:p w14:paraId="431B0D5F" w14:textId="1EE5C107" w:rsidR="00BC153B" w:rsidRDefault="00BC153B" w:rsidP="007B65B8">
      <w:pPr>
        <w:pStyle w:val="References"/>
      </w:pPr>
      <w:r>
        <w:rPr>
          <w:rStyle w:val="EndnoteReference"/>
        </w:rPr>
        <w:endnoteRef/>
      </w:r>
      <w:r>
        <w:t xml:space="preserve"> Miller, B.</w:t>
      </w:r>
      <w:r w:rsidR="00444155">
        <w:t>,</w:t>
      </w:r>
      <w:r>
        <w:t xml:space="preserve"> (2017, October 16</w:t>
      </w:r>
      <w:r w:rsidR="00444155">
        <w:t xml:space="preserve">), </w:t>
      </w:r>
      <w:r>
        <w:t xml:space="preserve">New </w:t>
      </w:r>
      <w:r w:rsidR="00444155">
        <w:t xml:space="preserve">federal data show a student loan crisis for </w:t>
      </w:r>
      <w:r>
        <w:t xml:space="preserve">African American </w:t>
      </w:r>
      <w:r w:rsidR="00444155">
        <w:t xml:space="preserve">borrowers, </w:t>
      </w:r>
      <w:r w:rsidRPr="008C542A">
        <w:t>Center for American Progress</w:t>
      </w:r>
      <w:r w:rsidR="00444155">
        <w:t xml:space="preserve">, </w:t>
      </w:r>
      <w:hyperlink r:id="rId40" w:history="1">
        <w:r>
          <w:rPr>
            <w:rStyle w:val="Hyperlink"/>
          </w:rPr>
          <w:t>https://www.americanprogress.org/article/new-federal-data-show-student-loan-crisis-african-american-borrowers/</w:t>
        </w:r>
      </w:hyperlink>
      <w:r w:rsidR="00C948AE">
        <w:t>.</w:t>
      </w:r>
    </w:p>
  </w:endnote>
  <w:endnote w:id="43">
    <w:p w14:paraId="02E25BAD" w14:textId="1B915AF9" w:rsidR="00E35CCE" w:rsidRPr="00B81FEB" w:rsidRDefault="00E35CCE" w:rsidP="007B65B8">
      <w:pPr>
        <w:pStyle w:val="References"/>
        <w:rPr>
          <w:color w:val="0563C1" w:themeColor="hyperlink"/>
          <w:u w:val="single"/>
        </w:rPr>
      </w:pPr>
      <w:r>
        <w:rPr>
          <w:rStyle w:val="EndnoteReference"/>
        </w:rPr>
        <w:endnoteRef/>
      </w:r>
      <w:r>
        <w:t xml:space="preserve"> Taylor, Turk, Chessman, &amp; Espinosa, 2020. </w:t>
      </w:r>
    </w:p>
  </w:endnote>
  <w:endnote w:id="44">
    <w:p w14:paraId="7B92E043" w14:textId="2E9344D3" w:rsidR="00E35CCE" w:rsidRPr="00FA5EBE" w:rsidRDefault="00E35CCE" w:rsidP="008C542A">
      <w:pPr>
        <w:pStyle w:val="NoSpacing"/>
        <w:rPr>
          <w:szCs w:val="20"/>
        </w:rPr>
      </w:pPr>
      <w:r w:rsidRPr="00B81FEB">
        <w:rPr>
          <w:rStyle w:val="EndnoteReference"/>
          <w:sz w:val="20"/>
          <w:szCs w:val="20"/>
        </w:rPr>
        <w:endnoteRef/>
      </w:r>
      <w:r w:rsidRPr="00B81FEB">
        <w:rPr>
          <w:sz w:val="20"/>
          <w:szCs w:val="20"/>
        </w:rPr>
        <w:t xml:space="preserve"> </w:t>
      </w:r>
      <w:r w:rsidR="00D81782">
        <w:rPr>
          <w:sz w:val="20"/>
          <w:szCs w:val="20"/>
        </w:rPr>
        <w:t>Manduca, 2018</w:t>
      </w:r>
      <w:r w:rsidR="000C265E">
        <w:rPr>
          <w:sz w:val="20"/>
          <w:szCs w:val="20"/>
        </w:rPr>
        <w:t xml:space="preserve">; </w:t>
      </w:r>
      <w:r w:rsidRPr="00B81FEB">
        <w:rPr>
          <w:sz w:val="20"/>
          <w:szCs w:val="20"/>
        </w:rPr>
        <w:t>Perry, A. M., &amp; Romer, C.</w:t>
      </w:r>
      <w:r w:rsidR="00444155">
        <w:rPr>
          <w:sz w:val="20"/>
          <w:szCs w:val="20"/>
        </w:rPr>
        <w:t>,</w:t>
      </w:r>
      <w:r w:rsidRPr="00B81FEB">
        <w:rPr>
          <w:sz w:val="20"/>
          <w:szCs w:val="20"/>
        </w:rPr>
        <w:t xml:space="preserve"> (2021, February 25</w:t>
      </w:r>
      <w:r w:rsidR="00444155" w:rsidRPr="00B81FEB">
        <w:rPr>
          <w:sz w:val="20"/>
          <w:szCs w:val="20"/>
        </w:rPr>
        <w:t>)</w:t>
      </w:r>
      <w:r w:rsidR="00444155">
        <w:rPr>
          <w:sz w:val="20"/>
          <w:szCs w:val="20"/>
        </w:rPr>
        <w:t>,</w:t>
      </w:r>
      <w:r w:rsidR="00444155" w:rsidRPr="00B81FEB">
        <w:rPr>
          <w:sz w:val="20"/>
          <w:szCs w:val="20"/>
        </w:rPr>
        <w:t xml:space="preserve"> </w:t>
      </w:r>
      <w:r w:rsidRPr="00B81FEB">
        <w:rPr>
          <w:sz w:val="20"/>
          <w:szCs w:val="20"/>
        </w:rPr>
        <w:t>Student debt cancellation should consider wealth, not income</w:t>
      </w:r>
      <w:r w:rsidR="00444155">
        <w:rPr>
          <w:sz w:val="20"/>
          <w:szCs w:val="20"/>
        </w:rPr>
        <w:t>,</w:t>
      </w:r>
      <w:r w:rsidR="00444155" w:rsidRPr="00B81FEB">
        <w:rPr>
          <w:sz w:val="20"/>
          <w:szCs w:val="20"/>
        </w:rPr>
        <w:t xml:space="preserve"> </w:t>
      </w:r>
      <w:r w:rsidRPr="008C542A">
        <w:rPr>
          <w:sz w:val="20"/>
          <w:szCs w:val="20"/>
        </w:rPr>
        <w:t>Brookings</w:t>
      </w:r>
      <w:r w:rsidR="00444155">
        <w:rPr>
          <w:sz w:val="20"/>
          <w:szCs w:val="20"/>
        </w:rPr>
        <w:t>,</w:t>
      </w:r>
      <w:r w:rsidR="00444155" w:rsidRPr="00B81FEB">
        <w:rPr>
          <w:sz w:val="20"/>
          <w:szCs w:val="20"/>
        </w:rPr>
        <w:t xml:space="preserve"> </w:t>
      </w:r>
      <w:hyperlink r:id="rId41" w:history="1">
        <w:r w:rsidRPr="00B81FEB">
          <w:rPr>
            <w:rStyle w:val="Hyperlink"/>
            <w:sz w:val="20"/>
            <w:szCs w:val="20"/>
          </w:rPr>
          <w:t>https://www.brookings.edu/articles/student-debt-cancellation-should-consider-wealth-not-income/</w:t>
        </w:r>
      </w:hyperlink>
      <w:r w:rsidR="00266A74" w:rsidRPr="00301878">
        <w:rPr>
          <w:rStyle w:val="Hyperlink"/>
          <w:color w:val="auto"/>
          <w:sz w:val="20"/>
          <w:szCs w:val="20"/>
          <w:u w:val="none"/>
        </w:rPr>
        <w:t xml:space="preserve">; </w:t>
      </w:r>
      <w:r w:rsidR="00266A74">
        <w:rPr>
          <w:rStyle w:val="Hyperlink"/>
          <w:color w:val="auto"/>
          <w:sz w:val="20"/>
          <w:szCs w:val="20"/>
          <w:u w:val="none"/>
        </w:rPr>
        <w:t>and</w:t>
      </w:r>
      <w:r w:rsidR="00266A74">
        <w:t xml:space="preserve"> </w:t>
      </w:r>
      <w:r w:rsidRPr="008C542A">
        <w:rPr>
          <w:sz w:val="20"/>
          <w:szCs w:val="20"/>
        </w:rPr>
        <w:t xml:space="preserve">Miller, 2017. </w:t>
      </w:r>
    </w:p>
  </w:endnote>
  <w:endnote w:id="45">
    <w:p w14:paraId="13246B3D" w14:textId="10E4D21F" w:rsidR="004A516D" w:rsidRPr="004A516D" w:rsidRDefault="004A516D" w:rsidP="004A516D">
      <w:pPr>
        <w:pStyle w:val="NoSpacing"/>
        <w:rPr>
          <w:sz w:val="20"/>
          <w:szCs w:val="20"/>
        </w:rPr>
      </w:pPr>
      <w:r>
        <w:rPr>
          <w:rStyle w:val="EndnoteReference"/>
        </w:rPr>
        <w:endnoteRef/>
      </w:r>
      <w:r>
        <w:t xml:space="preserve"> </w:t>
      </w:r>
      <w:r w:rsidRPr="00EE69D9">
        <w:rPr>
          <w:sz w:val="20"/>
          <w:szCs w:val="20"/>
        </w:rPr>
        <w:t xml:space="preserve">Addo, Houle, &amp; Simon, 2016. </w:t>
      </w:r>
    </w:p>
  </w:endnote>
  <w:endnote w:id="46">
    <w:p w14:paraId="783A972B" w14:textId="24C2B2F4" w:rsidR="0051170B" w:rsidRPr="00E63518" w:rsidRDefault="0051170B" w:rsidP="007B65B8">
      <w:pPr>
        <w:pStyle w:val="References"/>
        <w:rPr>
          <w:szCs w:val="24"/>
        </w:rPr>
      </w:pPr>
      <w:r>
        <w:rPr>
          <w:rStyle w:val="EndnoteReference"/>
        </w:rPr>
        <w:endnoteRef/>
      </w:r>
      <w:r>
        <w:t xml:space="preserve"> </w:t>
      </w:r>
      <w:r w:rsidR="000A3055">
        <w:t>Bleemer, Z., Brown, M., Lee, D., Strair, K., &amp; Van Der Klaauw, W.</w:t>
      </w:r>
      <w:r w:rsidR="00444155">
        <w:t>,</w:t>
      </w:r>
      <w:r w:rsidR="000A3055">
        <w:t xml:space="preserve"> (2017</w:t>
      </w:r>
      <w:r w:rsidR="00444155">
        <w:t xml:space="preserve">), </w:t>
      </w:r>
      <w:r w:rsidR="000A3055">
        <w:t>Echoes of rising tuition in students’ borrowing, educational attainment, and homeownership in post-recession America</w:t>
      </w:r>
      <w:r w:rsidR="00444155">
        <w:t xml:space="preserve">, </w:t>
      </w:r>
      <w:r w:rsidR="000A3055">
        <w:rPr>
          <w:i/>
          <w:iCs/>
        </w:rPr>
        <w:t>Journal of Urban Economics</w:t>
      </w:r>
      <w:r w:rsidR="000A3055">
        <w:t xml:space="preserve">, </w:t>
      </w:r>
      <w:r w:rsidR="000A3055">
        <w:rPr>
          <w:i/>
          <w:iCs/>
        </w:rPr>
        <w:t>122</w:t>
      </w:r>
      <w:r w:rsidR="00444155">
        <w:t xml:space="preserve">, </w:t>
      </w:r>
      <w:hyperlink r:id="rId42" w:history="1">
        <w:r w:rsidR="000A3055">
          <w:rPr>
            <w:rStyle w:val="Hyperlink"/>
          </w:rPr>
          <w:t>https://doi.org/10.1016/j.jue.2020.103298</w:t>
        </w:r>
      </w:hyperlink>
      <w:r w:rsidR="00266A74" w:rsidRPr="00266A74">
        <w:rPr>
          <w:rStyle w:val="Hyperlink"/>
          <w:color w:val="auto"/>
          <w:u w:val="none"/>
        </w:rPr>
        <w:t>;</w:t>
      </w:r>
      <w:r w:rsidR="00266A74">
        <w:t xml:space="preserve"> </w:t>
      </w:r>
      <w:r w:rsidR="005066C4" w:rsidRPr="00D455B4">
        <w:t>Mezza, A., Ringo, D., Sherlund, S., &amp; Sommer, K. (2020</w:t>
      </w:r>
      <w:r w:rsidR="00AC63B0" w:rsidRPr="00D455B4">
        <w:t>)</w:t>
      </w:r>
      <w:r w:rsidR="00AC63B0">
        <w:t>,</w:t>
      </w:r>
      <w:r w:rsidR="00AC63B0" w:rsidRPr="00D455B4">
        <w:t xml:space="preserve"> </w:t>
      </w:r>
      <w:r w:rsidR="005066C4" w:rsidRPr="00D455B4">
        <w:t xml:space="preserve">Student Loans and Homeownership. </w:t>
      </w:r>
      <w:r w:rsidR="005066C4" w:rsidRPr="00D455B4">
        <w:rPr>
          <w:i/>
          <w:iCs/>
        </w:rPr>
        <w:t>Journal of Labor Economics</w:t>
      </w:r>
      <w:r w:rsidR="005066C4" w:rsidRPr="00D455B4">
        <w:t xml:space="preserve">, </w:t>
      </w:r>
      <w:r w:rsidR="005066C4" w:rsidRPr="00D455B4">
        <w:rPr>
          <w:i/>
          <w:iCs/>
        </w:rPr>
        <w:t>38</w:t>
      </w:r>
      <w:r w:rsidR="005066C4" w:rsidRPr="00D455B4">
        <w:t xml:space="preserve">(1), 215–260. </w:t>
      </w:r>
      <w:hyperlink r:id="rId43" w:history="1">
        <w:r w:rsidR="005066C4" w:rsidRPr="00D455B4">
          <w:rPr>
            <w:color w:val="0000FF"/>
            <w:u w:val="single"/>
          </w:rPr>
          <w:t>https://doi.org/10.1086/704609</w:t>
        </w:r>
      </w:hyperlink>
      <w:r w:rsidR="00321A0D">
        <w:t xml:space="preserve">; and </w:t>
      </w:r>
      <w:r>
        <w:t>Velez, E., Cominole, M., &amp; Bentz, A.</w:t>
      </w:r>
      <w:r w:rsidR="00E63518">
        <w:t>,</w:t>
      </w:r>
      <w:r>
        <w:t xml:space="preserve"> (2019</w:t>
      </w:r>
      <w:r w:rsidR="00E63518">
        <w:t xml:space="preserve">), </w:t>
      </w:r>
      <w:r>
        <w:t>Debt burden after college: The effect of student loan debt on graduates’ employment, additional schooling, family formation, and home ownership</w:t>
      </w:r>
      <w:r w:rsidR="00E63518">
        <w:t xml:space="preserve">, </w:t>
      </w:r>
      <w:r>
        <w:rPr>
          <w:i/>
          <w:iCs/>
        </w:rPr>
        <w:t>Education Economics</w:t>
      </w:r>
      <w:r>
        <w:t xml:space="preserve">, </w:t>
      </w:r>
      <w:r>
        <w:rPr>
          <w:i/>
          <w:iCs/>
        </w:rPr>
        <w:t>27</w:t>
      </w:r>
      <w:r>
        <w:t>(2), 186–206</w:t>
      </w:r>
      <w:r w:rsidR="00E63518">
        <w:t xml:space="preserve">, </w:t>
      </w:r>
      <w:hyperlink r:id="rId44" w:history="1">
        <w:r>
          <w:rPr>
            <w:rStyle w:val="Hyperlink"/>
          </w:rPr>
          <w:t>https://doi.org/10.1080/09645292.2018.1541167</w:t>
        </w:r>
      </w:hyperlink>
      <w:r w:rsidR="00E63518">
        <w:rPr>
          <w:rStyle w:val="Hyperlink"/>
          <w:u w:val="none"/>
        </w:rPr>
        <w:t>.</w:t>
      </w:r>
    </w:p>
  </w:endnote>
  <w:endnote w:id="47">
    <w:p w14:paraId="34C46DFB" w14:textId="174E1598" w:rsidR="00717B9D" w:rsidRDefault="00717B9D">
      <w:pPr>
        <w:pStyle w:val="EndnoteText"/>
      </w:pPr>
      <w:r>
        <w:rPr>
          <w:rStyle w:val="EndnoteReference"/>
        </w:rPr>
        <w:endnoteRef/>
      </w:r>
      <w:r>
        <w:t xml:space="preserve"> Velez et al., 2019</w:t>
      </w:r>
      <w:r w:rsidR="00047E1F">
        <w:t>,</w:t>
      </w:r>
      <w:r>
        <w:t xml:space="preserve"> find</w:t>
      </w:r>
      <w:r w:rsidRPr="00A87E03">
        <w:t xml:space="preserve"> no effect of student debt on homeownership</w:t>
      </w:r>
      <w:r>
        <w:t xml:space="preserve"> with a</w:t>
      </w:r>
      <w:r w:rsidRPr="00A87E03">
        <w:t xml:space="preserve"> sample</w:t>
      </w:r>
      <w:r>
        <w:t xml:space="preserve"> </w:t>
      </w:r>
      <w:r w:rsidRPr="00A87E03">
        <w:t xml:space="preserve">limited </w:t>
      </w:r>
      <w:r>
        <w:t xml:space="preserve">only </w:t>
      </w:r>
      <w:r w:rsidRPr="00A87E03">
        <w:t xml:space="preserve">to bachelor’s degree recipients, raising questions </w:t>
      </w:r>
      <w:r w:rsidR="00E63518">
        <w:t>about</w:t>
      </w:r>
      <w:r w:rsidR="00E63518" w:rsidRPr="00A87E03">
        <w:t xml:space="preserve"> </w:t>
      </w:r>
      <w:r w:rsidRPr="00A87E03">
        <w:t>whether the negative impacts are more harmful t</w:t>
      </w:r>
      <w:r w:rsidRPr="00FD69B4">
        <w:t>o</w:t>
      </w:r>
      <w:r w:rsidRPr="00A87E03">
        <w:t xml:space="preserve"> or concentrated among non-completers.</w:t>
      </w:r>
    </w:p>
  </w:endnote>
  <w:endnote w:id="48">
    <w:p w14:paraId="1ED6AEA8" w14:textId="5B6CB0E5" w:rsidR="00E35CCE" w:rsidRPr="00E63518" w:rsidRDefault="00E35CCE" w:rsidP="007B65B8">
      <w:pPr>
        <w:pStyle w:val="References"/>
      </w:pPr>
      <w:r>
        <w:rPr>
          <w:rStyle w:val="EndnoteReference"/>
        </w:rPr>
        <w:endnoteRef/>
      </w:r>
      <w:r>
        <w:t xml:space="preserve"> Houle, J. N., &amp; Addo, F. R.</w:t>
      </w:r>
      <w:r w:rsidR="00E63518">
        <w:t>,</w:t>
      </w:r>
      <w:r>
        <w:t xml:space="preserve"> (2019</w:t>
      </w:r>
      <w:r w:rsidR="00E63518">
        <w:t xml:space="preserve">), </w:t>
      </w:r>
      <w:r>
        <w:t xml:space="preserve">Racial </w:t>
      </w:r>
      <w:r w:rsidR="00E63518">
        <w:t xml:space="preserve">disparities in student debt and the reproduction of the fragile </w:t>
      </w:r>
      <w:r>
        <w:t xml:space="preserve">Black </w:t>
      </w:r>
      <w:r w:rsidR="00E63518">
        <w:t xml:space="preserve">middle class, </w:t>
      </w:r>
      <w:r>
        <w:rPr>
          <w:i/>
          <w:iCs/>
        </w:rPr>
        <w:t>Sociology of Race and Ethnicity</w:t>
      </w:r>
      <w:r>
        <w:t xml:space="preserve">, </w:t>
      </w:r>
      <w:r>
        <w:rPr>
          <w:i/>
          <w:iCs/>
        </w:rPr>
        <w:t>5</w:t>
      </w:r>
      <w:r>
        <w:t>(4), 562–577</w:t>
      </w:r>
      <w:r w:rsidR="00E63518">
        <w:t xml:space="preserve">, </w:t>
      </w:r>
      <w:hyperlink r:id="rId45" w:history="1">
        <w:r>
          <w:rPr>
            <w:rStyle w:val="Hyperlink"/>
          </w:rPr>
          <w:t>https://doi.org/10.1177/2332649218790989</w:t>
        </w:r>
      </w:hyperlink>
      <w:r w:rsidR="00E63518">
        <w:rPr>
          <w:rStyle w:val="Hyperlink"/>
          <w:u w:val="none"/>
        </w:rPr>
        <w:t>.</w:t>
      </w:r>
    </w:p>
  </w:endnote>
  <w:endnote w:id="49">
    <w:p w14:paraId="7035346C" w14:textId="73CB1A34" w:rsidR="004E1DCC" w:rsidRDefault="004E1DCC">
      <w:pPr>
        <w:pStyle w:val="EndnoteText"/>
      </w:pPr>
      <w:r>
        <w:rPr>
          <w:rStyle w:val="EndnoteReference"/>
        </w:rPr>
        <w:endnoteRef/>
      </w:r>
      <w:r>
        <w:t xml:space="preserve"> </w:t>
      </w:r>
      <w:r w:rsidRPr="008C542A">
        <w:rPr>
          <w:i/>
          <w:iCs/>
        </w:rPr>
        <w:t>Unmet need</w:t>
      </w:r>
      <w:r>
        <w:t xml:space="preserve"> refers to the difference between students total college costs (including tuition and non-tuition expenses) and the </w:t>
      </w:r>
      <w:r w:rsidR="00FE642F">
        <w:t>grant aid and family resources available to them.</w:t>
      </w:r>
    </w:p>
  </w:endnote>
  <w:endnote w:id="50">
    <w:p w14:paraId="7C90F036" w14:textId="2F8E204C" w:rsidR="000D400B" w:rsidRDefault="000D400B" w:rsidP="000D400B">
      <w:pPr>
        <w:pStyle w:val="EndnoteText"/>
      </w:pPr>
      <w:r>
        <w:rPr>
          <w:rStyle w:val="EndnoteReference"/>
        </w:rPr>
        <w:endnoteRef/>
      </w:r>
      <w:r>
        <w:t xml:space="preserve"> </w:t>
      </w:r>
      <w:r w:rsidR="00E85C0F">
        <w:t>Table 2</w:t>
      </w:r>
      <w:r>
        <w:t xml:space="preserve"> builds on earlier research by Fenaba Addo</w:t>
      </w:r>
      <w:r w:rsidR="00503E08">
        <w:t>,</w:t>
      </w:r>
      <w:r>
        <w:t xml:space="preserve"> </w:t>
      </w:r>
      <w:r w:rsidR="00503E08">
        <w:t xml:space="preserve">who designed a data inventory identifying potential sources of wealth and college data </w:t>
      </w:r>
      <w:r>
        <w:t xml:space="preserve">on behalf of the Postsecondary Value Commission. </w:t>
      </w:r>
    </w:p>
  </w:endnote>
  <w:endnote w:id="51">
    <w:p w14:paraId="68A82D4B" w14:textId="4B055BDB" w:rsidR="00752F64" w:rsidRDefault="00752F64" w:rsidP="00752F64">
      <w:pPr>
        <w:pStyle w:val="FootnoteText"/>
      </w:pPr>
      <w:r>
        <w:rPr>
          <w:rStyle w:val="EndnoteReference"/>
        </w:rPr>
        <w:endnoteRef/>
      </w:r>
      <w:r>
        <w:t xml:space="preserve"> The B&amp;B datasets have proxy net worth indicators (B1SELLPO &amp; B2SELLPO) which ask </w:t>
      </w:r>
      <w:r w:rsidR="00503E08">
        <w:t xml:space="preserve">the </w:t>
      </w:r>
      <w:r>
        <w:t>respondent to report the</w:t>
      </w:r>
      <w:r w:rsidRPr="00CD2D70">
        <w:t xml:space="preserve"> financial result (in debt, break-even, or have money left over)</w:t>
      </w:r>
      <w:r>
        <w:t xml:space="preserve"> </w:t>
      </w:r>
      <w:r w:rsidRPr="00CD2D70">
        <w:t>if the respondent were to sell all major possessions, turn all investments and other assets into cash, and pay off all debts.</w:t>
      </w:r>
    </w:p>
  </w:endnote>
  <w:endnote w:id="52">
    <w:p w14:paraId="18B458AB" w14:textId="1519C224" w:rsidR="00FC7E1B" w:rsidRDefault="00FC7E1B">
      <w:pPr>
        <w:pStyle w:val="EndnoteText"/>
      </w:pPr>
      <w:r>
        <w:rPr>
          <w:rStyle w:val="EndnoteReference"/>
        </w:rPr>
        <w:endnoteRef/>
      </w:r>
      <w:r>
        <w:t xml:space="preserve"> The FAFSA currently requires students and families to provide the value of all real estate properties owned, outside of the primary home, including any efficiencies being rented out within the primary home.</w:t>
      </w:r>
    </w:p>
  </w:endnote>
  <w:endnote w:id="53">
    <w:p w14:paraId="18BA5EB3" w14:textId="2883C1B3" w:rsidR="001C0DBC" w:rsidRDefault="001C0DBC">
      <w:pPr>
        <w:pStyle w:val="EndnoteText"/>
      </w:pPr>
      <w:r>
        <w:rPr>
          <w:rStyle w:val="EndnoteReference"/>
        </w:rPr>
        <w:endnoteRef/>
      </w:r>
      <w:r>
        <w:t xml:space="preserve"> </w:t>
      </w:r>
      <w:r w:rsidR="005B37F6">
        <w:t>Custodial accounts include</w:t>
      </w:r>
      <w:r w:rsidR="000C5E72">
        <w:t xml:space="preserve"> those created under the</w:t>
      </w:r>
      <w:r>
        <w:t xml:space="preserve"> </w:t>
      </w:r>
      <w:r w:rsidR="00F10386">
        <w:t>UGMA and UT</w:t>
      </w:r>
      <w:r w:rsidR="00AB7A66">
        <w:t>M</w:t>
      </w:r>
      <w:r w:rsidR="00F10386">
        <w:t xml:space="preserve">A </w:t>
      </w:r>
      <w:r w:rsidR="005B37F6">
        <w:t>(</w:t>
      </w:r>
      <w:r w:rsidR="00F10386">
        <w:t>Uniform Gifts to Minors Act and Uniform Transfer</w:t>
      </w:r>
      <w:r w:rsidR="00CD5E77">
        <w:t>s</w:t>
      </w:r>
      <w:r w:rsidR="00F10386">
        <w:t xml:space="preserve"> to Minors Act, respectively</w:t>
      </w:r>
      <w:r w:rsidR="005B37F6">
        <w:t>)</w:t>
      </w:r>
      <w:r w:rsidR="00F10386">
        <w:t>.</w:t>
      </w:r>
    </w:p>
  </w:endnote>
  <w:endnote w:id="54">
    <w:p w14:paraId="18529299" w14:textId="1E47BF0A" w:rsidR="001F6B16" w:rsidRDefault="001F6B16">
      <w:pPr>
        <w:pStyle w:val="EndnoteText"/>
      </w:pPr>
      <w:r>
        <w:rPr>
          <w:rStyle w:val="EndnoteReference"/>
        </w:rPr>
        <w:endnoteRef/>
      </w:r>
      <w:r>
        <w:t xml:space="preserve"> Child support received was added as part of the 2024 FAFSA.</w:t>
      </w:r>
    </w:p>
  </w:endnote>
  <w:endnote w:id="55">
    <w:p w14:paraId="532A61F2" w14:textId="5702955C" w:rsidR="1627D681" w:rsidRDefault="1627D681" w:rsidP="1627D681">
      <w:pPr>
        <w:pStyle w:val="EndnoteText"/>
      </w:pPr>
      <w:r w:rsidRPr="1627D681">
        <w:rPr>
          <w:rStyle w:val="EndnoteReference"/>
        </w:rPr>
        <w:endnoteRef/>
      </w:r>
      <w:r>
        <w:t xml:space="preserve"> Home equity was previously incorporated in the federal financial needs formula, though it was removed in the 1992 HEA amendments.</w:t>
      </w:r>
    </w:p>
  </w:endnote>
  <w:endnote w:id="56">
    <w:p w14:paraId="2DAEDCBB" w14:textId="62E195CB" w:rsidR="00B663DE" w:rsidRDefault="00B663DE" w:rsidP="00B663DE">
      <w:pPr>
        <w:pStyle w:val="EndnoteText"/>
      </w:pPr>
      <w:r>
        <w:rPr>
          <w:rStyle w:val="EndnoteReference"/>
        </w:rPr>
        <w:endnoteRef/>
      </w:r>
      <w:r>
        <w:t xml:space="preserve"> As of the 2024</w:t>
      </w:r>
      <w:r w:rsidR="00C173EC">
        <w:t>–</w:t>
      </w:r>
      <w:r>
        <w:t>25 FAFSA, only applicants with a household income of $60,000 or higher are required to report assets. Previously, the asset reporting threshold was set at $50,000.</w:t>
      </w:r>
    </w:p>
  </w:endnote>
  <w:endnote w:id="57">
    <w:p w14:paraId="18C24867" w14:textId="119A970B" w:rsidR="00C00A3D" w:rsidRDefault="00C00A3D">
      <w:pPr>
        <w:pStyle w:val="EndnoteText"/>
      </w:pPr>
      <w:r w:rsidRPr="008E156A">
        <w:rPr>
          <w:rStyle w:val="EndnoteReference"/>
        </w:rPr>
        <w:endnoteRef/>
      </w:r>
      <w:r w:rsidRPr="008E156A">
        <w:t xml:space="preserve"> </w:t>
      </w:r>
      <w:r w:rsidR="000D59BD" w:rsidRPr="008E156A">
        <w:t xml:space="preserve">Income and wealth </w:t>
      </w:r>
      <w:r w:rsidR="00613B72" w:rsidRPr="008E156A">
        <w:t>groups are based on the tercile</w:t>
      </w:r>
      <w:r w:rsidR="00883732">
        <w:t>s</w:t>
      </w:r>
      <w:r w:rsidR="00613B72" w:rsidRPr="008E156A">
        <w:t xml:space="preserve"> the </w:t>
      </w:r>
      <w:r w:rsidR="00525FB8" w:rsidRPr="008E156A">
        <w:t>PSID-TAS respondents</w:t>
      </w:r>
      <w:r w:rsidR="00613B72" w:rsidRPr="008E156A">
        <w:t xml:space="preserve"> were in in the year they</w:t>
      </w:r>
      <w:r w:rsidR="008E156A" w:rsidRPr="008E156A">
        <w:t xml:space="preserve"> enrolled in college (or entered the PSID-TAS study</w:t>
      </w:r>
      <w:r w:rsidR="003561C8">
        <w:t>,</w:t>
      </w:r>
      <w:r w:rsidR="008E156A" w:rsidRPr="008E156A">
        <w:t xml:space="preserve"> for those who never attended college</w:t>
      </w:r>
      <w:r w:rsidR="00DD3D5C">
        <w:t>)</w:t>
      </w:r>
      <w:r w:rsidR="008E156A" w:rsidRPr="008E156A">
        <w:t>.</w:t>
      </w:r>
      <w:r w:rsidRPr="008E156A">
        <w:t xml:space="preserve"> </w:t>
      </w:r>
    </w:p>
  </w:endnote>
  <w:endnote w:id="58">
    <w:p w14:paraId="5EEC3C07" w14:textId="77777777" w:rsidR="5C1D3F98" w:rsidRDefault="5C1D3F98" w:rsidP="5C1D3F98">
      <w:pPr>
        <w:pStyle w:val="EndnoteText"/>
      </w:pPr>
      <w:r w:rsidRPr="5C1D3F98">
        <w:rPr>
          <w:rStyle w:val="EndnoteReference"/>
        </w:rPr>
        <w:endnoteRef/>
      </w:r>
      <w:r>
        <w:t xml:space="preserve"> While IHEP uses the term </w:t>
      </w:r>
      <w:r w:rsidRPr="008C542A">
        <w:rPr>
          <w:i/>
          <w:iCs/>
        </w:rPr>
        <w:t xml:space="preserve">Asian American, Native Hawaiian, Pacific Islander </w:t>
      </w:r>
      <w:r>
        <w:t>(</w:t>
      </w:r>
      <w:r w:rsidRPr="008C542A">
        <w:rPr>
          <w:i/>
          <w:iCs/>
        </w:rPr>
        <w:t>AANHPI</w:t>
      </w:r>
      <w:r>
        <w:t xml:space="preserve">), the NFCS composite race variable represents “Asian/Pacific Islander, non-Hispanic.” To remain true to the data source we use the term </w:t>
      </w:r>
      <w:r w:rsidRPr="008C542A">
        <w:rPr>
          <w:i/>
          <w:iCs/>
        </w:rPr>
        <w:t>AAPI</w:t>
      </w:r>
      <w:r>
        <w:t xml:space="preserve"> here.</w:t>
      </w:r>
    </w:p>
  </w:endnote>
  <w:endnote w:id="59">
    <w:p w14:paraId="3423ECC3" w14:textId="484D2B47" w:rsidR="00D764B6" w:rsidRPr="003561C8" w:rsidRDefault="00D764B6" w:rsidP="007B65B8">
      <w:pPr>
        <w:pStyle w:val="References"/>
        <w:rPr>
          <w:szCs w:val="24"/>
        </w:rPr>
      </w:pPr>
      <w:r>
        <w:rPr>
          <w:rStyle w:val="EndnoteReference"/>
        </w:rPr>
        <w:endnoteRef/>
      </w:r>
      <w:r>
        <w:t xml:space="preserve"> Dynarski, S., Nurshatayeva, A., Page, L. C., &amp; Scott-Clayton, J.</w:t>
      </w:r>
      <w:r w:rsidR="003561C8">
        <w:t>,</w:t>
      </w:r>
      <w:r>
        <w:t xml:space="preserve"> (2023</w:t>
      </w:r>
      <w:r w:rsidR="003561C8">
        <w:t xml:space="preserve">), </w:t>
      </w:r>
      <w:r w:rsidRPr="008C542A">
        <w:rPr>
          <w:i/>
          <w:iCs/>
        </w:rPr>
        <w:t xml:space="preserve">Addressing </w:t>
      </w:r>
      <w:r w:rsidR="003561C8" w:rsidRPr="008C542A">
        <w:rPr>
          <w:i/>
          <w:iCs/>
        </w:rPr>
        <w:t>non-financial barriers to college access and succes</w:t>
      </w:r>
      <w:r w:rsidRPr="008C542A">
        <w:rPr>
          <w:i/>
          <w:iCs/>
        </w:rPr>
        <w:t xml:space="preserve">s: Evidence and </w:t>
      </w:r>
      <w:r w:rsidR="003561C8" w:rsidRPr="008C542A">
        <w:rPr>
          <w:i/>
          <w:iCs/>
        </w:rPr>
        <w:t>policy implications</w:t>
      </w:r>
      <w:r w:rsidR="003561C8">
        <w:t xml:space="preserve">, </w:t>
      </w:r>
      <w:r w:rsidRPr="008C542A">
        <w:t>National Bureau of Economic Research</w:t>
      </w:r>
      <w:r w:rsidR="003561C8">
        <w:t xml:space="preserve">, </w:t>
      </w:r>
      <w:hyperlink r:id="rId46" w:history="1">
        <w:r>
          <w:rPr>
            <w:rStyle w:val="Hyperlink"/>
          </w:rPr>
          <w:t>http://www.nber.org/papers/w30054</w:t>
        </w:r>
      </w:hyperlink>
      <w:r w:rsidR="003561C8" w:rsidRPr="003561C8">
        <w:rPr>
          <w:rStyle w:val="Hyperlink"/>
          <w:color w:val="auto"/>
          <w:u w:val="none"/>
        </w:rPr>
        <w:t>.</w:t>
      </w:r>
    </w:p>
  </w:endnote>
  <w:endnote w:id="60">
    <w:p w14:paraId="30E721C8" w14:textId="7F61FA8F" w:rsidR="008B292B" w:rsidRDefault="008B292B">
      <w:pPr>
        <w:pStyle w:val="EndnoteText"/>
      </w:pPr>
      <w:r>
        <w:rPr>
          <w:rStyle w:val="EndnoteReference"/>
        </w:rPr>
        <w:endnoteRef/>
      </w:r>
      <w:r>
        <w:t xml:space="preserve"> </w:t>
      </w:r>
      <w:r w:rsidR="00805992">
        <w:t xml:space="preserve">Bussey, K., Dancy, K., Gray Parker, A., </w:t>
      </w:r>
      <w:r w:rsidR="000A1157">
        <w:t>Peters, E.E., and Voight, M.</w:t>
      </w:r>
      <w:r w:rsidR="00067933">
        <w:t>,</w:t>
      </w:r>
      <w:r w:rsidR="00935B38">
        <w:t xml:space="preserve"> (2021</w:t>
      </w:r>
      <w:r w:rsidR="00067933">
        <w:t xml:space="preserve">), </w:t>
      </w:r>
      <w:r w:rsidR="00721253" w:rsidRPr="008C542A">
        <w:rPr>
          <w:i/>
          <w:iCs/>
        </w:rPr>
        <w:t>The most important door that will ever open: Realizing the mission of higher education through equitable admissions policies</w:t>
      </w:r>
      <w:r w:rsidR="00765497">
        <w:t xml:space="preserve">, </w:t>
      </w:r>
      <w:r w:rsidR="00D046F7">
        <w:t>Institute for Higher Education Policy</w:t>
      </w:r>
      <w:r w:rsidR="00765497">
        <w:t xml:space="preserve">, </w:t>
      </w:r>
      <w:r w:rsidR="006325A3" w:rsidRPr="006325A3">
        <w:t>https://www.ihep.org/publication/mostimportantdoor/</w:t>
      </w:r>
    </w:p>
  </w:endnote>
  <w:endnote w:id="61">
    <w:p w14:paraId="1E610C8C" w14:textId="656EA239" w:rsidR="008A74AB" w:rsidRPr="008A74AB" w:rsidRDefault="00030E80" w:rsidP="007B65B8">
      <w:pPr>
        <w:pStyle w:val="References"/>
      </w:pPr>
      <w:r>
        <w:rPr>
          <w:rStyle w:val="EndnoteReference"/>
        </w:rPr>
        <w:endnoteRef/>
      </w:r>
      <w:r>
        <w:t xml:space="preserve"> </w:t>
      </w:r>
      <w:r w:rsidR="008548CD">
        <w:t>Gopalan, M., &amp; Brady, S. T.</w:t>
      </w:r>
      <w:r w:rsidR="00765497">
        <w:t>,</w:t>
      </w:r>
      <w:r w:rsidR="008548CD">
        <w:t xml:space="preserve"> (2020</w:t>
      </w:r>
      <w:r w:rsidR="00765497">
        <w:t xml:space="preserve">), </w:t>
      </w:r>
      <w:r w:rsidR="008548CD">
        <w:t xml:space="preserve">College </w:t>
      </w:r>
      <w:r w:rsidR="00765497">
        <w:t>students’ sense of belongin</w:t>
      </w:r>
      <w:r w:rsidR="008548CD">
        <w:t xml:space="preserve">g: A </w:t>
      </w:r>
      <w:r w:rsidR="00765497">
        <w:t xml:space="preserve">national perspective, </w:t>
      </w:r>
      <w:r w:rsidR="008548CD">
        <w:rPr>
          <w:i/>
          <w:iCs/>
        </w:rPr>
        <w:t>Educational Researcher</w:t>
      </w:r>
      <w:r w:rsidR="008548CD">
        <w:t xml:space="preserve">, </w:t>
      </w:r>
      <w:r w:rsidR="008548CD">
        <w:rPr>
          <w:i/>
          <w:iCs/>
        </w:rPr>
        <w:t>49</w:t>
      </w:r>
      <w:r w:rsidR="008548CD">
        <w:t>(2), 134–137</w:t>
      </w:r>
      <w:r w:rsidR="007A5FDB">
        <w:t xml:space="preserve">, </w:t>
      </w:r>
      <w:hyperlink r:id="rId47" w:history="1">
        <w:r w:rsidR="008548CD">
          <w:rPr>
            <w:rStyle w:val="Hyperlink"/>
          </w:rPr>
          <w:t>https://doi.org/10.3102/0013189X19897622</w:t>
        </w:r>
      </w:hyperlink>
      <w:r w:rsidR="00C173EC">
        <w:rPr>
          <w:rStyle w:val="Hyperlink"/>
          <w:color w:val="auto"/>
          <w:u w:val="none"/>
        </w:rPr>
        <w:t>;</w:t>
      </w:r>
      <w:r w:rsidR="00C173EC">
        <w:t xml:space="preserve"> </w:t>
      </w:r>
      <w:r w:rsidR="002A7098">
        <w:t>Harper, S. R., &amp; Hurtado, S.</w:t>
      </w:r>
      <w:r w:rsidR="007A5FDB">
        <w:t>,</w:t>
      </w:r>
      <w:r w:rsidR="002A7098">
        <w:t xml:space="preserve"> (2007</w:t>
      </w:r>
      <w:r w:rsidR="007A5FDB">
        <w:t xml:space="preserve">), </w:t>
      </w:r>
      <w:r w:rsidR="002A7098">
        <w:t>Nine themes in campus racial climates and implications for institutional transformation</w:t>
      </w:r>
      <w:r w:rsidR="007A5FDB">
        <w:t xml:space="preserve">, </w:t>
      </w:r>
      <w:r w:rsidR="002A7098">
        <w:rPr>
          <w:i/>
          <w:iCs/>
        </w:rPr>
        <w:t>New Directions for Student Services</w:t>
      </w:r>
      <w:r w:rsidR="002A7098">
        <w:t xml:space="preserve">, </w:t>
      </w:r>
      <w:r w:rsidR="002A7098">
        <w:rPr>
          <w:i/>
          <w:iCs/>
        </w:rPr>
        <w:t>2007</w:t>
      </w:r>
      <w:r w:rsidR="002A7098">
        <w:t>(120), 7–24</w:t>
      </w:r>
      <w:r w:rsidR="007A5FDB">
        <w:t xml:space="preserve">, </w:t>
      </w:r>
      <w:hyperlink r:id="rId48" w:history="1">
        <w:r w:rsidR="002A7098">
          <w:rPr>
            <w:rStyle w:val="Hyperlink"/>
          </w:rPr>
          <w:t>https://doi.org/10.1002/ss.254</w:t>
        </w:r>
      </w:hyperlink>
      <w:r w:rsidR="00C173EC">
        <w:rPr>
          <w:rStyle w:val="Hyperlink"/>
          <w:color w:val="auto"/>
          <w:u w:val="none"/>
        </w:rPr>
        <w:t xml:space="preserve">; </w:t>
      </w:r>
      <w:r w:rsidRPr="00030E80">
        <w:t>Hausmann, L. R. M., Ye, F., Schofield, J. W., &amp; Woods, R. L.</w:t>
      </w:r>
      <w:r w:rsidR="007A5FDB">
        <w:t>,</w:t>
      </w:r>
      <w:r w:rsidRPr="00030E80">
        <w:t xml:space="preserve"> (2009</w:t>
      </w:r>
      <w:r w:rsidR="007A5FDB" w:rsidRPr="00030E80">
        <w:t>)</w:t>
      </w:r>
      <w:r w:rsidR="007A5FDB">
        <w:t>,</w:t>
      </w:r>
      <w:r w:rsidR="007A5FDB" w:rsidRPr="00030E80">
        <w:t xml:space="preserve"> </w:t>
      </w:r>
      <w:r w:rsidRPr="00030E80">
        <w:t xml:space="preserve">Sense of </w:t>
      </w:r>
      <w:r w:rsidR="007A5FDB" w:rsidRPr="00030E80">
        <w:t xml:space="preserve">belonging and persistence in </w:t>
      </w:r>
      <w:r w:rsidRPr="00030E80">
        <w:t xml:space="preserve">White and African American </w:t>
      </w:r>
      <w:r w:rsidR="007A5FDB" w:rsidRPr="00030E80">
        <w:t>first-year students</w:t>
      </w:r>
      <w:r w:rsidR="00AB2540">
        <w:t>,</w:t>
      </w:r>
      <w:r w:rsidR="00AB2540" w:rsidRPr="00030E80">
        <w:t xml:space="preserve"> </w:t>
      </w:r>
      <w:r w:rsidRPr="008C542A">
        <w:rPr>
          <w:i/>
          <w:iCs/>
        </w:rPr>
        <w:t>Research in Higher Education</w:t>
      </w:r>
      <w:r w:rsidRPr="00030E80">
        <w:t xml:space="preserve">, </w:t>
      </w:r>
      <w:r w:rsidRPr="001A5253">
        <w:t>50</w:t>
      </w:r>
      <w:r w:rsidRPr="00030E80">
        <w:t>(7), 649–669</w:t>
      </w:r>
      <w:r w:rsidR="00AB2540">
        <w:t>,</w:t>
      </w:r>
      <w:r w:rsidR="00AB2540" w:rsidRPr="00030E80">
        <w:t xml:space="preserve"> </w:t>
      </w:r>
      <w:hyperlink r:id="rId49" w:history="1">
        <w:r w:rsidRPr="001A5253">
          <w:t>https://doi.org/10.1007/s11162-009-9137-8</w:t>
        </w:r>
      </w:hyperlink>
      <w:r w:rsidR="00C173EC">
        <w:t>;</w:t>
      </w:r>
      <w:r w:rsidR="00B1368B">
        <w:t xml:space="preserve"> and </w:t>
      </w:r>
      <w:r w:rsidR="008A74AB" w:rsidRPr="008A74AB">
        <w:t>Strayhorn, T. L.</w:t>
      </w:r>
      <w:r w:rsidR="00AB2540">
        <w:t>,</w:t>
      </w:r>
      <w:r w:rsidR="008A74AB" w:rsidRPr="008A74AB">
        <w:t xml:space="preserve"> (2008</w:t>
      </w:r>
      <w:r w:rsidR="00AB2540" w:rsidRPr="008A74AB">
        <w:t>)</w:t>
      </w:r>
      <w:r w:rsidR="00AB2540">
        <w:t>,</w:t>
      </w:r>
      <w:r w:rsidR="00AB2540" w:rsidRPr="008A74AB">
        <w:t xml:space="preserve"> </w:t>
      </w:r>
      <w:r w:rsidR="008A74AB" w:rsidRPr="008A74AB">
        <w:t xml:space="preserve">Fittin’ In: Do </w:t>
      </w:r>
      <w:r w:rsidR="00AB2540" w:rsidRPr="008A74AB">
        <w:t xml:space="preserve">diverse interactions with peers affect sense of belonging </w:t>
      </w:r>
      <w:r w:rsidR="008A74AB" w:rsidRPr="008A74AB">
        <w:t xml:space="preserve">for Black </w:t>
      </w:r>
      <w:r w:rsidR="00AB2540" w:rsidRPr="008A74AB">
        <w:t>men at predomin</w:t>
      </w:r>
      <w:r w:rsidR="008A74AB" w:rsidRPr="008A74AB">
        <w:t xml:space="preserve">antly White </w:t>
      </w:r>
      <w:r w:rsidR="00B746A9">
        <w:t>i</w:t>
      </w:r>
      <w:r w:rsidR="00B746A9" w:rsidRPr="008A74AB">
        <w:t>nstitutions</w:t>
      </w:r>
      <w:r w:rsidR="008A74AB" w:rsidRPr="008A74AB">
        <w:t xml:space="preserve">? </w:t>
      </w:r>
      <w:r w:rsidR="008A74AB" w:rsidRPr="008A74AB">
        <w:rPr>
          <w:i/>
          <w:iCs/>
        </w:rPr>
        <w:t>NASPA Journal</w:t>
      </w:r>
      <w:r w:rsidR="008A74AB" w:rsidRPr="008A74AB">
        <w:t xml:space="preserve">, </w:t>
      </w:r>
      <w:r w:rsidR="008A74AB" w:rsidRPr="008A74AB">
        <w:rPr>
          <w:i/>
          <w:iCs/>
        </w:rPr>
        <w:t>45</w:t>
      </w:r>
      <w:r w:rsidR="008A74AB" w:rsidRPr="008A74AB">
        <w:t>(4).</w:t>
      </w:r>
    </w:p>
  </w:endnote>
  <w:endnote w:id="62">
    <w:p w14:paraId="2B5AD974" w14:textId="0F4B56BB" w:rsidR="00F8456F" w:rsidRDefault="00F8456F">
      <w:pPr>
        <w:pStyle w:val="EndnoteText"/>
      </w:pPr>
      <w:r>
        <w:rPr>
          <w:rStyle w:val="EndnoteReference"/>
        </w:rPr>
        <w:endnoteRef/>
      </w:r>
      <w:r>
        <w:t xml:space="preserve"> These differences are large though not statistically significant.</w:t>
      </w:r>
    </w:p>
  </w:endnote>
  <w:endnote w:id="63">
    <w:p w14:paraId="7417AF17" w14:textId="452035AA" w:rsidR="00C56609" w:rsidRPr="003561C8" w:rsidRDefault="00C56609" w:rsidP="007B65B8">
      <w:pPr>
        <w:pStyle w:val="References"/>
        <w:rPr>
          <w:szCs w:val="24"/>
        </w:rPr>
      </w:pPr>
      <w:r>
        <w:rPr>
          <w:rStyle w:val="EndnoteReference"/>
        </w:rPr>
        <w:endnoteRef/>
      </w:r>
      <w:r>
        <w:t xml:space="preserve"> </w:t>
      </w:r>
      <w:r w:rsidR="009F34EC">
        <w:t>Houle, J. N.</w:t>
      </w:r>
      <w:r w:rsidR="00B746A9">
        <w:t>,</w:t>
      </w:r>
      <w:r w:rsidR="009F34EC">
        <w:t xml:space="preserve"> (2014</w:t>
      </w:r>
      <w:r w:rsidR="00B746A9">
        <w:t xml:space="preserve">), </w:t>
      </w:r>
      <w:r w:rsidR="009F34EC">
        <w:t xml:space="preserve">Disparities in </w:t>
      </w:r>
      <w:r w:rsidR="00B746A9">
        <w:t>debt</w:t>
      </w:r>
      <w:r w:rsidR="009F34EC">
        <w:t xml:space="preserve">: Parents’ </w:t>
      </w:r>
      <w:r w:rsidR="00B746A9">
        <w:t xml:space="preserve">socioeconomic resources and young adult student loan debt, </w:t>
      </w:r>
      <w:r w:rsidR="009F34EC">
        <w:rPr>
          <w:i/>
          <w:iCs/>
        </w:rPr>
        <w:t>Sociology of Education</w:t>
      </w:r>
      <w:r w:rsidR="009F34EC">
        <w:t xml:space="preserve">, </w:t>
      </w:r>
      <w:r w:rsidR="009F34EC">
        <w:rPr>
          <w:i/>
          <w:iCs/>
        </w:rPr>
        <w:t>87</w:t>
      </w:r>
      <w:r w:rsidR="009F34EC">
        <w:t>(1), 53–69</w:t>
      </w:r>
      <w:r w:rsidR="00B746A9">
        <w:t xml:space="preserve">, </w:t>
      </w:r>
      <w:hyperlink r:id="rId50" w:history="1">
        <w:r w:rsidR="009F34EC">
          <w:rPr>
            <w:rStyle w:val="Hyperlink"/>
          </w:rPr>
          <w:t>https://doi.org/10.1177/0038040713512213</w:t>
        </w:r>
      </w:hyperlink>
      <w:r w:rsidR="003561C8" w:rsidRPr="003561C8">
        <w:rPr>
          <w:rStyle w:val="Hyperlink"/>
          <w:color w:val="auto"/>
          <w:u w:val="none"/>
        </w:rPr>
        <w:t>.</w:t>
      </w:r>
    </w:p>
  </w:endnote>
  <w:endnote w:id="64">
    <w:p w14:paraId="78CBE6BB" w14:textId="3C512E35" w:rsidR="005E2E2B" w:rsidRPr="003561C8" w:rsidRDefault="005E2E2B" w:rsidP="007B65B8">
      <w:pPr>
        <w:pStyle w:val="References"/>
        <w:rPr>
          <w:szCs w:val="24"/>
        </w:rPr>
      </w:pPr>
      <w:r>
        <w:rPr>
          <w:rStyle w:val="EndnoteReference"/>
        </w:rPr>
        <w:endnoteRef/>
      </w:r>
      <w:r>
        <w:t xml:space="preserve"> Levine, P. B., &amp; Ritter, D.</w:t>
      </w:r>
      <w:r w:rsidR="00B746A9">
        <w:t>,</w:t>
      </w:r>
      <w:r>
        <w:t xml:space="preserve"> (2023</w:t>
      </w:r>
      <w:r w:rsidR="00B746A9">
        <w:t xml:space="preserve">), </w:t>
      </w:r>
      <w:r>
        <w:t>The racial wealth gap, financial aid, and college access</w:t>
      </w:r>
      <w:r w:rsidR="00B746A9">
        <w:t xml:space="preserve">, </w:t>
      </w:r>
      <w:r>
        <w:rPr>
          <w:i/>
          <w:iCs/>
        </w:rPr>
        <w:t>Journal of Policy Analysis and Management</w:t>
      </w:r>
      <w:r>
        <w:t>, 1–27</w:t>
      </w:r>
      <w:r w:rsidR="00B746A9">
        <w:t xml:space="preserve">, </w:t>
      </w:r>
      <w:hyperlink r:id="rId51" w:history="1">
        <w:r>
          <w:rPr>
            <w:rStyle w:val="Hyperlink"/>
          </w:rPr>
          <w:t>https://doi.org/10.1002/pam.22550</w:t>
        </w:r>
      </w:hyperlink>
      <w:r w:rsidR="003561C8" w:rsidRPr="003561C8">
        <w:rPr>
          <w:rStyle w:val="Hyperlink"/>
          <w:color w:val="auto"/>
          <w:u w:val="none"/>
        </w:rPr>
        <w:t>.</w:t>
      </w:r>
    </w:p>
  </w:endnote>
  <w:endnote w:id="65">
    <w:p w14:paraId="74911257" w14:textId="57AE7FB0" w:rsidR="00A122F0" w:rsidRDefault="00A122F0">
      <w:pPr>
        <w:pStyle w:val="EndnoteText"/>
      </w:pPr>
      <w:r>
        <w:rPr>
          <w:rStyle w:val="EndnoteReference"/>
        </w:rPr>
        <w:endnoteRef/>
      </w:r>
      <w:r>
        <w:t xml:space="preserve"> </w:t>
      </w:r>
      <w:r w:rsidR="00D251D9">
        <w:t>Murray, L., Njoku, N. &amp; Davis, R.</w:t>
      </w:r>
      <w:r w:rsidR="00B746A9">
        <w:t>,</w:t>
      </w:r>
      <w:r w:rsidR="00D251D9">
        <w:t xml:space="preserve"> (2022</w:t>
      </w:r>
      <w:r w:rsidR="00B746A9">
        <w:t xml:space="preserve">), </w:t>
      </w:r>
      <w:r w:rsidR="00D251D9" w:rsidRPr="008C542A">
        <w:rPr>
          <w:i/>
          <w:iCs/>
        </w:rPr>
        <w:t>Greater funding, greater needs: A report on funding for HBCUs</w:t>
      </w:r>
      <w:r w:rsidR="00B8379F">
        <w:t xml:space="preserve">, </w:t>
      </w:r>
      <w:r w:rsidR="00D251D9">
        <w:t>UNCF</w:t>
      </w:r>
      <w:r w:rsidR="00B8379F">
        <w:t xml:space="preserve">, </w:t>
      </w:r>
      <w:r w:rsidR="00E450DC" w:rsidRPr="00E450DC">
        <w:t>https://cdn.uncf.org/wp-content/uploads/UNCF-Patterson-HBCUs-funding-report_V6.pdf</w:t>
      </w:r>
      <w:r w:rsidR="00B746A9">
        <w:t>.</w:t>
      </w:r>
    </w:p>
  </w:endnote>
  <w:endnote w:id="66">
    <w:p w14:paraId="43298C13" w14:textId="52862292" w:rsidR="00505ACB" w:rsidRPr="00722854" w:rsidRDefault="00505ACB" w:rsidP="007B65B8">
      <w:pPr>
        <w:pStyle w:val="References"/>
      </w:pPr>
      <w:r>
        <w:rPr>
          <w:rStyle w:val="EndnoteReference"/>
        </w:rPr>
        <w:endnoteRef/>
      </w:r>
      <w:r>
        <w:t xml:space="preserve"> </w:t>
      </w:r>
      <w:r w:rsidRPr="008A131D">
        <w:t>Byon, A.</w:t>
      </w:r>
      <w:r w:rsidR="00B746A9">
        <w:t>,</w:t>
      </w:r>
      <w:r w:rsidRPr="008A131D">
        <w:t xml:space="preserve"> (2020</w:t>
      </w:r>
      <w:r w:rsidR="00B746A9" w:rsidRPr="008A131D">
        <w:t>)</w:t>
      </w:r>
      <w:r w:rsidR="00B746A9">
        <w:t>,</w:t>
      </w:r>
      <w:r w:rsidR="00B746A9" w:rsidRPr="008A131D">
        <w:t xml:space="preserve"> </w:t>
      </w:r>
      <w:r w:rsidRPr="008C542A">
        <w:rPr>
          <w:i/>
          <w:iCs/>
        </w:rPr>
        <w:t xml:space="preserve">Everyone </w:t>
      </w:r>
      <w:r w:rsidR="00B746A9" w:rsidRPr="008C542A">
        <w:rPr>
          <w:i/>
          <w:iCs/>
        </w:rPr>
        <w:t>deserves to be seen</w:t>
      </w:r>
      <w:r w:rsidRPr="008C542A">
        <w:rPr>
          <w:i/>
          <w:iCs/>
        </w:rPr>
        <w:t xml:space="preserve">: Recommendations for </w:t>
      </w:r>
      <w:r w:rsidR="00B746A9" w:rsidRPr="008C542A">
        <w:rPr>
          <w:i/>
          <w:iCs/>
        </w:rPr>
        <w:t xml:space="preserve">improved federal data </w:t>
      </w:r>
      <w:r w:rsidRPr="008C542A">
        <w:rPr>
          <w:i/>
          <w:iCs/>
        </w:rPr>
        <w:t>on Asian Americans and Pacific Islanders (AAPI</w:t>
      </w:r>
      <w:r w:rsidR="00B746A9" w:rsidRPr="008C542A">
        <w:rPr>
          <w:i/>
          <w:iCs/>
        </w:rPr>
        <w:t>)</w:t>
      </w:r>
      <w:r w:rsidR="00B746A9">
        <w:t>,</w:t>
      </w:r>
      <w:r w:rsidR="00B746A9" w:rsidRPr="008A131D">
        <w:t xml:space="preserve"> </w:t>
      </w:r>
      <w:r w:rsidRPr="008A131D">
        <w:t>Institute for Higher Education Policy; Southeast Asia Resource Action Center</w:t>
      </w:r>
      <w:r w:rsidR="00B746A9">
        <w:t xml:space="preserve">, </w:t>
      </w:r>
      <w:hyperlink r:id="rId52">
        <w:r w:rsidR="00622F0F" w:rsidRPr="1BD3C632">
          <w:rPr>
            <w:rStyle w:val="Hyperlink"/>
          </w:rPr>
          <w:t>https://www.ihep.org/publication/everyone-deserves-to-be-seen-recommendations-for-improved-federal-data-on-asian-americans-and-pacific-islanders-aapi/</w:t>
        </w:r>
      </w:hyperlink>
      <w:r w:rsidR="00622F0F" w:rsidRPr="1BD3C632">
        <w:rPr>
          <w:rFonts w:ascii="Calibri" w:eastAsia="Calibri" w:hAnsi="Calibri" w:cs="Calibri"/>
          <w:color w:val="000000" w:themeColor="text1"/>
          <w:szCs w:val="20"/>
        </w:rPr>
        <w:t xml:space="preserve"> </w:t>
      </w:r>
      <w:r w:rsidR="00B1368B">
        <w:t xml:space="preserve">; </w:t>
      </w:r>
      <w:r w:rsidR="00B1368B" w:rsidRPr="008C542A">
        <w:t xml:space="preserve">and </w:t>
      </w:r>
      <w:r w:rsidRPr="00B1368B">
        <w:t>Santos, J., &amp; Tachine, A. R.</w:t>
      </w:r>
      <w:r w:rsidR="00B746A9">
        <w:t>,</w:t>
      </w:r>
      <w:r w:rsidRPr="00B1368B">
        <w:t xml:space="preserve"> (2024</w:t>
      </w:r>
      <w:r w:rsidR="00B746A9" w:rsidRPr="00B1368B">
        <w:t>)</w:t>
      </w:r>
      <w:r w:rsidR="00B746A9">
        <w:t>,</w:t>
      </w:r>
      <w:r w:rsidR="00B746A9" w:rsidRPr="00B1368B">
        <w:t xml:space="preserve"> </w:t>
      </w:r>
      <w:r w:rsidRPr="008C542A">
        <w:rPr>
          <w:i/>
          <w:iCs/>
        </w:rPr>
        <w:t xml:space="preserve">Layers of </w:t>
      </w:r>
      <w:r w:rsidR="00B746A9" w:rsidRPr="008C542A">
        <w:rPr>
          <w:i/>
          <w:iCs/>
        </w:rPr>
        <w:t>identity</w:t>
      </w:r>
      <w:r w:rsidRPr="008C542A">
        <w:rPr>
          <w:i/>
          <w:iCs/>
        </w:rPr>
        <w:t>: Rethinking American Indian and Alaska Native data collection in higher education</w:t>
      </w:r>
      <w:r w:rsidR="00B746A9">
        <w:t>,</w:t>
      </w:r>
      <w:r w:rsidR="00B746A9" w:rsidRPr="00ED3971">
        <w:t xml:space="preserve"> </w:t>
      </w:r>
      <w:r w:rsidRPr="00ED3971">
        <w:t>Institute for Higher Education Policy</w:t>
      </w:r>
      <w:r w:rsidR="00B746A9">
        <w:t xml:space="preserve">, </w:t>
      </w:r>
      <w:hyperlink r:id="rId53" w:history="1">
        <w:r w:rsidR="00DA6497" w:rsidRPr="000536EF">
          <w:rPr>
            <w:rStyle w:val="Hyperlink"/>
            <w:rFonts w:ascii="Calibri" w:eastAsia="Calibri" w:hAnsi="Calibri" w:cs="Calibri"/>
            <w:szCs w:val="20"/>
          </w:rPr>
          <w:t>https://www.ihep.org/publication/layers-of-identity-rethinking-american-indian-alaska-native-data-collection/</w:t>
        </w:r>
      </w:hyperlink>
      <w:r w:rsidR="00DA6497" w:rsidRPr="007C021F">
        <w:rPr>
          <w:rStyle w:val="Hyperlink"/>
          <w:rFonts w:ascii="Calibri" w:eastAsia="Calibri" w:hAnsi="Calibri" w:cs="Calibri"/>
          <w:szCs w:val="20"/>
          <w:u w:val="none"/>
        </w:rPr>
        <w:t>.</w:t>
      </w:r>
    </w:p>
  </w:endnote>
  <w:endnote w:id="67">
    <w:p w14:paraId="6F365BF8" w14:textId="3EF985B1" w:rsidR="00F03378" w:rsidRPr="003561C8" w:rsidRDefault="00F03378" w:rsidP="007B65B8">
      <w:pPr>
        <w:pStyle w:val="References"/>
      </w:pPr>
      <w:r>
        <w:rPr>
          <w:rStyle w:val="EndnoteReference"/>
        </w:rPr>
        <w:endnoteRef/>
      </w:r>
      <w:r>
        <w:t xml:space="preserve"> Mottola, G. R., &amp; Kieffer, C. N.</w:t>
      </w:r>
      <w:r w:rsidR="00A34734">
        <w:t>,</w:t>
      </w:r>
      <w:r>
        <w:t xml:space="preserve"> (2017</w:t>
      </w:r>
      <w:r w:rsidR="00A34734">
        <w:t xml:space="preserve">), </w:t>
      </w:r>
      <w:r>
        <w:t xml:space="preserve">Understanding and </w:t>
      </w:r>
      <w:r w:rsidR="00A34734">
        <w:t xml:space="preserve">using data from </w:t>
      </w:r>
      <w:r>
        <w:t>the National Financial Capability Study</w:t>
      </w:r>
      <w:r w:rsidR="00A34734">
        <w:t xml:space="preserve">, </w:t>
      </w:r>
      <w:r>
        <w:rPr>
          <w:i/>
          <w:iCs/>
        </w:rPr>
        <w:t>Family and Consumer Sciences Research Journal</w:t>
      </w:r>
      <w:r>
        <w:t xml:space="preserve">, </w:t>
      </w:r>
      <w:r>
        <w:rPr>
          <w:i/>
          <w:iCs/>
        </w:rPr>
        <w:t>46</w:t>
      </w:r>
      <w:r>
        <w:t>(1), 31–39</w:t>
      </w:r>
      <w:r w:rsidR="00A34734">
        <w:t xml:space="preserve">, </w:t>
      </w:r>
      <w:hyperlink r:id="rId54" w:history="1">
        <w:r>
          <w:rPr>
            <w:rStyle w:val="Hyperlink"/>
          </w:rPr>
          <w:t>https://doi.org/10.1111/fcsr.12227</w:t>
        </w:r>
      </w:hyperlink>
      <w:r w:rsidR="003561C8">
        <w:rPr>
          <w:rStyle w:val="Hyperlink"/>
          <w:color w:val="auto"/>
          <w:u w:val="none"/>
        </w:rPr>
        <w:t>.</w:t>
      </w:r>
    </w:p>
  </w:endnote>
  <w:endnote w:id="68">
    <w:p w14:paraId="13732D9C" w14:textId="3164CA29" w:rsidR="00F03378" w:rsidRPr="00836208" w:rsidRDefault="00F03378" w:rsidP="007B65B8">
      <w:pPr>
        <w:pStyle w:val="References"/>
        <w:rPr>
          <w:color w:val="0563C1" w:themeColor="hyperlink"/>
          <w:u w:val="single"/>
        </w:rPr>
      </w:pPr>
      <w:r>
        <w:rPr>
          <w:rStyle w:val="EndnoteReference"/>
        </w:rPr>
        <w:endnoteRef/>
      </w:r>
      <w:r>
        <w:t xml:space="preserve"> NFCS 2021 State-by-State-Methodology</w:t>
      </w:r>
      <w:r w:rsidR="00A34734">
        <w:t xml:space="preserve">, </w:t>
      </w:r>
      <w:r>
        <w:t>(2022</w:t>
      </w:r>
      <w:r w:rsidR="00A34734">
        <w:t xml:space="preserve">), </w:t>
      </w:r>
      <w:r>
        <w:t xml:space="preserve">FINRA Foundation. </w:t>
      </w:r>
    </w:p>
  </w:endnote>
  <w:endnote w:id="69">
    <w:p w14:paraId="44A97E88" w14:textId="1A3C2FA2" w:rsidR="00F03378" w:rsidRDefault="00F03378" w:rsidP="00F03378">
      <w:pPr>
        <w:pStyle w:val="EndnoteText"/>
      </w:pPr>
      <w:r>
        <w:rPr>
          <w:rStyle w:val="EndnoteReference"/>
        </w:rPr>
        <w:endnoteRef/>
      </w:r>
      <w:r>
        <w:t xml:space="preserve"> We renamed the original categories for the restricted-use race variable from “White non-Hispanic</w:t>
      </w:r>
      <w:r w:rsidR="00A34734">
        <w:t>,</w:t>
      </w:r>
      <w:r>
        <w:t>” “Black non-Hispanic</w:t>
      </w:r>
      <w:r w:rsidR="00A34734">
        <w:t>,</w:t>
      </w:r>
      <w:r>
        <w:t>” “Hispanic (alone or in combination)</w:t>
      </w:r>
      <w:r w:rsidR="00A34734">
        <w:t>,</w:t>
      </w:r>
      <w:r>
        <w:t>” “Asian/Pacific Islander non-Hispanic</w:t>
      </w:r>
      <w:r w:rsidR="00A34734" w:rsidRPr="00F12147">
        <w:t>,</w:t>
      </w:r>
      <w:r w:rsidRPr="00F12147">
        <w:t>” “</w:t>
      </w:r>
      <w:r>
        <w:t xml:space="preserve">Other non-Hispanic </w:t>
      </w:r>
      <w:r w:rsidRPr="006D4D9A">
        <w:t>(American Indian, Other, 2+ ethnicities)</w:t>
      </w:r>
      <w:r w:rsidR="00100FF3">
        <w:t>”</w:t>
      </w:r>
      <w:r w:rsidR="00926FD8">
        <w:t xml:space="preserve"> to “White”, “Black”, “Latinx”, “Asian/Pacific Islander”, and “Another race</w:t>
      </w:r>
      <w:r w:rsidR="00211785">
        <w:t>,</w:t>
      </w:r>
      <w:r w:rsidR="00926FD8">
        <w:t>”</w:t>
      </w:r>
      <w:r w:rsidR="00211785">
        <w:t xml:space="preserve"> respectively.</w:t>
      </w:r>
      <w:r w:rsidR="00926FD8">
        <w:t xml:space="preserve"> </w:t>
      </w:r>
    </w:p>
  </w:endnote>
  <w:endnote w:id="70">
    <w:p w14:paraId="5C9039C0" w14:textId="30021B98" w:rsidR="00080DD5" w:rsidRDefault="00080DD5" w:rsidP="00080DD5">
      <w:pPr>
        <w:pStyle w:val="FootnoteText"/>
      </w:pPr>
      <w:r>
        <w:rPr>
          <w:rStyle w:val="EndnoteReference"/>
        </w:rPr>
        <w:endnoteRef/>
      </w:r>
      <w:r>
        <w:t xml:space="preserve"> This individual is known as the </w:t>
      </w:r>
      <w:r w:rsidRPr="0080714F">
        <w:rPr>
          <w:i/>
          <w:iCs/>
        </w:rPr>
        <w:t>reference person</w:t>
      </w:r>
      <w:r w:rsidR="00100FF3">
        <w:t>,</w:t>
      </w:r>
      <w:r>
        <w:rPr>
          <w:i/>
          <w:iCs/>
        </w:rPr>
        <w:t xml:space="preserve"> </w:t>
      </w:r>
      <w:r>
        <w:t>as of 2017</w:t>
      </w:r>
      <w:r w:rsidR="00C66908">
        <w:t>; previously,</w:t>
      </w:r>
      <w:r w:rsidR="00BF64F3">
        <w:t xml:space="preserve"> this person was</w:t>
      </w:r>
      <w:r>
        <w:t xml:space="preserve"> </w:t>
      </w:r>
      <w:r>
        <w:rPr>
          <w:i/>
          <w:iCs/>
        </w:rPr>
        <w:t xml:space="preserve">head </w:t>
      </w:r>
      <w:r>
        <w:t>[of household].</w:t>
      </w:r>
    </w:p>
  </w:endnote>
  <w:endnote w:id="71">
    <w:p w14:paraId="2774126D" w14:textId="4C76B1BE" w:rsidR="00296473" w:rsidRDefault="00296473" w:rsidP="00F55525">
      <w:pPr>
        <w:pStyle w:val="FootnoteText"/>
      </w:pPr>
      <w:r>
        <w:rPr>
          <w:rStyle w:val="EndnoteReference"/>
        </w:rPr>
        <w:endnoteRef/>
      </w:r>
      <w:r>
        <w:t xml:space="preserve"> The PSID provides two versions of net worth, one excluding and one including home equity. As </w:t>
      </w:r>
      <w:r w:rsidR="00EB28AC">
        <w:t>we wanted to</w:t>
      </w:r>
      <w:r>
        <w:t xml:space="preserve"> us</w:t>
      </w:r>
      <w:r w:rsidR="00EB28AC">
        <w:t>e</w:t>
      </w:r>
      <w:r>
        <w:t xml:space="preserve"> the most comprehensive data available, </w:t>
      </w:r>
      <w:r w:rsidR="00803A58">
        <w:t xml:space="preserve">we rely on </w:t>
      </w:r>
      <w:r>
        <w:t xml:space="preserve">the net worth variable </w:t>
      </w:r>
      <w:r w:rsidR="00803A58">
        <w:t>that</w:t>
      </w:r>
      <w:r>
        <w:t xml:space="preserve"> includes home equity.</w:t>
      </w:r>
    </w:p>
  </w:endnote>
  <w:endnote w:id="72">
    <w:p w14:paraId="36B064FD" w14:textId="008DAC01" w:rsidR="00296473" w:rsidRDefault="00296473" w:rsidP="00F55525">
      <w:pPr>
        <w:pStyle w:val="FootnoteText"/>
      </w:pPr>
      <w:r>
        <w:rPr>
          <w:rStyle w:val="EndnoteReference"/>
        </w:rPr>
        <w:endnoteRef/>
      </w:r>
      <w:r>
        <w:t xml:space="preserve"> PSID assets include farm/business value, total checking/savings money market accounts, CDs/government bonds and treasury bills, total real estate worth, total value of all vehicles, total of any other savings or assets, total of money held in private annuities or IRAs, and home equity value.</w:t>
      </w:r>
    </w:p>
  </w:endnote>
  <w:endnote w:id="73">
    <w:p w14:paraId="16364F92" w14:textId="560C5E01" w:rsidR="00296473" w:rsidRDefault="00296473">
      <w:pPr>
        <w:pStyle w:val="EndnoteText"/>
      </w:pPr>
      <w:r>
        <w:rPr>
          <w:rStyle w:val="EndnoteReference"/>
        </w:rPr>
        <w:endnoteRef/>
      </w:r>
      <w:r>
        <w:t xml:space="preserve"> PSID debts and liabilities include debts on farm</w:t>
      </w:r>
      <w:r w:rsidR="004264BA">
        <w:t>s</w:t>
      </w:r>
      <w:r>
        <w:t>/businesses, debt owed on real estate, total of credit cards and store cards, total student loan debt, total medical debt, total legal debt, total of loans from relatives for living family members, and total of all other debt.</w:t>
      </w:r>
    </w:p>
  </w:endnote>
  <w:endnote w:id="74">
    <w:p w14:paraId="700D4947" w14:textId="3B90B106" w:rsidR="005D3D4C" w:rsidRDefault="005D3D4C" w:rsidP="005D3D4C">
      <w:pPr>
        <w:pStyle w:val="FootnoteText"/>
      </w:pPr>
      <w:r>
        <w:rPr>
          <w:rStyle w:val="EndnoteReference"/>
        </w:rPr>
        <w:endnoteRef/>
      </w:r>
      <w:r>
        <w:t xml:space="preserve"> Prior to the 2017 PSID-TAS, race and ethnicity </w:t>
      </w:r>
      <w:r w:rsidR="00BA30D6">
        <w:t xml:space="preserve">questions </w:t>
      </w:r>
      <w:r>
        <w:t>permitted respondents to report only up to three racial categories.</w:t>
      </w:r>
    </w:p>
  </w:endnote>
  <w:endnote w:id="75">
    <w:p w14:paraId="704A8ECE" w14:textId="337F3CAF" w:rsidR="00771F45" w:rsidRDefault="00771F45">
      <w:pPr>
        <w:pStyle w:val="EndnoteText"/>
      </w:pPr>
      <w:r>
        <w:rPr>
          <w:rStyle w:val="EndnoteReference"/>
        </w:rPr>
        <w:endnoteRef/>
      </w:r>
      <w:r>
        <w:t xml:space="preserve"> Our borrowing outcome relies upon aggregating responses to questions on whether the student “currently has any student loan debt.” Therefore, this measure may be conservative </w:t>
      </w:r>
      <w:r w:rsidR="0066242B">
        <w:t xml:space="preserve">in instances where students take on and pay back a </w:t>
      </w:r>
      <w:r w:rsidR="00E14FFD">
        <w:t>student loan</w:t>
      </w:r>
      <w:r w:rsidR="0066242B">
        <w:t xml:space="preserve"> between waves </w:t>
      </w:r>
      <w:r>
        <w:t>and subsequently report “not currently holding student debt</w:t>
      </w:r>
      <w:r w:rsidR="00B1368B">
        <w:t>.</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2220331"/>
      <w:docPartObj>
        <w:docPartGallery w:val="Page Numbers (Bottom of Page)"/>
        <w:docPartUnique/>
      </w:docPartObj>
    </w:sdtPr>
    <w:sdtEndPr>
      <w:rPr>
        <w:noProof/>
      </w:rPr>
    </w:sdtEndPr>
    <w:sdtContent>
      <w:p w14:paraId="0AEC452F" w14:textId="53515317" w:rsidR="00054C66" w:rsidRDefault="00054C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E99C52" w14:textId="77777777" w:rsidR="00054C66" w:rsidRDefault="00054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FACCF" w14:textId="77777777" w:rsidR="00E543F9" w:rsidRDefault="00E543F9" w:rsidP="007861D0">
      <w:r>
        <w:separator/>
      </w:r>
    </w:p>
  </w:footnote>
  <w:footnote w:type="continuationSeparator" w:id="0">
    <w:p w14:paraId="1ABC093B" w14:textId="77777777" w:rsidR="00E543F9" w:rsidRDefault="00E543F9" w:rsidP="007861D0">
      <w:r>
        <w:continuationSeparator/>
      </w:r>
    </w:p>
  </w:footnote>
  <w:footnote w:type="continuationNotice" w:id="1">
    <w:p w14:paraId="2E1434CE" w14:textId="77777777" w:rsidR="00E543F9" w:rsidRDefault="00E543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89819040"/>
      <w:docPartObj>
        <w:docPartGallery w:val="Page Numbers (Top of Page)"/>
        <w:docPartUnique/>
      </w:docPartObj>
    </w:sdtPr>
    <w:sdtContent>
      <w:p w14:paraId="0F052213" w14:textId="642948D2" w:rsidR="004570B5" w:rsidRDefault="004570B5" w:rsidP="00D86FF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272D8">
          <w:rPr>
            <w:rStyle w:val="PageNumber"/>
            <w:noProof/>
          </w:rPr>
          <w:t>18</w:t>
        </w:r>
        <w:r>
          <w:rPr>
            <w:rStyle w:val="PageNumber"/>
          </w:rPr>
          <w:fldChar w:fldCharType="end"/>
        </w:r>
      </w:p>
    </w:sdtContent>
  </w:sdt>
  <w:p w14:paraId="27AF66BD" w14:textId="77777777" w:rsidR="004570B5" w:rsidRDefault="004570B5" w:rsidP="004570B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13878135"/>
      <w:docPartObj>
        <w:docPartGallery w:val="Page Numbers (Top of Page)"/>
        <w:docPartUnique/>
      </w:docPartObj>
    </w:sdtPr>
    <w:sdtContent>
      <w:p w14:paraId="5C7544F9" w14:textId="6DB74536" w:rsidR="004570B5" w:rsidRDefault="004570B5" w:rsidP="00D86FF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AF10C65" w14:textId="77777777" w:rsidR="004570B5" w:rsidRDefault="004570B5" w:rsidP="004570B5">
    <w:pPr>
      <w:pStyle w:val="Header"/>
      <w:ind w:right="360"/>
    </w:pPr>
  </w:p>
</w:hdr>
</file>

<file path=word/intelligence2.xml><?xml version="1.0" encoding="utf-8"?>
<int2:intelligence xmlns:int2="http://schemas.microsoft.com/office/intelligence/2020/intelligence" xmlns:oel="http://schemas.microsoft.com/office/2019/extlst">
  <int2:observations>
    <int2:textHash int2:hashCode="YwL6FPuwxnkr4X" int2:id="Tc0RPCS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ACDD0"/>
    <w:multiLevelType w:val="hybridMultilevel"/>
    <w:tmpl w:val="FFFFFFFF"/>
    <w:lvl w:ilvl="0" w:tplc="4208C2D8">
      <w:start w:val="1"/>
      <w:numFmt w:val="bullet"/>
      <w:lvlText w:val=""/>
      <w:lvlJc w:val="left"/>
      <w:pPr>
        <w:ind w:left="720" w:hanging="360"/>
      </w:pPr>
      <w:rPr>
        <w:rFonts w:ascii="Symbol" w:hAnsi="Symbol" w:hint="default"/>
      </w:rPr>
    </w:lvl>
    <w:lvl w:ilvl="1" w:tplc="5A9C782A">
      <w:start w:val="1"/>
      <w:numFmt w:val="bullet"/>
      <w:lvlText w:val="o"/>
      <w:lvlJc w:val="left"/>
      <w:pPr>
        <w:ind w:left="1440" w:hanging="360"/>
      </w:pPr>
      <w:rPr>
        <w:rFonts w:ascii="Courier New" w:hAnsi="Courier New" w:hint="default"/>
      </w:rPr>
    </w:lvl>
    <w:lvl w:ilvl="2" w:tplc="4444684A">
      <w:start w:val="1"/>
      <w:numFmt w:val="bullet"/>
      <w:lvlText w:val=""/>
      <w:lvlJc w:val="left"/>
      <w:pPr>
        <w:ind w:left="2160" w:hanging="360"/>
      </w:pPr>
      <w:rPr>
        <w:rFonts w:ascii="Wingdings" w:hAnsi="Wingdings" w:hint="default"/>
      </w:rPr>
    </w:lvl>
    <w:lvl w:ilvl="3" w:tplc="415CF80A">
      <w:start w:val="1"/>
      <w:numFmt w:val="bullet"/>
      <w:lvlText w:val=""/>
      <w:lvlJc w:val="left"/>
      <w:pPr>
        <w:ind w:left="2880" w:hanging="360"/>
      </w:pPr>
      <w:rPr>
        <w:rFonts w:ascii="Symbol" w:hAnsi="Symbol" w:hint="default"/>
      </w:rPr>
    </w:lvl>
    <w:lvl w:ilvl="4" w:tplc="42C84908">
      <w:start w:val="1"/>
      <w:numFmt w:val="bullet"/>
      <w:lvlText w:val="o"/>
      <w:lvlJc w:val="left"/>
      <w:pPr>
        <w:ind w:left="3600" w:hanging="360"/>
      </w:pPr>
      <w:rPr>
        <w:rFonts w:ascii="Courier New" w:hAnsi="Courier New" w:hint="default"/>
      </w:rPr>
    </w:lvl>
    <w:lvl w:ilvl="5" w:tplc="0CB25888">
      <w:start w:val="1"/>
      <w:numFmt w:val="bullet"/>
      <w:lvlText w:val=""/>
      <w:lvlJc w:val="left"/>
      <w:pPr>
        <w:ind w:left="4320" w:hanging="360"/>
      </w:pPr>
      <w:rPr>
        <w:rFonts w:ascii="Wingdings" w:hAnsi="Wingdings" w:hint="default"/>
      </w:rPr>
    </w:lvl>
    <w:lvl w:ilvl="6" w:tplc="B1EC1AD8">
      <w:start w:val="1"/>
      <w:numFmt w:val="bullet"/>
      <w:lvlText w:val=""/>
      <w:lvlJc w:val="left"/>
      <w:pPr>
        <w:ind w:left="5040" w:hanging="360"/>
      </w:pPr>
      <w:rPr>
        <w:rFonts w:ascii="Symbol" w:hAnsi="Symbol" w:hint="default"/>
      </w:rPr>
    </w:lvl>
    <w:lvl w:ilvl="7" w:tplc="13E2386E">
      <w:start w:val="1"/>
      <w:numFmt w:val="bullet"/>
      <w:lvlText w:val="o"/>
      <w:lvlJc w:val="left"/>
      <w:pPr>
        <w:ind w:left="5760" w:hanging="360"/>
      </w:pPr>
      <w:rPr>
        <w:rFonts w:ascii="Courier New" w:hAnsi="Courier New" w:hint="default"/>
      </w:rPr>
    </w:lvl>
    <w:lvl w:ilvl="8" w:tplc="44B6504C">
      <w:start w:val="1"/>
      <w:numFmt w:val="bullet"/>
      <w:lvlText w:val=""/>
      <w:lvlJc w:val="left"/>
      <w:pPr>
        <w:ind w:left="6480" w:hanging="360"/>
      </w:pPr>
      <w:rPr>
        <w:rFonts w:ascii="Wingdings" w:hAnsi="Wingdings" w:hint="default"/>
      </w:rPr>
    </w:lvl>
  </w:abstractNum>
  <w:abstractNum w:abstractNumId="1" w15:restartNumberingAfterBreak="0">
    <w:nsid w:val="272E91AA"/>
    <w:multiLevelType w:val="hybridMultilevel"/>
    <w:tmpl w:val="45CACF8C"/>
    <w:lvl w:ilvl="0" w:tplc="DA545EFE">
      <w:start w:val="1"/>
      <w:numFmt w:val="bullet"/>
      <w:lvlText w:val="·"/>
      <w:lvlJc w:val="left"/>
      <w:pPr>
        <w:ind w:left="720" w:hanging="360"/>
      </w:pPr>
      <w:rPr>
        <w:rFonts w:ascii="Symbol" w:hAnsi="Symbol" w:hint="default"/>
      </w:rPr>
    </w:lvl>
    <w:lvl w:ilvl="1" w:tplc="A70ACD4C">
      <w:start w:val="1"/>
      <w:numFmt w:val="bullet"/>
      <w:lvlText w:val="o"/>
      <w:lvlJc w:val="left"/>
      <w:pPr>
        <w:ind w:left="1440" w:hanging="360"/>
      </w:pPr>
      <w:rPr>
        <w:rFonts w:ascii="Courier New" w:hAnsi="Courier New" w:hint="default"/>
      </w:rPr>
    </w:lvl>
    <w:lvl w:ilvl="2" w:tplc="6C9AE89A">
      <w:start w:val="1"/>
      <w:numFmt w:val="bullet"/>
      <w:lvlText w:val=""/>
      <w:lvlJc w:val="left"/>
      <w:pPr>
        <w:ind w:left="2160" w:hanging="360"/>
      </w:pPr>
      <w:rPr>
        <w:rFonts w:ascii="Wingdings" w:hAnsi="Wingdings" w:hint="default"/>
      </w:rPr>
    </w:lvl>
    <w:lvl w:ilvl="3" w:tplc="F91EAF58">
      <w:start w:val="1"/>
      <w:numFmt w:val="bullet"/>
      <w:lvlText w:val=""/>
      <w:lvlJc w:val="left"/>
      <w:pPr>
        <w:ind w:left="2880" w:hanging="360"/>
      </w:pPr>
      <w:rPr>
        <w:rFonts w:ascii="Symbol" w:hAnsi="Symbol" w:hint="default"/>
      </w:rPr>
    </w:lvl>
    <w:lvl w:ilvl="4" w:tplc="70889EC8">
      <w:start w:val="1"/>
      <w:numFmt w:val="bullet"/>
      <w:lvlText w:val="o"/>
      <w:lvlJc w:val="left"/>
      <w:pPr>
        <w:ind w:left="3600" w:hanging="360"/>
      </w:pPr>
      <w:rPr>
        <w:rFonts w:ascii="Courier New" w:hAnsi="Courier New" w:hint="default"/>
      </w:rPr>
    </w:lvl>
    <w:lvl w:ilvl="5" w:tplc="0464D6FA">
      <w:start w:val="1"/>
      <w:numFmt w:val="bullet"/>
      <w:lvlText w:val=""/>
      <w:lvlJc w:val="left"/>
      <w:pPr>
        <w:ind w:left="4320" w:hanging="360"/>
      </w:pPr>
      <w:rPr>
        <w:rFonts w:ascii="Wingdings" w:hAnsi="Wingdings" w:hint="default"/>
      </w:rPr>
    </w:lvl>
    <w:lvl w:ilvl="6" w:tplc="DFCE6676">
      <w:start w:val="1"/>
      <w:numFmt w:val="bullet"/>
      <w:lvlText w:val=""/>
      <w:lvlJc w:val="left"/>
      <w:pPr>
        <w:ind w:left="5040" w:hanging="360"/>
      </w:pPr>
      <w:rPr>
        <w:rFonts w:ascii="Symbol" w:hAnsi="Symbol" w:hint="default"/>
      </w:rPr>
    </w:lvl>
    <w:lvl w:ilvl="7" w:tplc="31E6C4F4">
      <w:start w:val="1"/>
      <w:numFmt w:val="bullet"/>
      <w:lvlText w:val="o"/>
      <w:lvlJc w:val="left"/>
      <w:pPr>
        <w:ind w:left="5760" w:hanging="360"/>
      </w:pPr>
      <w:rPr>
        <w:rFonts w:ascii="Courier New" w:hAnsi="Courier New" w:hint="default"/>
      </w:rPr>
    </w:lvl>
    <w:lvl w:ilvl="8" w:tplc="5E6840EE">
      <w:start w:val="1"/>
      <w:numFmt w:val="bullet"/>
      <w:lvlText w:val=""/>
      <w:lvlJc w:val="left"/>
      <w:pPr>
        <w:ind w:left="6480" w:hanging="360"/>
      </w:pPr>
      <w:rPr>
        <w:rFonts w:ascii="Wingdings" w:hAnsi="Wingdings" w:hint="default"/>
      </w:rPr>
    </w:lvl>
  </w:abstractNum>
  <w:abstractNum w:abstractNumId="2" w15:restartNumberingAfterBreak="0">
    <w:nsid w:val="302657EF"/>
    <w:multiLevelType w:val="hybridMultilevel"/>
    <w:tmpl w:val="15DC1DD4"/>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45E330C"/>
    <w:multiLevelType w:val="hybridMultilevel"/>
    <w:tmpl w:val="115A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0647A2"/>
    <w:multiLevelType w:val="hybridMultilevel"/>
    <w:tmpl w:val="C916F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85194"/>
    <w:multiLevelType w:val="hybridMultilevel"/>
    <w:tmpl w:val="E5488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B03D9"/>
    <w:multiLevelType w:val="hybridMultilevel"/>
    <w:tmpl w:val="2DB4BE4C"/>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5CF6A13"/>
    <w:multiLevelType w:val="hybridMultilevel"/>
    <w:tmpl w:val="28F830A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49910F86"/>
    <w:multiLevelType w:val="hybridMultilevel"/>
    <w:tmpl w:val="56928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AE69E7"/>
    <w:multiLevelType w:val="hybridMultilevel"/>
    <w:tmpl w:val="959E380A"/>
    <w:lvl w:ilvl="0" w:tplc="29D8C4BC">
      <w:start w:val="1"/>
      <w:numFmt w:val="bullet"/>
      <w:lvlText w:val="·"/>
      <w:lvlJc w:val="left"/>
      <w:pPr>
        <w:ind w:left="720" w:hanging="360"/>
      </w:pPr>
      <w:rPr>
        <w:rFonts w:ascii="Symbol" w:hAnsi="Symbol" w:hint="default"/>
      </w:rPr>
    </w:lvl>
    <w:lvl w:ilvl="1" w:tplc="1630AD6E">
      <w:start w:val="1"/>
      <w:numFmt w:val="bullet"/>
      <w:lvlText w:val="o"/>
      <w:lvlJc w:val="left"/>
      <w:pPr>
        <w:ind w:left="1440" w:hanging="360"/>
      </w:pPr>
      <w:rPr>
        <w:rFonts w:ascii="Courier New" w:hAnsi="Courier New" w:hint="default"/>
      </w:rPr>
    </w:lvl>
    <w:lvl w:ilvl="2" w:tplc="FF4C941A">
      <w:start w:val="1"/>
      <w:numFmt w:val="bullet"/>
      <w:lvlText w:val=""/>
      <w:lvlJc w:val="left"/>
      <w:pPr>
        <w:ind w:left="2160" w:hanging="360"/>
      </w:pPr>
      <w:rPr>
        <w:rFonts w:ascii="Wingdings" w:hAnsi="Wingdings" w:hint="default"/>
      </w:rPr>
    </w:lvl>
    <w:lvl w:ilvl="3" w:tplc="12746DC0">
      <w:start w:val="1"/>
      <w:numFmt w:val="bullet"/>
      <w:lvlText w:val=""/>
      <w:lvlJc w:val="left"/>
      <w:pPr>
        <w:ind w:left="2880" w:hanging="360"/>
      </w:pPr>
      <w:rPr>
        <w:rFonts w:ascii="Symbol" w:hAnsi="Symbol" w:hint="default"/>
      </w:rPr>
    </w:lvl>
    <w:lvl w:ilvl="4" w:tplc="FAC85CD2">
      <w:start w:val="1"/>
      <w:numFmt w:val="bullet"/>
      <w:lvlText w:val="o"/>
      <w:lvlJc w:val="left"/>
      <w:pPr>
        <w:ind w:left="3600" w:hanging="360"/>
      </w:pPr>
      <w:rPr>
        <w:rFonts w:ascii="Courier New" w:hAnsi="Courier New" w:hint="default"/>
      </w:rPr>
    </w:lvl>
    <w:lvl w:ilvl="5" w:tplc="78D27EC2">
      <w:start w:val="1"/>
      <w:numFmt w:val="bullet"/>
      <w:lvlText w:val=""/>
      <w:lvlJc w:val="left"/>
      <w:pPr>
        <w:ind w:left="4320" w:hanging="360"/>
      </w:pPr>
      <w:rPr>
        <w:rFonts w:ascii="Wingdings" w:hAnsi="Wingdings" w:hint="default"/>
      </w:rPr>
    </w:lvl>
    <w:lvl w:ilvl="6" w:tplc="474ED08A">
      <w:start w:val="1"/>
      <w:numFmt w:val="bullet"/>
      <w:lvlText w:val=""/>
      <w:lvlJc w:val="left"/>
      <w:pPr>
        <w:ind w:left="5040" w:hanging="360"/>
      </w:pPr>
      <w:rPr>
        <w:rFonts w:ascii="Symbol" w:hAnsi="Symbol" w:hint="default"/>
      </w:rPr>
    </w:lvl>
    <w:lvl w:ilvl="7" w:tplc="F78086FA">
      <w:start w:val="1"/>
      <w:numFmt w:val="bullet"/>
      <w:lvlText w:val="o"/>
      <w:lvlJc w:val="left"/>
      <w:pPr>
        <w:ind w:left="5760" w:hanging="360"/>
      </w:pPr>
      <w:rPr>
        <w:rFonts w:ascii="Courier New" w:hAnsi="Courier New" w:hint="default"/>
      </w:rPr>
    </w:lvl>
    <w:lvl w:ilvl="8" w:tplc="B0621E38">
      <w:start w:val="1"/>
      <w:numFmt w:val="bullet"/>
      <w:lvlText w:val=""/>
      <w:lvlJc w:val="left"/>
      <w:pPr>
        <w:ind w:left="6480" w:hanging="360"/>
      </w:pPr>
      <w:rPr>
        <w:rFonts w:ascii="Wingdings" w:hAnsi="Wingdings" w:hint="default"/>
      </w:rPr>
    </w:lvl>
  </w:abstractNum>
  <w:abstractNum w:abstractNumId="10" w15:restartNumberingAfterBreak="0">
    <w:nsid w:val="53024B23"/>
    <w:multiLevelType w:val="hybridMultilevel"/>
    <w:tmpl w:val="5FA80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D40823"/>
    <w:multiLevelType w:val="hybridMultilevel"/>
    <w:tmpl w:val="73DC3124"/>
    <w:lvl w:ilvl="0" w:tplc="04090003">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61F7BE8"/>
    <w:multiLevelType w:val="hybridMultilevel"/>
    <w:tmpl w:val="823EE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2778FD"/>
    <w:multiLevelType w:val="multilevel"/>
    <w:tmpl w:val="D6FE6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A439A5"/>
    <w:multiLevelType w:val="hybridMultilevel"/>
    <w:tmpl w:val="A1887A12"/>
    <w:lvl w:ilvl="0" w:tplc="85B032A4">
      <w:start w:val="1"/>
      <w:numFmt w:val="bullet"/>
      <w:lvlText w:val="·"/>
      <w:lvlJc w:val="left"/>
      <w:pPr>
        <w:ind w:left="720" w:hanging="360"/>
      </w:pPr>
      <w:rPr>
        <w:rFonts w:ascii="Symbol" w:hAnsi="Symbol" w:hint="default"/>
      </w:rPr>
    </w:lvl>
    <w:lvl w:ilvl="1" w:tplc="23B6728E">
      <w:start w:val="1"/>
      <w:numFmt w:val="bullet"/>
      <w:lvlText w:val="o"/>
      <w:lvlJc w:val="left"/>
      <w:pPr>
        <w:ind w:left="1440" w:hanging="360"/>
      </w:pPr>
      <w:rPr>
        <w:rFonts w:ascii="Courier New" w:hAnsi="Courier New" w:hint="default"/>
      </w:rPr>
    </w:lvl>
    <w:lvl w:ilvl="2" w:tplc="3F7007C0">
      <w:start w:val="1"/>
      <w:numFmt w:val="bullet"/>
      <w:lvlText w:val=""/>
      <w:lvlJc w:val="left"/>
      <w:pPr>
        <w:ind w:left="2160" w:hanging="360"/>
      </w:pPr>
      <w:rPr>
        <w:rFonts w:ascii="Wingdings" w:hAnsi="Wingdings" w:hint="default"/>
      </w:rPr>
    </w:lvl>
    <w:lvl w:ilvl="3" w:tplc="AD8C73E8">
      <w:start w:val="1"/>
      <w:numFmt w:val="bullet"/>
      <w:lvlText w:val=""/>
      <w:lvlJc w:val="left"/>
      <w:pPr>
        <w:ind w:left="2880" w:hanging="360"/>
      </w:pPr>
      <w:rPr>
        <w:rFonts w:ascii="Symbol" w:hAnsi="Symbol" w:hint="default"/>
      </w:rPr>
    </w:lvl>
    <w:lvl w:ilvl="4" w:tplc="21422900">
      <w:start w:val="1"/>
      <w:numFmt w:val="bullet"/>
      <w:lvlText w:val="o"/>
      <w:lvlJc w:val="left"/>
      <w:pPr>
        <w:ind w:left="3600" w:hanging="360"/>
      </w:pPr>
      <w:rPr>
        <w:rFonts w:ascii="Courier New" w:hAnsi="Courier New" w:hint="default"/>
      </w:rPr>
    </w:lvl>
    <w:lvl w:ilvl="5" w:tplc="3B549806">
      <w:start w:val="1"/>
      <w:numFmt w:val="bullet"/>
      <w:lvlText w:val=""/>
      <w:lvlJc w:val="left"/>
      <w:pPr>
        <w:ind w:left="4320" w:hanging="360"/>
      </w:pPr>
      <w:rPr>
        <w:rFonts w:ascii="Wingdings" w:hAnsi="Wingdings" w:hint="default"/>
      </w:rPr>
    </w:lvl>
    <w:lvl w:ilvl="6" w:tplc="AEAECC88">
      <w:start w:val="1"/>
      <w:numFmt w:val="bullet"/>
      <w:lvlText w:val=""/>
      <w:lvlJc w:val="left"/>
      <w:pPr>
        <w:ind w:left="5040" w:hanging="360"/>
      </w:pPr>
      <w:rPr>
        <w:rFonts w:ascii="Symbol" w:hAnsi="Symbol" w:hint="default"/>
      </w:rPr>
    </w:lvl>
    <w:lvl w:ilvl="7" w:tplc="2744B9C6">
      <w:start w:val="1"/>
      <w:numFmt w:val="bullet"/>
      <w:lvlText w:val="o"/>
      <w:lvlJc w:val="left"/>
      <w:pPr>
        <w:ind w:left="5760" w:hanging="360"/>
      </w:pPr>
      <w:rPr>
        <w:rFonts w:ascii="Courier New" w:hAnsi="Courier New" w:hint="default"/>
      </w:rPr>
    </w:lvl>
    <w:lvl w:ilvl="8" w:tplc="8B56D60E">
      <w:start w:val="1"/>
      <w:numFmt w:val="bullet"/>
      <w:lvlText w:val=""/>
      <w:lvlJc w:val="left"/>
      <w:pPr>
        <w:ind w:left="6480" w:hanging="360"/>
      </w:pPr>
      <w:rPr>
        <w:rFonts w:ascii="Wingdings" w:hAnsi="Wingdings" w:hint="default"/>
      </w:rPr>
    </w:lvl>
  </w:abstractNum>
  <w:abstractNum w:abstractNumId="15" w15:restartNumberingAfterBreak="0">
    <w:nsid w:val="6F9448E4"/>
    <w:multiLevelType w:val="multilevel"/>
    <w:tmpl w:val="6A6E8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DD7F88"/>
    <w:multiLevelType w:val="hybridMultilevel"/>
    <w:tmpl w:val="F1E8D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2260394">
    <w:abstractNumId w:val="6"/>
  </w:num>
  <w:num w:numId="2" w16cid:durableId="1835294685">
    <w:abstractNumId w:val="15"/>
  </w:num>
  <w:num w:numId="3" w16cid:durableId="699018114">
    <w:abstractNumId w:val="13"/>
  </w:num>
  <w:num w:numId="4" w16cid:durableId="1756706362">
    <w:abstractNumId w:val="16"/>
  </w:num>
  <w:num w:numId="5" w16cid:durableId="295137949">
    <w:abstractNumId w:val="10"/>
  </w:num>
  <w:num w:numId="6" w16cid:durableId="1402411237">
    <w:abstractNumId w:val="4"/>
  </w:num>
  <w:num w:numId="7" w16cid:durableId="1877766105">
    <w:abstractNumId w:val="3"/>
  </w:num>
  <w:num w:numId="8" w16cid:durableId="1590960920">
    <w:abstractNumId w:val="0"/>
  </w:num>
  <w:num w:numId="9" w16cid:durableId="1764763378">
    <w:abstractNumId w:val="11"/>
  </w:num>
  <w:num w:numId="10" w16cid:durableId="1729765042">
    <w:abstractNumId w:val="5"/>
  </w:num>
  <w:num w:numId="11" w16cid:durableId="1986422411">
    <w:abstractNumId w:val="8"/>
  </w:num>
  <w:num w:numId="12" w16cid:durableId="702677484">
    <w:abstractNumId w:val="12"/>
  </w:num>
  <w:num w:numId="13" w16cid:durableId="580414678">
    <w:abstractNumId w:val="2"/>
  </w:num>
  <w:num w:numId="14" w16cid:durableId="226646280">
    <w:abstractNumId w:val="9"/>
  </w:num>
  <w:num w:numId="15" w16cid:durableId="1185752959">
    <w:abstractNumId w:val="14"/>
  </w:num>
  <w:num w:numId="16" w16cid:durableId="1874611994">
    <w:abstractNumId w:val="1"/>
  </w:num>
  <w:num w:numId="17" w16cid:durableId="100397312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trackedChanges" w:enforcement="0"/>
  <w:defaultTabStop w:val="720"/>
  <w:characterSpacingControl w:val="doNotCompress"/>
  <w:footnotePr>
    <w:numFmt w:val="lowerRoman"/>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7E6AD21"/>
    <w:rsid w:val="00000058"/>
    <w:rsid w:val="0000027E"/>
    <w:rsid w:val="000002DC"/>
    <w:rsid w:val="0000036F"/>
    <w:rsid w:val="00000576"/>
    <w:rsid w:val="000005C3"/>
    <w:rsid w:val="00000804"/>
    <w:rsid w:val="0000084D"/>
    <w:rsid w:val="00000995"/>
    <w:rsid w:val="00000DFD"/>
    <w:rsid w:val="00000FF2"/>
    <w:rsid w:val="00001211"/>
    <w:rsid w:val="00001577"/>
    <w:rsid w:val="000016B3"/>
    <w:rsid w:val="000018A0"/>
    <w:rsid w:val="00001DBA"/>
    <w:rsid w:val="00001E68"/>
    <w:rsid w:val="00002237"/>
    <w:rsid w:val="000023D7"/>
    <w:rsid w:val="000024D2"/>
    <w:rsid w:val="000025C9"/>
    <w:rsid w:val="000026E1"/>
    <w:rsid w:val="00002795"/>
    <w:rsid w:val="00002A2A"/>
    <w:rsid w:val="00002C72"/>
    <w:rsid w:val="00002D26"/>
    <w:rsid w:val="0000316B"/>
    <w:rsid w:val="0000317E"/>
    <w:rsid w:val="000032BC"/>
    <w:rsid w:val="00003426"/>
    <w:rsid w:val="00003653"/>
    <w:rsid w:val="000036C2"/>
    <w:rsid w:val="000036E0"/>
    <w:rsid w:val="000036E8"/>
    <w:rsid w:val="0000377F"/>
    <w:rsid w:val="00003974"/>
    <w:rsid w:val="00003C6E"/>
    <w:rsid w:val="00003EAB"/>
    <w:rsid w:val="00003F1D"/>
    <w:rsid w:val="000040A2"/>
    <w:rsid w:val="000040F7"/>
    <w:rsid w:val="00004121"/>
    <w:rsid w:val="00004299"/>
    <w:rsid w:val="000042C2"/>
    <w:rsid w:val="00004317"/>
    <w:rsid w:val="0000439A"/>
    <w:rsid w:val="00004489"/>
    <w:rsid w:val="000048F2"/>
    <w:rsid w:val="00004986"/>
    <w:rsid w:val="00004A08"/>
    <w:rsid w:val="00004D1E"/>
    <w:rsid w:val="00004F46"/>
    <w:rsid w:val="00004FFD"/>
    <w:rsid w:val="00005155"/>
    <w:rsid w:val="00005182"/>
    <w:rsid w:val="00005292"/>
    <w:rsid w:val="00005693"/>
    <w:rsid w:val="0000581A"/>
    <w:rsid w:val="00005858"/>
    <w:rsid w:val="00005878"/>
    <w:rsid w:val="000059A5"/>
    <w:rsid w:val="00005BAE"/>
    <w:rsid w:val="00005BCC"/>
    <w:rsid w:val="00005C17"/>
    <w:rsid w:val="00005C42"/>
    <w:rsid w:val="00005C60"/>
    <w:rsid w:val="00006025"/>
    <w:rsid w:val="000062CF"/>
    <w:rsid w:val="000064EA"/>
    <w:rsid w:val="00006541"/>
    <w:rsid w:val="00006719"/>
    <w:rsid w:val="00006838"/>
    <w:rsid w:val="00006987"/>
    <w:rsid w:val="00006A50"/>
    <w:rsid w:val="00006B21"/>
    <w:rsid w:val="00006D31"/>
    <w:rsid w:val="00006ED7"/>
    <w:rsid w:val="00006FBC"/>
    <w:rsid w:val="000070EA"/>
    <w:rsid w:val="00007172"/>
    <w:rsid w:val="000071A2"/>
    <w:rsid w:val="000071FA"/>
    <w:rsid w:val="000071FD"/>
    <w:rsid w:val="0000751B"/>
    <w:rsid w:val="00007932"/>
    <w:rsid w:val="0000795B"/>
    <w:rsid w:val="00007A7A"/>
    <w:rsid w:val="00007B05"/>
    <w:rsid w:val="00007B61"/>
    <w:rsid w:val="00007DB4"/>
    <w:rsid w:val="00007E9D"/>
    <w:rsid w:val="0001008B"/>
    <w:rsid w:val="000103CD"/>
    <w:rsid w:val="0001047C"/>
    <w:rsid w:val="00010522"/>
    <w:rsid w:val="0001064D"/>
    <w:rsid w:val="00010811"/>
    <w:rsid w:val="00010AA9"/>
    <w:rsid w:val="00010B56"/>
    <w:rsid w:val="00011178"/>
    <w:rsid w:val="000113C2"/>
    <w:rsid w:val="000113C5"/>
    <w:rsid w:val="000115BD"/>
    <w:rsid w:val="000115DD"/>
    <w:rsid w:val="0001160F"/>
    <w:rsid w:val="000116B5"/>
    <w:rsid w:val="000117EB"/>
    <w:rsid w:val="00011CE7"/>
    <w:rsid w:val="00011FB5"/>
    <w:rsid w:val="00012090"/>
    <w:rsid w:val="0001216E"/>
    <w:rsid w:val="0001224D"/>
    <w:rsid w:val="00012354"/>
    <w:rsid w:val="0001260A"/>
    <w:rsid w:val="000126B3"/>
    <w:rsid w:val="000127EB"/>
    <w:rsid w:val="00012BBD"/>
    <w:rsid w:val="00012C38"/>
    <w:rsid w:val="00012CA7"/>
    <w:rsid w:val="00012D14"/>
    <w:rsid w:val="0001306C"/>
    <w:rsid w:val="000131DE"/>
    <w:rsid w:val="00013336"/>
    <w:rsid w:val="000136B0"/>
    <w:rsid w:val="0001374C"/>
    <w:rsid w:val="00013840"/>
    <w:rsid w:val="0001394E"/>
    <w:rsid w:val="00013A75"/>
    <w:rsid w:val="00013B90"/>
    <w:rsid w:val="00013C84"/>
    <w:rsid w:val="00013DE8"/>
    <w:rsid w:val="00013DF8"/>
    <w:rsid w:val="00014208"/>
    <w:rsid w:val="0001426D"/>
    <w:rsid w:val="00014292"/>
    <w:rsid w:val="000143F3"/>
    <w:rsid w:val="00014724"/>
    <w:rsid w:val="00014AED"/>
    <w:rsid w:val="00014AF4"/>
    <w:rsid w:val="00014D2E"/>
    <w:rsid w:val="00014E6E"/>
    <w:rsid w:val="000152E9"/>
    <w:rsid w:val="000153D1"/>
    <w:rsid w:val="00015449"/>
    <w:rsid w:val="000155FA"/>
    <w:rsid w:val="00015A0B"/>
    <w:rsid w:val="00015B63"/>
    <w:rsid w:val="00015B8E"/>
    <w:rsid w:val="00015B95"/>
    <w:rsid w:val="00015C2E"/>
    <w:rsid w:val="00015D19"/>
    <w:rsid w:val="00015D80"/>
    <w:rsid w:val="00015E5B"/>
    <w:rsid w:val="00015ED8"/>
    <w:rsid w:val="00015F40"/>
    <w:rsid w:val="00016021"/>
    <w:rsid w:val="00016248"/>
    <w:rsid w:val="00016337"/>
    <w:rsid w:val="00016644"/>
    <w:rsid w:val="000166CD"/>
    <w:rsid w:val="000166F0"/>
    <w:rsid w:val="000167BB"/>
    <w:rsid w:val="00016BF5"/>
    <w:rsid w:val="00016EE6"/>
    <w:rsid w:val="00016FE0"/>
    <w:rsid w:val="0001700B"/>
    <w:rsid w:val="00017024"/>
    <w:rsid w:val="00017341"/>
    <w:rsid w:val="000173EE"/>
    <w:rsid w:val="00017432"/>
    <w:rsid w:val="00017654"/>
    <w:rsid w:val="00017C37"/>
    <w:rsid w:val="00017CB9"/>
    <w:rsid w:val="000200D4"/>
    <w:rsid w:val="00020238"/>
    <w:rsid w:val="0002051B"/>
    <w:rsid w:val="00020594"/>
    <w:rsid w:val="00020607"/>
    <w:rsid w:val="00020981"/>
    <w:rsid w:val="00020A39"/>
    <w:rsid w:val="00020AE3"/>
    <w:rsid w:val="00020D4A"/>
    <w:rsid w:val="00020E34"/>
    <w:rsid w:val="00020F7F"/>
    <w:rsid w:val="0002100E"/>
    <w:rsid w:val="0002123A"/>
    <w:rsid w:val="00021542"/>
    <w:rsid w:val="0002191A"/>
    <w:rsid w:val="00021A2A"/>
    <w:rsid w:val="00021B7C"/>
    <w:rsid w:val="00021BCA"/>
    <w:rsid w:val="00021F4A"/>
    <w:rsid w:val="00021FFE"/>
    <w:rsid w:val="00022307"/>
    <w:rsid w:val="000224F5"/>
    <w:rsid w:val="000225F5"/>
    <w:rsid w:val="00022623"/>
    <w:rsid w:val="00022628"/>
    <w:rsid w:val="00022C27"/>
    <w:rsid w:val="00022C7A"/>
    <w:rsid w:val="00022E52"/>
    <w:rsid w:val="000232C2"/>
    <w:rsid w:val="000235E9"/>
    <w:rsid w:val="00023705"/>
    <w:rsid w:val="0002384B"/>
    <w:rsid w:val="00023A9B"/>
    <w:rsid w:val="00023B95"/>
    <w:rsid w:val="00023FB4"/>
    <w:rsid w:val="00023FD2"/>
    <w:rsid w:val="000240F7"/>
    <w:rsid w:val="000241AD"/>
    <w:rsid w:val="000243AE"/>
    <w:rsid w:val="000244E7"/>
    <w:rsid w:val="000246DD"/>
    <w:rsid w:val="0002493B"/>
    <w:rsid w:val="00024C67"/>
    <w:rsid w:val="00024D58"/>
    <w:rsid w:val="00024E80"/>
    <w:rsid w:val="00024FFF"/>
    <w:rsid w:val="00025064"/>
    <w:rsid w:val="000250A9"/>
    <w:rsid w:val="0002521A"/>
    <w:rsid w:val="000253A0"/>
    <w:rsid w:val="0002553C"/>
    <w:rsid w:val="00025577"/>
    <w:rsid w:val="000255C1"/>
    <w:rsid w:val="000256D4"/>
    <w:rsid w:val="0002574E"/>
    <w:rsid w:val="00025E12"/>
    <w:rsid w:val="00025F7F"/>
    <w:rsid w:val="00026026"/>
    <w:rsid w:val="000261F9"/>
    <w:rsid w:val="00026246"/>
    <w:rsid w:val="00026471"/>
    <w:rsid w:val="00026599"/>
    <w:rsid w:val="00026773"/>
    <w:rsid w:val="00026B29"/>
    <w:rsid w:val="00026EF0"/>
    <w:rsid w:val="00026FCC"/>
    <w:rsid w:val="000275E8"/>
    <w:rsid w:val="0002797B"/>
    <w:rsid w:val="0002797E"/>
    <w:rsid w:val="00027A87"/>
    <w:rsid w:val="00027AE9"/>
    <w:rsid w:val="00027EA6"/>
    <w:rsid w:val="00027EB1"/>
    <w:rsid w:val="00027EF6"/>
    <w:rsid w:val="00027FA9"/>
    <w:rsid w:val="00027FAE"/>
    <w:rsid w:val="0003006A"/>
    <w:rsid w:val="0003006B"/>
    <w:rsid w:val="0003017E"/>
    <w:rsid w:val="00030262"/>
    <w:rsid w:val="000304ED"/>
    <w:rsid w:val="000306B8"/>
    <w:rsid w:val="00030942"/>
    <w:rsid w:val="000309CD"/>
    <w:rsid w:val="000309DD"/>
    <w:rsid w:val="00030AE9"/>
    <w:rsid w:val="00030B6F"/>
    <w:rsid w:val="00030BC2"/>
    <w:rsid w:val="00030C3A"/>
    <w:rsid w:val="00030CE3"/>
    <w:rsid w:val="00030E3A"/>
    <w:rsid w:val="00030E80"/>
    <w:rsid w:val="00030E9C"/>
    <w:rsid w:val="00030EC5"/>
    <w:rsid w:val="00031127"/>
    <w:rsid w:val="00031213"/>
    <w:rsid w:val="00031251"/>
    <w:rsid w:val="0003162B"/>
    <w:rsid w:val="00031634"/>
    <w:rsid w:val="000316B6"/>
    <w:rsid w:val="000317D8"/>
    <w:rsid w:val="00031891"/>
    <w:rsid w:val="00031980"/>
    <w:rsid w:val="00031A9B"/>
    <w:rsid w:val="00031BF2"/>
    <w:rsid w:val="00031C00"/>
    <w:rsid w:val="00031E0F"/>
    <w:rsid w:val="00031FC9"/>
    <w:rsid w:val="000322C6"/>
    <w:rsid w:val="000322FF"/>
    <w:rsid w:val="0003232E"/>
    <w:rsid w:val="000323A4"/>
    <w:rsid w:val="00032401"/>
    <w:rsid w:val="000326C0"/>
    <w:rsid w:val="00032903"/>
    <w:rsid w:val="00032912"/>
    <w:rsid w:val="000329B8"/>
    <w:rsid w:val="00032C3F"/>
    <w:rsid w:val="00032C50"/>
    <w:rsid w:val="00032CA9"/>
    <w:rsid w:val="00032CE3"/>
    <w:rsid w:val="00032D83"/>
    <w:rsid w:val="00032E4B"/>
    <w:rsid w:val="00032E73"/>
    <w:rsid w:val="00032F42"/>
    <w:rsid w:val="00033055"/>
    <w:rsid w:val="00033208"/>
    <w:rsid w:val="00033284"/>
    <w:rsid w:val="00033291"/>
    <w:rsid w:val="000333E1"/>
    <w:rsid w:val="0003340A"/>
    <w:rsid w:val="00033424"/>
    <w:rsid w:val="00033551"/>
    <w:rsid w:val="000336BF"/>
    <w:rsid w:val="0003374B"/>
    <w:rsid w:val="0003396B"/>
    <w:rsid w:val="00033A07"/>
    <w:rsid w:val="00033BEC"/>
    <w:rsid w:val="00033DD7"/>
    <w:rsid w:val="0003403B"/>
    <w:rsid w:val="000340F2"/>
    <w:rsid w:val="0003433E"/>
    <w:rsid w:val="0003494B"/>
    <w:rsid w:val="000349C6"/>
    <w:rsid w:val="000349E6"/>
    <w:rsid w:val="00034AAC"/>
    <w:rsid w:val="00034CF9"/>
    <w:rsid w:val="00034D0A"/>
    <w:rsid w:val="00034DFC"/>
    <w:rsid w:val="000350E1"/>
    <w:rsid w:val="0003510B"/>
    <w:rsid w:val="0003556E"/>
    <w:rsid w:val="000355E1"/>
    <w:rsid w:val="000357D7"/>
    <w:rsid w:val="0003583B"/>
    <w:rsid w:val="00035B44"/>
    <w:rsid w:val="00035CE1"/>
    <w:rsid w:val="00036052"/>
    <w:rsid w:val="000361BE"/>
    <w:rsid w:val="000365F9"/>
    <w:rsid w:val="00036743"/>
    <w:rsid w:val="0003681B"/>
    <w:rsid w:val="00036885"/>
    <w:rsid w:val="000369A7"/>
    <w:rsid w:val="00036DB7"/>
    <w:rsid w:val="00036F38"/>
    <w:rsid w:val="00037051"/>
    <w:rsid w:val="00037168"/>
    <w:rsid w:val="00037226"/>
    <w:rsid w:val="000372D2"/>
    <w:rsid w:val="0003739B"/>
    <w:rsid w:val="000373E3"/>
    <w:rsid w:val="0003784C"/>
    <w:rsid w:val="00037AE8"/>
    <w:rsid w:val="00037B72"/>
    <w:rsid w:val="00037BCD"/>
    <w:rsid w:val="00037D0D"/>
    <w:rsid w:val="000400A1"/>
    <w:rsid w:val="00040193"/>
    <w:rsid w:val="000402C5"/>
    <w:rsid w:val="00040974"/>
    <w:rsid w:val="00040EA9"/>
    <w:rsid w:val="00040EF1"/>
    <w:rsid w:val="00040F78"/>
    <w:rsid w:val="000412B6"/>
    <w:rsid w:val="000413B1"/>
    <w:rsid w:val="000415EE"/>
    <w:rsid w:val="00041687"/>
    <w:rsid w:val="00041754"/>
    <w:rsid w:val="000419C0"/>
    <w:rsid w:val="00041A61"/>
    <w:rsid w:val="00041D4C"/>
    <w:rsid w:val="00041D98"/>
    <w:rsid w:val="0004212B"/>
    <w:rsid w:val="000426E8"/>
    <w:rsid w:val="00042846"/>
    <w:rsid w:val="000429A9"/>
    <w:rsid w:val="000429E8"/>
    <w:rsid w:val="00042AE2"/>
    <w:rsid w:val="00042AFA"/>
    <w:rsid w:val="00042B29"/>
    <w:rsid w:val="00042C68"/>
    <w:rsid w:val="00042F12"/>
    <w:rsid w:val="0004309A"/>
    <w:rsid w:val="00043371"/>
    <w:rsid w:val="00043436"/>
    <w:rsid w:val="00043698"/>
    <w:rsid w:val="000437E6"/>
    <w:rsid w:val="000438DB"/>
    <w:rsid w:val="000439A6"/>
    <w:rsid w:val="00043B6B"/>
    <w:rsid w:val="00043BAB"/>
    <w:rsid w:val="00043C0D"/>
    <w:rsid w:val="00043F01"/>
    <w:rsid w:val="00043FFF"/>
    <w:rsid w:val="0004409B"/>
    <w:rsid w:val="000442C0"/>
    <w:rsid w:val="0004440F"/>
    <w:rsid w:val="00044479"/>
    <w:rsid w:val="00044765"/>
    <w:rsid w:val="000448E7"/>
    <w:rsid w:val="00044BCD"/>
    <w:rsid w:val="00044C91"/>
    <w:rsid w:val="00044D37"/>
    <w:rsid w:val="00044E51"/>
    <w:rsid w:val="00044ECA"/>
    <w:rsid w:val="00044F3A"/>
    <w:rsid w:val="0004510A"/>
    <w:rsid w:val="000451D6"/>
    <w:rsid w:val="000453E4"/>
    <w:rsid w:val="0004557B"/>
    <w:rsid w:val="00045C51"/>
    <w:rsid w:val="0004637E"/>
    <w:rsid w:val="00046536"/>
    <w:rsid w:val="00046677"/>
    <w:rsid w:val="00046735"/>
    <w:rsid w:val="0004679E"/>
    <w:rsid w:val="00046862"/>
    <w:rsid w:val="000468E3"/>
    <w:rsid w:val="00046B82"/>
    <w:rsid w:val="00046D97"/>
    <w:rsid w:val="00046DB1"/>
    <w:rsid w:val="00047031"/>
    <w:rsid w:val="00047143"/>
    <w:rsid w:val="000471AF"/>
    <w:rsid w:val="000471CF"/>
    <w:rsid w:val="000472D0"/>
    <w:rsid w:val="00047487"/>
    <w:rsid w:val="0004750B"/>
    <w:rsid w:val="00047683"/>
    <w:rsid w:val="00047766"/>
    <w:rsid w:val="0004789A"/>
    <w:rsid w:val="00047959"/>
    <w:rsid w:val="00047ACE"/>
    <w:rsid w:val="00047C86"/>
    <w:rsid w:val="00047DB0"/>
    <w:rsid w:val="00047E1F"/>
    <w:rsid w:val="00047F2D"/>
    <w:rsid w:val="00050041"/>
    <w:rsid w:val="0005009F"/>
    <w:rsid w:val="0005010D"/>
    <w:rsid w:val="00050265"/>
    <w:rsid w:val="0005037F"/>
    <w:rsid w:val="00050416"/>
    <w:rsid w:val="000504FD"/>
    <w:rsid w:val="0005056D"/>
    <w:rsid w:val="00050686"/>
    <w:rsid w:val="0005069B"/>
    <w:rsid w:val="000507BD"/>
    <w:rsid w:val="00050A69"/>
    <w:rsid w:val="00050C65"/>
    <w:rsid w:val="00050CA9"/>
    <w:rsid w:val="00050E3E"/>
    <w:rsid w:val="00050ED5"/>
    <w:rsid w:val="00051024"/>
    <w:rsid w:val="00051330"/>
    <w:rsid w:val="000513A2"/>
    <w:rsid w:val="000513D6"/>
    <w:rsid w:val="0005157D"/>
    <w:rsid w:val="00051A38"/>
    <w:rsid w:val="00051C48"/>
    <w:rsid w:val="00051C98"/>
    <w:rsid w:val="00051DC2"/>
    <w:rsid w:val="00051DD2"/>
    <w:rsid w:val="00051DDD"/>
    <w:rsid w:val="000520D8"/>
    <w:rsid w:val="00052376"/>
    <w:rsid w:val="000523D1"/>
    <w:rsid w:val="00052504"/>
    <w:rsid w:val="00052599"/>
    <w:rsid w:val="000525CE"/>
    <w:rsid w:val="0005298B"/>
    <w:rsid w:val="000529F4"/>
    <w:rsid w:val="00052A7D"/>
    <w:rsid w:val="00052B16"/>
    <w:rsid w:val="00052B48"/>
    <w:rsid w:val="00052EC2"/>
    <w:rsid w:val="00052F2A"/>
    <w:rsid w:val="00053103"/>
    <w:rsid w:val="00053114"/>
    <w:rsid w:val="000533CA"/>
    <w:rsid w:val="00053402"/>
    <w:rsid w:val="000534AD"/>
    <w:rsid w:val="000534FF"/>
    <w:rsid w:val="0005379B"/>
    <w:rsid w:val="000538D0"/>
    <w:rsid w:val="00053920"/>
    <w:rsid w:val="00053963"/>
    <w:rsid w:val="00053A40"/>
    <w:rsid w:val="00053B9F"/>
    <w:rsid w:val="00053D87"/>
    <w:rsid w:val="000541F9"/>
    <w:rsid w:val="00054254"/>
    <w:rsid w:val="000542A7"/>
    <w:rsid w:val="00054416"/>
    <w:rsid w:val="00054711"/>
    <w:rsid w:val="0005471E"/>
    <w:rsid w:val="000547F1"/>
    <w:rsid w:val="000548D0"/>
    <w:rsid w:val="00054B8B"/>
    <w:rsid w:val="00054C66"/>
    <w:rsid w:val="00054E3A"/>
    <w:rsid w:val="00054E98"/>
    <w:rsid w:val="00054F25"/>
    <w:rsid w:val="0005524E"/>
    <w:rsid w:val="0005525C"/>
    <w:rsid w:val="00055358"/>
    <w:rsid w:val="00055374"/>
    <w:rsid w:val="0005556C"/>
    <w:rsid w:val="0005558F"/>
    <w:rsid w:val="0005561E"/>
    <w:rsid w:val="000557D9"/>
    <w:rsid w:val="00055A52"/>
    <w:rsid w:val="00055A6A"/>
    <w:rsid w:val="00055C1C"/>
    <w:rsid w:val="00055CA3"/>
    <w:rsid w:val="00055CD3"/>
    <w:rsid w:val="00055CE1"/>
    <w:rsid w:val="00055D38"/>
    <w:rsid w:val="00055D73"/>
    <w:rsid w:val="00055DAE"/>
    <w:rsid w:val="00055E64"/>
    <w:rsid w:val="00056143"/>
    <w:rsid w:val="0005625E"/>
    <w:rsid w:val="000563A3"/>
    <w:rsid w:val="00056832"/>
    <w:rsid w:val="00056DCB"/>
    <w:rsid w:val="000574FC"/>
    <w:rsid w:val="00057555"/>
    <w:rsid w:val="0005756D"/>
    <w:rsid w:val="0005778F"/>
    <w:rsid w:val="000577C6"/>
    <w:rsid w:val="00057A80"/>
    <w:rsid w:val="00057C64"/>
    <w:rsid w:val="00057DD2"/>
    <w:rsid w:val="00057EC7"/>
    <w:rsid w:val="00057F70"/>
    <w:rsid w:val="00060062"/>
    <w:rsid w:val="000601F8"/>
    <w:rsid w:val="0006032A"/>
    <w:rsid w:val="000603E6"/>
    <w:rsid w:val="00060478"/>
    <w:rsid w:val="0006063D"/>
    <w:rsid w:val="000608A4"/>
    <w:rsid w:val="00060C16"/>
    <w:rsid w:val="00060DDD"/>
    <w:rsid w:val="000611A8"/>
    <w:rsid w:val="000612D0"/>
    <w:rsid w:val="0006131E"/>
    <w:rsid w:val="00061480"/>
    <w:rsid w:val="000616FE"/>
    <w:rsid w:val="00061826"/>
    <w:rsid w:val="00061958"/>
    <w:rsid w:val="00061A2E"/>
    <w:rsid w:val="00061BCF"/>
    <w:rsid w:val="00061E4B"/>
    <w:rsid w:val="00062027"/>
    <w:rsid w:val="000620B0"/>
    <w:rsid w:val="0006216D"/>
    <w:rsid w:val="0006238D"/>
    <w:rsid w:val="000623AF"/>
    <w:rsid w:val="00062670"/>
    <w:rsid w:val="000627FF"/>
    <w:rsid w:val="00062BCE"/>
    <w:rsid w:val="00062C4F"/>
    <w:rsid w:val="00063281"/>
    <w:rsid w:val="00063406"/>
    <w:rsid w:val="000636F5"/>
    <w:rsid w:val="00063751"/>
    <w:rsid w:val="0006392E"/>
    <w:rsid w:val="00063B38"/>
    <w:rsid w:val="00063BCC"/>
    <w:rsid w:val="00063D92"/>
    <w:rsid w:val="00063DA4"/>
    <w:rsid w:val="00063DD8"/>
    <w:rsid w:val="00063EB2"/>
    <w:rsid w:val="00063F79"/>
    <w:rsid w:val="00063FF3"/>
    <w:rsid w:val="000641C1"/>
    <w:rsid w:val="000643AC"/>
    <w:rsid w:val="0006475A"/>
    <w:rsid w:val="00064954"/>
    <w:rsid w:val="00064A02"/>
    <w:rsid w:val="00064BF7"/>
    <w:rsid w:val="0006514D"/>
    <w:rsid w:val="0006535A"/>
    <w:rsid w:val="000653AA"/>
    <w:rsid w:val="00065402"/>
    <w:rsid w:val="000654EC"/>
    <w:rsid w:val="00065A5D"/>
    <w:rsid w:val="00065B97"/>
    <w:rsid w:val="00065E95"/>
    <w:rsid w:val="00065FFF"/>
    <w:rsid w:val="00066035"/>
    <w:rsid w:val="000660C3"/>
    <w:rsid w:val="0006618E"/>
    <w:rsid w:val="00066375"/>
    <w:rsid w:val="00066542"/>
    <w:rsid w:val="00066582"/>
    <w:rsid w:val="000666AB"/>
    <w:rsid w:val="0006689C"/>
    <w:rsid w:val="00066906"/>
    <w:rsid w:val="00066A19"/>
    <w:rsid w:val="00066A9E"/>
    <w:rsid w:val="00066D03"/>
    <w:rsid w:val="000671DE"/>
    <w:rsid w:val="0006727A"/>
    <w:rsid w:val="0006754E"/>
    <w:rsid w:val="00067675"/>
    <w:rsid w:val="00067843"/>
    <w:rsid w:val="00067933"/>
    <w:rsid w:val="0006793B"/>
    <w:rsid w:val="00067ABC"/>
    <w:rsid w:val="0007058C"/>
    <w:rsid w:val="000707EF"/>
    <w:rsid w:val="00070825"/>
    <w:rsid w:val="00070929"/>
    <w:rsid w:val="00070C8D"/>
    <w:rsid w:val="00070D7E"/>
    <w:rsid w:val="00070DC8"/>
    <w:rsid w:val="00070ECA"/>
    <w:rsid w:val="000715E2"/>
    <w:rsid w:val="0007161D"/>
    <w:rsid w:val="00071B83"/>
    <w:rsid w:val="00071EA7"/>
    <w:rsid w:val="00072034"/>
    <w:rsid w:val="00072249"/>
    <w:rsid w:val="000723BC"/>
    <w:rsid w:val="000723C3"/>
    <w:rsid w:val="000724A6"/>
    <w:rsid w:val="000725DA"/>
    <w:rsid w:val="000728FC"/>
    <w:rsid w:val="00072927"/>
    <w:rsid w:val="00072AA7"/>
    <w:rsid w:val="00072AE6"/>
    <w:rsid w:val="00072CE4"/>
    <w:rsid w:val="00072E42"/>
    <w:rsid w:val="00072F22"/>
    <w:rsid w:val="00073162"/>
    <w:rsid w:val="0007326D"/>
    <w:rsid w:val="000733F3"/>
    <w:rsid w:val="000737FC"/>
    <w:rsid w:val="00073828"/>
    <w:rsid w:val="00073880"/>
    <w:rsid w:val="00073939"/>
    <w:rsid w:val="00073C3A"/>
    <w:rsid w:val="00073CDF"/>
    <w:rsid w:val="00073F33"/>
    <w:rsid w:val="00074078"/>
    <w:rsid w:val="000741DC"/>
    <w:rsid w:val="00074223"/>
    <w:rsid w:val="000747D2"/>
    <w:rsid w:val="0007485C"/>
    <w:rsid w:val="00074A4A"/>
    <w:rsid w:val="00074B30"/>
    <w:rsid w:val="00074E13"/>
    <w:rsid w:val="00075000"/>
    <w:rsid w:val="0007566E"/>
    <w:rsid w:val="000756C8"/>
    <w:rsid w:val="000756F8"/>
    <w:rsid w:val="000759FC"/>
    <w:rsid w:val="00075D6A"/>
    <w:rsid w:val="00075EB0"/>
    <w:rsid w:val="00076015"/>
    <w:rsid w:val="00076077"/>
    <w:rsid w:val="00076254"/>
    <w:rsid w:val="000762A0"/>
    <w:rsid w:val="0007633F"/>
    <w:rsid w:val="0007638C"/>
    <w:rsid w:val="000764DF"/>
    <w:rsid w:val="0007650A"/>
    <w:rsid w:val="000767F1"/>
    <w:rsid w:val="000768BC"/>
    <w:rsid w:val="000768CF"/>
    <w:rsid w:val="000768E5"/>
    <w:rsid w:val="00077099"/>
    <w:rsid w:val="000771A2"/>
    <w:rsid w:val="0007725B"/>
    <w:rsid w:val="0007728E"/>
    <w:rsid w:val="00077444"/>
    <w:rsid w:val="000774C2"/>
    <w:rsid w:val="00077541"/>
    <w:rsid w:val="000775C6"/>
    <w:rsid w:val="00077764"/>
    <w:rsid w:val="0007777F"/>
    <w:rsid w:val="000778C1"/>
    <w:rsid w:val="00077957"/>
    <w:rsid w:val="000779AF"/>
    <w:rsid w:val="00077A23"/>
    <w:rsid w:val="00077A69"/>
    <w:rsid w:val="00077AE0"/>
    <w:rsid w:val="00077B3B"/>
    <w:rsid w:val="00077C28"/>
    <w:rsid w:val="00077D8F"/>
    <w:rsid w:val="00077DD0"/>
    <w:rsid w:val="00077E81"/>
    <w:rsid w:val="00077EE4"/>
    <w:rsid w:val="0008005D"/>
    <w:rsid w:val="0008007F"/>
    <w:rsid w:val="00080505"/>
    <w:rsid w:val="000806A8"/>
    <w:rsid w:val="00080A01"/>
    <w:rsid w:val="00080AF9"/>
    <w:rsid w:val="00080AFB"/>
    <w:rsid w:val="00080BEB"/>
    <w:rsid w:val="00080D16"/>
    <w:rsid w:val="00080D24"/>
    <w:rsid w:val="00080D80"/>
    <w:rsid w:val="00080DD5"/>
    <w:rsid w:val="00080E34"/>
    <w:rsid w:val="00080F56"/>
    <w:rsid w:val="00081014"/>
    <w:rsid w:val="00081068"/>
    <w:rsid w:val="000810B8"/>
    <w:rsid w:val="00081127"/>
    <w:rsid w:val="00081226"/>
    <w:rsid w:val="0008127A"/>
    <w:rsid w:val="00081293"/>
    <w:rsid w:val="0008136A"/>
    <w:rsid w:val="000814BB"/>
    <w:rsid w:val="000815F2"/>
    <w:rsid w:val="000815F5"/>
    <w:rsid w:val="00081791"/>
    <w:rsid w:val="0008179B"/>
    <w:rsid w:val="0008179F"/>
    <w:rsid w:val="000817A5"/>
    <w:rsid w:val="00081C74"/>
    <w:rsid w:val="00081C94"/>
    <w:rsid w:val="00081DC6"/>
    <w:rsid w:val="00081FEF"/>
    <w:rsid w:val="00082126"/>
    <w:rsid w:val="0008238F"/>
    <w:rsid w:val="00082711"/>
    <w:rsid w:val="00082786"/>
    <w:rsid w:val="00082978"/>
    <w:rsid w:val="00082B02"/>
    <w:rsid w:val="00082D6A"/>
    <w:rsid w:val="00082D73"/>
    <w:rsid w:val="0008300B"/>
    <w:rsid w:val="000830A6"/>
    <w:rsid w:val="000832CE"/>
    <w:rsid w:val="00083434"/>
    <w:rsid w:val="000834D4"/>
    <w:rsid w:val="0008359F"/>
    <w:rsid w:val="00083983"/>
    <w:rsid w:val="000839A5"/>
    <w:rsid w:val="000839F0"/>
    <w:rsid w:val="00083A1C"/>
    <w:rsid w:val="00083AE2"/>
    <w:rsid w:val="00083B22"/>
    <w:rsid w:val="00083C42"/>
    <w:rsid w:val="00083E65"/>
    <w:rsid w:val="00083ED6"/>
    <w:rsid w:val="00083F83"/>
    <w:rsid w:val="000840B6"/>
    <w:rsid w:val="00084B7C"/>
    <w:rsid w:val="00084CEA"/>
    <w:rsid w:val="00084E30"/>
    <w:rsid w:val="00084F7B"/>
    <w:rsid w:val="000850C7"/>
    <w:rsid w:val="0008518A"/>
    <w:rsid w:val="00085270"/>
    <w:rsid w:val="00085322"/>
    <w:rsid w:val="00085449"/>
    <w:rsid w:val="000854C5"/>
    <w:rsid w:val="000854EF"/>
    <w:rsid w:val="00085954"/>
    <w:rsid w:val="000859BF"/>
    <w:rsid w:val="000859D1"/>
    <w:rsid w:val="00085B92"/>
    <w:rsid w:val="00085C41"/>
    <w:rsid w:val="00085CD4"/>
    <w:rsid w:val="00085DAF"/>
    <w:rsid w:val="00085ED6"/>
    <w:rsid w:val="0008602E"/>
    <w:rsid w:val="00086250"/>
    <w:rsid w:val="00086368"/>
    <w:rsid w:val="000863BE"/>
    <w:rsid w:val="000865E3"/>
    <w:rsid w:val="00086705"/>
    <w:rsid w:val="000868BC"/>
    <w:rsid w:val="000869BC"/>
    <w:rsid w:val="00086E1B"/>
    <w:rsid w:val="00086E49"/>
    <w:rsid w:val="00086E8A"/>
    <w:rsid w:val="00086F22"/>
    <w:rsid w:val="00086F36"/>
    <w:rsid w:val="000872AD"/>
    <w:rsid w:val="0008763E"/>
    <w:rsid w:val="00087B1B"/>
    <w:rsid w:val="00087DE1"/>
    <w:rsid w:val="00087E96"/>
    <w:rsid w:val="00090114"/>
    <w:rsid w:val="000901D0"/>
    <w:rsid w:val="0009069A"/>
    <w:rsid w:val="000906CD"/>
    <w:rsid w:val="000906D2"/>
    <w:rsid w:val="00090763"/>
    <w:rsid w:val="00090947"/>
    <w:rsid w:val="00090C7F"/>
    <w:rsid w:val="00090E13"/>
    <w:rsid w:val="00090F21"/>
    <w:rsid w:val="00091898"/>
    <w:rsid w:val="00091C25"/>
    <w:rsid w:val="00091D0E"/>
    <w:rsid w:val="00091F29"/>
    <w:rsid w:val="00091F82"/>
    <w:rsid w:val="0009200F"/>
    <w:rsid w:val="0009216D"/>
    <w:rsid w:val="0009224A"/>
    <w:rsid w:val="000922E2"/>
    <w:rsid w:val="0009231A"/>
    <w:rsid w:val="00092323"/>
    <w:rsid w:val="0009242E"/>
    <w:rsid w:val="00092452"/>
    <w:rsid w:val="000926C3"/>
    <w:rsid w:val="00092864"/>
    <w:rsid w:val="000928D5"/>
    <w:rsid w:val="00092BB7"/>
    <w:rsid w:val="00092D40"/>
    <w:rsid w:val="00092D8C"/>
    <w:rsid w:val="00092DD7"/>
    <w:rsid w:val="00092E21"/>
    <w:rsid w:val="00092E70"/>
    <w:rsid w:val="00092F8D"/>
    <w:rsid w:val="000930EA"/>
    <w:rsid w:val="00093535"/>
    <w:rsid w:val="00093674"/>
    <w:rsid w:val="00093C14"/>
    <w:rsid w:val="00093D30"/>
    <w:rsid w:val="00093D93"/>
    <w:rsid w:val="00093FD4"/>
    <w:rsid w:val="00094037"/>
    <w:rsid w:val="0009408D"/>
    <w:rsid w:val="0009425C"/>
    <w:rsid w:val="000947A9"/>
    <w:rsid w:val="00094AEC"/>
    <w:rsid w:val="00094BA4"/>
    <w:rsid w:val="00094C5D"/>
    <w:rsid w:val="00094DDD"/>
    <w:rsid w:val="00094E58"/>
    <w:rsid w:val="00094F46"/>
    <w:rsid w:val="00095170"/>
    <w:rsid w:val="0009535D"/>
    <w:rsid w:val="00095414"/>
    <w:rsid w:val="000954F6"/>
    <w:rsid w:val="00095564"/>
    <w:rsid w:val="00095605"/>
    <w:rsid w:val="000958BC"/>
    <w:rsid w:val="00095922"/>
    <w:rsid w:val="00095940"/>
    <w:rsid w:val="00095A6B"/>
    <w:rsid w:val="00095AC7"/>
    <w:rsid w:val="00095B54"/>
    <w:rsid w:val="00095BE6"/>
    <w:rsid w:val="00095E24"/>
    <w:rsid w:val="00095EC0"/>
    <w:rsid w:val="00095EE1"/>
    <w:rsid w:val="00095FC9"/>
    <w:rsid w:val="0009622D"/>
    <w:rsid w:val="000962B5"/>
    <w:rsid w:val="000964A7"/>
    <w:rsid w:val="000964EA"/>
    <w:rsid w:val="000964F5"/>
    <w:rsid w:val="000965A9"/>
    <w:rsid w:val="00096669"/>
    <w:rsid w:val="000966DD"/>
    <w:rsid w:val="000967FB"/>
    <w:rsid w:val="0009697F"/>
    <w:rsid w:val="00096BA0"/>
    <w:rsid w:val="00096BC6"/>
    <w:rsid w:val="00096BF1"/>
    <w:rsid w:val="00096C0C"/>
    <w:rsid w:val="00096D16"/>
    <w:rsid w:val="00096E33"/>
    <w:rsid w:val="00096EFB"/>
    <w:rsid w:val="00096FC6"/>
    <w:rsid w:val="00097202"/>
    <w:rsid w:val="000972D9"/>
    <w:rsid w:val="0009736F"/>
    <w:rsid w:val="000973D5"/>
    <w:rsid w:val="000974EA"/>
    <w:rsid w:val="0009780A"/>
    <w:rsid w:val="00097898"/>
    <w:rsid w:val="00097A48"/>
    <w:rsid w:val="00097A7F"/>
    <w:rsid w:val="00097B4B"/>
    <w:rsid w:val="00097BA3"/>
    <w:rsid w:val="00097CF9"/>
    <w:rsid w:val="00097E65"/>
    <w:rsid w:val="00097FA2"/>
    <w:rsid w:val="000A024A"/>
    <w:rsid w:val="000A072F"/>
    <w:rsid w:val="000A0732"/>
    <w:rsid w:val="000A0857"/>
    <w:rsid w:val="000A09C9"/>
    <w:rsid w:val="000A0A10"/>
    <w:rsid w:val="000A0CBC"/>
    <w:rsid w:val="000A0CE4"/>
    <w:rsid w:val="000A0E95"/>
    <w:rsid w:val="000A1157"/>
    <w:rsid w:val="000A11CC"/>
    <w:rsid w:val="000A12FB"/>
    <w:rsid w:val="000A14E3"/>
    <w:rsid w:val="000A14F5"/>
    <w:rsid w:val="000A1661"/>
    <w:rsid w:val="000A16A6"/>
    <w:rsid w:val="000A18AA"/>
    <w:rsid w:val="000A1A2D"/>
    <w:rsid w:val="000A1B0E"/>
    <w:rsid w:val="000A1D64"/>
    <w:rsid w:val="000A1EAE"/>
    <w:rsid w:val="000A21A8"/>
    <w:rsid w:val="000A2244"/>
    <w:rsid w:val="000A24E9"/>
    <w:rsid w:val="000A24F9"/>
    <w:rsid w:val="000A2531"/>
    <w:rsid w:val="000A253D"/>
    <w:rsid w:val="000A2790"/>
    <w:rsid w:val="000A2A58"/>
    <w:rsid w:val="000A2ADD"/>
    <w:rsid w:val="000A2B31"/>
    <w:rsid w:val="000A2C13"/>
    <w:rsid w:val="000A3055"/>
    <w:rsid w:val="000A30FC"/>
    <w:rsid w:val="000A3188"/>
    <w:rsid w:val="000A3272"/>
    <w:rsid w:val="000A3398"/>
    <w:rsid w:val="000A34FB"/>
    <w:rsid w:val="000A352F"/>
    <w:rsid w:val="000A3630"/>
    <w:rsid w:val="000A3728"/>
    <w:rsid w:val="000A37A0"/>
    <w:rsid w:val="000A38CB"/>
    <w:rsid w:val="000A3B36"/>
    <w:rsid w:val="000A3E3B"/>
    <w:rsid w:val="000A4301"/>
    <w:rsid w:val="000A48FE"/>
    <w:rsid w:val="000A4C9E"/>
    <w:rsid w:val="000A4E92"/>
    <w:rsid w:val="000A4FC3"/>
    <w:rsid w:val="000A5334"/>
    <w:rsid w:val="000A5359"/>
    <w:rsid w:val="000A54E7"/>
    <w:rsid w:val="000A5645"/>
    <w:rsid w:val="000A5721"/>
    <w:rsid w:val="000A587D"/>
    <w:rsid w:val="000A58AC"/>
    <w:rsid w:val="000A5A0D"/>
    <w:rsid w:val="000A5CC8"/>
    <w:rsid w:val="000A5E10"/>
    <w:rsid w:val="000A61E1"/>
    <w:rsid w:val="000A628C"/>
    <w:rsid w:val="000A6382"/>
    <w:rsid w:val="000A6483"/>
    <w:rsid w:val="000A67A5"/>
    <w:rsid w:val="000A68C1"/>
    <w:rsid w:val="000A6A92"/>
    <w:rsid w:val="000A6AD2"/>
    <w:rsid w:val="000A6BC9"/>
    <w:rsid w:val="000A6C8C"/>
    <w:rsid w:val="000A6CD3"/>
    <w:rsid w:val="000A6DF5"/>
    <w:rsid w:val="000A7145"/>
    <w:rsid w:val="000A73F2"/>
    <w:rsid w:val="000A7614"/>
    <w:rsid w:val="000A76A1"/>
    <w:rsid w:val="000A7978"/>
    <w:rsid w:val="000A7BC5"/>
    <w:rsid w:val="000A7C21"/>
    <w:rsid w:val="000A7D21"/>
    <w:rsid w:val="000A7E53"/>
    <w:rsid w:val="000A7EEB"/>
    <w:rsid w:val="000A7F4B"/>
    <w:rsid w:val="000B0067"/>
    <w:rsid w:val="000B00B9"/>
    <w:rsid w:val="000B00C8"/>
    <w:rsid w:val="000B051A"/>
    <w:rsid w:val="000B06CC"/>
    <w:rsid w:val="000B06DC"/>
    <w:rsid w:val="000B0764"/>
    <w:rsid w:val="000B0821"/>
    <w:rsid w:val="000B0AA2"/>
    <w:rsid w:val="000B0AE1"/>
    <w:rsid w:val="000B0AF0"/>
    <w:rsid w:val="000B0BB6"/>
    <w:rsid w:val="000B0E33"/>
    <w:rsid w:val="000B0F3E"/>
    <w:rsid w:val="000B1605"/>
    <w:rsid w:val="000B17BA"/>
    <w:rsid w:val="000B17D4"/>
    <w:rsid w:val="000B1886"/>
    <w:rsid w:val="000B18BC"/>
    <w:rsid w:val="000B1A22"/>
    <w:rsid w:val="000B1B9A"/>
    <w:rsid w:val="000B1E50"/>
    <w:rsid w:val="000B1FEA"/>
    <w:rsid w:val="000B219E"/>
    <w:rsid w:val="000B2227"/>
    <w:rsid w:val="000B2525"/>
    <w:rsid w:val="000B2973"/>
    <w:rsid w:val="000B2C11"/>
    <w:rsid w:val="000B2F70"/>
    <w:rsid w:val="000B2F87"/>
    <w:rsid w:val="000B2FD4"/>
    <w:rsid w:val="000B3255"/>
    <w:rsid w:val="000B32D9"/>
    <w:rsid w:val="000B33D9"/>
    <w:rsid w:val="000B3463"/>
    <w:rsid w:val="000B3781"/>
    <w:rsid w:val="000B37B3"/>
    <w:rsid w:val="000B389A"/>
    <w:rsid w:val="000B3A4D"/>
    <w:rsid w:val="000B3A72"/>
    <w:rsid w:val="000B3AEC"/>
    <w:rsid w:val="000B3B4F"/>
    <w:rsid w:val="000B3C5C"/>
    <w:rsid w:val="000B3F2E"/>
    <w:rsid w:val="000B3F8A"/>
    <w:rsid w:val="000B41C6"/>
    <w:rsid w:val="000B4343"/>
    <w:rsid w:val="000B43B2"/>
    <w:rsid w:val="000B4427"/>
    <w:rsid w:val="000B4486"/>
    <w:rsid w:val="000B4580"/>
    <w:rsid w:val="000B475D"/>
    <w:rsid w:val="000B47DF"/>
    <w:rsid w:val="000B4CFF"/>
    <w:rsid w:val="000B4D76"/>
    <w:rsid w:val="000B50D4"/>
    <w:rsid w:val="000B5254"/>
    <w:rsid w:val="000B57CD"/>
    <w:rsid w:val="000B59B7"/>
    <w:rsid w:val="000B5BAE"/>
    <w:rsid w:val="000B5C8C"/>
    <w:rsid w:val="000B5F03"/>
    <w:rsid w:val="000B5FB1"/>
    <w:rsid w:val="000B610A"/>
    <w:rsid w:val="000B633B"/>
    <w:rsid w:val="000B65B2"/>
    <w:rsid w:val="000B6603"/>
    <w:rsid w:val="000B68C6"/>
    <w:rsid w:val="000B6E62"/>
    <w:rsid w:val="000B6F6D"/>
    <w:rsid w:val="000B732E"/>
    <w:rsid w:val="000B75DA"/>
    <w:rsid w:val="000B7612"/>
    <w:rsid w:val="000B766F"/>
    <w:rsid w:val="000B76DE"/>
    <w:rsid w:val="000B77BF"/>
    <w:rsid w:val="000B78F1"/>
    <w:rsid w:val="000B7A41"/>
    <w:rsid w:val="000B7A4E"/>
    <w:rsid w:val="000B7C1E"/>
    <w:rsid w:val="000B7CFA"/>
    <w:rsid w:val="000B7D64"/>
    <w:rsid w:val="000B7D66"/>
    <w:rsid w:val="000B7EB3"/>
    <w:rsid w:val="000B7F0E"/>
    <w:rsid w:val="000B7F3B"/>
    <w:rsid w:val="000C0048"/>
    <w:rsid w:val="000C015E"/>
    <w:rsid w:val="000C01A2"/>
    <w:rsid w:val="000C0274"/>
    <w:rsid w:val="000C02F4"/>
    <w:rsid w:val="000C0448"/>
    <w:rsid w:val="000C0549"/>
    <w:rsid w:val="000C07E9"/>
    <w:rsid w:val="000C09A4"/>
    <w:rsid w:val="000C0B97"/>
    <w:rsid w:val="000C0E51"/>
    <w:rsid w:val="000C0F09"/>
    <w:rsid w:val="000C0FE5"/>
    <w:rsid w:val="000C11B8"/>
    <w:rsid w:val="000C1293"/>
    <w:rsid w:val="000C12C0"/>
    <w:rsid w:val="000C13CA"/>
    <w:rsid w:val="000C153A"/>
    <w:rsid w:val="000C16E2"/>
    <w:rsid w:val="000C1759"/>
    <w:rsid w:val="000C17C5"/>
    <w:rsid w:val="000C1921"/>
    <w:rsid w:val="000C193B"/>
    <w:rsid w:val="000C1AD0"/>
    <w:rsid w:val="000C1DDF"/>
    <w:rsid w:val="000C215F"/>
    <w:rsid w:val="000C2161"/>
    <w:rsid w:val="000C23C9"/>
    <w:rsid w:val="000C2443"/>
    <w:rsid w:val="000C2506"/>
    <w:rsid w:val="000C2518"/>
    <w:rsid w:val="000C265E"/>
    <w:rsid w:val="000C2794"/>
    <w:rsid w:val="000C28E8"/>
    <w:rsid w:val="000C2A10"/>
    <w:rsid w:val="000C2B96"/>
    <w:rsid w:val="000C2BFA"/>
    <w:rsid w:val="000C2CD1"/>
    <w:rsid w:val="000C2E1A"/>
    <w:rsid w:val="000C2E27"/>
    <w:rsid w:val="000C2F56"/>
    <w:rsid w:val="000C2F67"/>
    <w:rsid w:val="000C2F86"/>
    <w:rsid w:val="000C2FBC"/>
    <w:rsid w:val="000C2FFA"/>
    <w:rsid w:val="000C3004"/>
    <w:rsid w:val="000C306E"/>
    <w:rsid w:val="000C31EC"/>
    <w:rsid w:val="000C350E"/>
    <w:rsid w:val="000C3564"/>
    <w:rsid w:val="000C3635"/>
    <w:rsid w:val="000C37CB"/>
    <w:rsid w:val="000C37E7"/>
    <w:rsid w:val="000C38C8"/>
    <w:rsid w:val="000C3D26"/>
    <w:rsid w:val="000C3D37"/>
    <w:rsid w:val="000C3EB2"/>
    <w:rsid w:val="000C3F5C"/>
    <w:rsid w:val="000C41CF"/>
    <w:rsid w:val="000C43A4"/>
    <w:rsid w:val="000C4507"/>
    <w:rsid w:val="000C4534"/>
    <w:rsid w:val="000C45A4"/>
    <w:rsid w:val="000C471C"/>
    <w:rsid w:val="000C4BAD"/>
    <w:rsid w:val="000C4BD1"/>
    <w:rsid w:val="000C4D56"/>
    <w:rsid w:val="000C4DB0"/>
    <w:rsid w:val="000C4E9B"/>
    <w:rsid w:val="000C54EE"/>
    <w:rsid w:val="000C55C1"/>
    <w:rsid w:val="000C571F"/>
    <w:rsid w:val="000C580A"/>
    <w:rsid w:val="000C5816"/>
    <w:rsid w:val="000C58C4"/>
    <w:rsid w:val="000C5BD1"/>
    <w:rsid w:val="000C5DAD"/>
    <w:rsid w:val="000C5E72"/>
    <w:rsid w:val="000C60C2"/>
    <w:rsid w:val="000C64B0"/>
    <w:rsid w:val="000C64C0"/>
    <w:rsid w:val="000C65DF"/>
    <w:rsid w:val="000C6617"/>
    <w:rsid w:val="000C6A17"/>
    <w:rsid w:val="000C6A4C"/>
    <w:rsid w:val="000C6A6E"/>
    <w:rsid w:val="000C7112"/>
    <w:rsid w:val="000C728A"/>
    <w:rsid w:val="000C7492"/>
    <w:rsid w:val="000C74EB"/>
    <w:rsid w:val="000C75D1"/>
    <w:rsid w:val="000C76D9"/>
    <w:rsid w:val="000C7722"/>
    <w:rsid w:val="000C7736"/>
    <w:rsid w:val="000C7A0C"/>
    <w:rsid w:val="000C7E6C"/>
    <w:rsid w:val="000C7EC9"/>
    <w:rsid w:val="000C7F86"/>
    <w:rsid w:val="000C7F88"/>
    <w:rsid w:val="000C7F9B"/>
    <w:rsid w:val="000C7FCE"/>
    <w:rsid w:val="000D01DF"/>
    <w:rsid w:val="000D0251"/>
    <w:rsid w:val="000D0418"/>
    <w:rsid w:val="000D04EE"/>
    <w:rsid w:val="000D05C7"/>
    <w:rsid w:val="000D0B07"/>
    <w:rsid w:val="000D0B98"/>
    <w:rsid w:val="000D0BF3"/>
    <w:rsid w:val="000D0D2A"/>
    <w:rsid w:val="000D0DBE"/>
    <w:rsid w:val="000D0ED3"/>
    <w:rsid w:val="000D0F0A"/>
    <w:rsid w:val="000D10E8"/>
    <w:rsid w:val="000D131A"/>
    <w:rsid w:val="000D1639"/>
    <w:rsid w:val="000D1967"/>
    <w:rsid w:val="000D198B"/>
    <w:rsid w:val="000D1D6B"/>
    <w:rsid w:val="000D23D2"/>
    <w:rsid w:val="000D23F4"/>
    <w:rsid w:val="000D2482"/>
    <w:rsid w:val="000D2770"/>
    <w:rsid w:val="000D2849"/>
    <w:rsid w:val="000D2ACB"/>
    <w:rsid w:val="000D2B63"/>
    <w:rsid w:val="000D2BC3"/>
    <w:rsid w:val="000D2BF6"/>
    <w:rsid w:val="000D2CC6"/>
    <w:rsid w:val="000D2D45"/>
    <w:rsid w:val="000D304E"/>
    <w:rsid w:val="000D3058"/>
    <w:rsid w:val="000D3257"/>
    <w:rsid w:val="000D326A"/>
    <w:rsid w:val="000D3312"/>
    <w:rsid w:val="000D33A9"/>
    <w:rsid w:val="000D33EF"/>
    <w:rsid w:val="000D34B0"/>
    <w:rsid w:val="000D3604"/>
    <w:rsid w:val="000D38E1"/>
    <w:rsid w:val="000D3A2D"/>
    <w:rsid w:val="000D3A6C"/>
    <w:rsid w:val="000D3B0B"/>
    <w:rsid w:val="000D3C5F"/>
    <w:rsid w:val="000D3E1B"/>
    <w:rsid w:val="000D3E77"/>
    <w:rsid w:val="000D3ED7"/>
    <w:rsid w:val="000D400B"/>
    <w:rsid w:val="000D4053"/>
    <w:rsid w:val="000D40BF"/>
    <w:rsid w:val="000D41B5"/>
    <w:rsid w:val="000D42B2"/>
    <w:rsid w:val="000D4712"/>
    <w:rsid w:val="000D4914"/>
    <w:rsid w:val="000D4BA6"/>
    <w:rsid w:val="000D4D5D"/>
    <w:rsid w:val="000D5010"/>
    <w:rsid w:val="000D510C"/>
    <w:rsid w:val="000D511B"/>
    <w:rsid w:val="000D524E"/>
    <w:rsid w:val="000D5251"/>
    <w:rsid w:val="000D53E6"/>
    <w:rsid w:val="000D555B"/>
    <w:rsid w:val="000D56B4"/>
    <w:rsid w:val="000D56C1"/>
    <w:rsid w:val="000D5895"/>
    <w:rsid w:val="000D58F0"/>
    <w:rsid w:val="000D59BD"/>
    <w:rsid w:val="000D5BCF"/>
    <w:rsid w:val="000D5FED"/>
    <w:rsid w:val="000D600F"/>
    <w:rsid w:val="000D626F"/>
    <w:rsid w:val="000D637F"/>
    <w:rsid w:val="000D654D"/>
    <w:rsid w:val="000D68C8"/>
    <w:rsid w:val="000D6B6D"/>
    <w:rsid w:val="000D70E1"/>
    <w:rsid w:val="000D74F7"/>
    <w:rsid w:val="000D7572"/>
    <w:rsid w:val="000D75F8"/>
    <w:rsid w:val="000D78FC"/>
    <w:rsid w:val="000D79BC"/>
    <w:rsid w:val="000D7BC3"/>
    <w:rsid w:val="000DE430"/>
    <w:rsid w:val="000E00AF"/>
    <w:rsid w:val="000E0146"/>
    <w:rsid w:val="000E0324"/>
    <w:rsid w:val="000E0557"/>
    <w:rsid w:val="000E05C2"/>
    <w:rsid w:val="000E0786"/>
    <w:rsid w:val="000E08E9"/>
    <w:rsid w:val="000E08FB"/>
    <w:rsid w:val="000E09AF"/>
    <w:rsid w:val="000E0E90"/>
    <w:rsid w:val="000E101F"/>
    <w:rsid w:val="000E1715"/>
    <w:rsid w:val="000E1782"/>
    <w:rsid w:val="000E17C7"/>
    <w:rsid w:val="000E1AB3"/>
    <w:rsid w:val="000E1C85"/>
    <w:rsid w:val="000E1F3B"/>
    <w:rsid w:val="000E1F50"/>
    <w:rsid w:val="000E1FB6"/>
    <w:rsid w:val="000E20F3"/>
    <w:rsid w:val="000E2108"/>
    <w:rsid w:val="000E28C8"/>
    <w:rsid w:val="000E2989"/>
    <w:rsid w:val="000E29C4"/>
    <w:rsid w:val="000E2AAB"/>
    <w:rsid w:val="000E2BE3"/>
    <w:rsid w:val="000E2BE4"/>
    <w:rsid w:val="000E2EDA"/>
    <w:rsid w:val="000E2F35"/>
    <w:rsid w:val="000E33F6"/>
    <w:rsid w:val="000E343E"/>
    <w:rsid w:val="000E3441"/>
    <w:rsid w:val="000E35AB"/>
    <w:rsid w:val="000E37A2"/>
    <w:rsid w:val="000E3970"/>
    <w:rsid w:val="000E39B5"/>
    <w:rsid w:val="000E3DF3"/>
    <w:rsid w:val="000E4289"/>
    <w:rsid w:val="000E443B"/>
    <w:rsid w:val="000E4468"/>
    <w:rsid w:val="000E4563"/>
    <w:rsid w:val="000E4670"/>
    <w:rsid w:val="000E468A"/>
    <w:rsid w:val="000E47EF"/>
    <w:rsid w:val="000E484C"/>
    <w:rsid w:val="000E4B30"/>
    <w:rsid w:val="000E4C2C"/>
    <w:rsid w:val="000E4F25"/>
    <w:rsid w:val="000E52DE"/>
    <w:rsid w:val="000E5384"/>
    <w:rsid w:val="000E53AA"/>
    <w:rsid w:val="000E561B"/>
    <w:rsid w:val="000E5748"/>
    <w:rsid w:val="000E59D9"/>
    <w:rsid w:val="000E615D"/>
    <w:rsid w:val="000E634D"/>
    <w:rsid w:val="000E6352"/>
    <w:rsid w:val="000E67EC"/>
    <w:rsid w:val="000E686F"/>
    <w:rsid w:val="000E689A"/>
    <w:rsid w:val="000E6A78"/>
    <w:rsid w:val="000E6BBB"/>
    <w:rsid w:val="000E6CF5"/>
    <w:rsid w:val="000E6D30"/>
    <w:rsid w:val="000E6E5A"/>
    <w:rsid w:val="000E700C"/>
    <w:rsid w:val="000E7027"/>
    <w:rsid w:val="000E7140"/>
    <w:rsid w:val="000E7628"/>
    <w:rsid w:val="000E7774"/>
    <w:rsid w:val="000E7828"/>
    <w:rsid w:val="000E7AB7"/>
    <w:rsid w:val="000E7B4D"/>
    <w:rsid w:val="000E7BE8"/>
    <w:rsid w:val="000E7C80"/>
    <w:rsid w:val="000E7D33"/>
    <w:rsid w:val="000E7DC0"/>
    <w:rsid w:val="000E7DE3"/>
    <w:rsid w:val="000E7F4F"/>
    <w:rsid w:val="000F025F"/>
    <w:rsid w:val="000F0307"/>
    <w:rsid w:val="000F04A3"/>
    <w:rsid w:val="000F05A1"/>
    <w:rsid w:val="000F072F"/>
    <w:rsid w:val="000F07E2"/>
    <w:rsid w:val="000F0940"/>
    <w:rsid w:val="000F09C2"/>
    <w:rsid w:val="000F0B1E"/>
    <w:rsid w:val="000F0C35"/>
    <w:rsid w:val="000F0C8A"/>
    <w:rsid w:val="000F0E2B"/>
    <w:rsid w:val="000F0E6A"/>
    <w:rsid w:val="000F0E75"/>
    <w:rsid w:val="000F1156"/>
    <w:rsid w:val="000F11B8"/>
    <w:rsid w:val="000F14C1"/>
    <w:rsid w:val="000F151B"/>
    <w:rsid w:val="000F1576"/>
    <w:rsid w:val="000F157A"/>
    <w:rsid w:val="000F1599"/>
    <w:rsid w:val="000F164D"/>
    <w:rsid w:val="000F1659"/>
    <w:rsid w:val="000F183E"/>
    <w:rsid w:val="000F1D2E"/>
    <w:rsid w:val="000F1FC5"/>
    <w:rsid w:val="000F2319"/>
    <w:rsid w:val="000F23D8"/>
    <w:rsid w:val="000F2457"/>
    <w:rsid w:val="000F263C"/>
    <w:rsid w:val="000F27E1"/>
    <w:rsid w:val="000F2BD1"/>
    <w:rsid w:val="000F2C80"/>
    <w:rsid w:val="000F2CB9"/>
    <w:rsid w:val="000F3106"/>
    <w:rsid w:val="000F3162"/>
    <w:rsid w:val="000F325C"/>
    <w:rsid w:val="000F352B"/>
    <w:rsid w:val="000F36CF"/>
    <w:rsid w:val="000F3AFB"/>
    <w:rsid w:val="000F4059"/>
    <w:rsid w:val="000F406E"/>
    <w:rsid w:val="000F4126"/>
    <w:rsid w:val="000F413D"/>
    <w:rsid w:val="000F418F"/>
    <w:rsid w:val="000F4219"/>
    <w:rsid w:val="000F42DA"/>
    <w:rsid w:val="000F4B2A"/>
    <w:rsid w:val="000F4C8D"/>
    <w:rsid w:val="000F4E2D"/>
    <w:rsid w:val="000F4EFA"/>
    <w:rsid w:val="000F521E"/>
    <w:rsid w:val="000F534A"/>
    <w:rsid w:val="000F53CE"/>
    <w:rsid w:val="000F547D"/>
    <w:rsid w:val="000F54A3"/>
    <w:rsid w:val="000F595A"/>
    <w:rsid w:val="000F59FD"/>
    <w:rsid w:val="000F5B2A"/>
    <w:rsid w:val="000F5DE1"/>
    <w:rsid w:val="000F5E7D"/>
    <w:rsid w:val="000F656B"/>
    <w:rsid w:val="000F65AE"/>
    <w:rsid w:val="000F6614"/>
    <w:rsid w:val="000F6664"/>
    <w:rsid w:val="000F66A2"/>
    <w:rsid w:val="000F6A64"/>
    <w:rsid w:val="000F6A67"/>
    <w:rsid w:val="000F6A95"/>
    <w:rsid w:val="000F6B77"/>
    <w:rsid w:val="000F6D93"/>
    <w:rsid w:val="000F6DB1"/>
    <w:rsid w:val="000F6EC1"/>
    <w:rsid w:val="000F6FF0"/>
    <w:rsid w:val="000F7039"/>
    <w:rsid w:val="000F711A"/>
    <w:rsid w:val="000F71C1"/>
    <w:rsid w:val="000F7223"/>
    <w:rsid w:val="000F7345"/>
    <w:rsid w:val="000F75D4"/>
    <w:rsid w:val="000F77CE"/>
    <w:rsid w:val="000F7AF9"/>
    <w:rsid w:val="000F7F6A"/>
    <w:rsid w:val="001000DB"/>
    <w:rsid w:val="001000E5"/>
    <w:rsid w:val="0010029B"/>
    <w:rsid w:val="001004D8"/>
    <w:rsid w:val="00100543"/>
    <w:rsid w:val="00100615"/>
    <w:rsid w:val="00100624"/>
    <w:rsid w:val="00100A7C"/>
    <w:rsid w:val="00100C71"/>
    <w:rsid w:val="00100DE8"/>
    <w:rsid w:val="00100F4F"/>
    <w:rsid w:val="00100FF3"/>
    <w:rsid w:val="001011A7"/>
    <w:rsid w:val="0010125D"/>
    <w:rsid w:val="001012D1"/>
    <w:rsid w:val="001012FB"/>
    <w:rsid w:val="00101563"/>
    <w:rsid w:val="00101610"/>
    <w:rsid w:val="00101810"/>
    <w:rsid w:val="001019FC"/>
    <w:rsid w:val="00101BA7"/>
    <w:rsid w:val="00101C05"/>
    <w:rsid w:val="001021D9"/>
    <w:rsid w:val="0010221A"/>
    <w:rsid w:val="001022B0"/>
    <w:rsid w:val="0010241B"/>
    <w:rsid w:val="00102702"/>
    <w:rsid w:val="001028D2"/>
    <w:rsid w:val="001028F1"/>
    <w:rsid w:val="00102981"/>
    <w:rsid w:val="001029C5"/>
    <w:rsid w:val="00102D50"/>
    <w:rsid w:val="00102E9D"/>
    <w:rsid w:val="00103063"/>
    <w:rsid w:val="00103203"/>
    <w:rsid w:val="001032AA"/>
    <w:rsid w:val="00103438"/>
    <w:rsid w:val="0010348D"/>
    <w:rsid w:val="001035A4"/>
    <w:rsid w:val="0010370A"/>
    <w:rsid w:val="00103838"/>
    <w:rsid w:val="00103894"/>
    <w:rsid w:val="00103D42"/>
    <w:rsid w:val="00103E2E"/>
    <w:rsid w:val="00104078"/>
    <w:rsid w:val="001040C8"/>
    <w:rsid w:val="00104175"/>
    <w:rsid w:val="001042E2"/>
    <w:rsid w:val="001046D3"/>
    <w:rsid w:val="001046E3"/>
    <w:rsid w:val="00104C00"/>
    <w:rsid w:val="00104D8A"/>
    <w:rsid w:val="00104EE3"/>
    <w:rsid w:val="001051B0"/>
    <w:rsid w:val="0010548A"/>
    <w:rsid w:val="001054D4"/>
    <w:rsid w:val="001057B9"/>
    <w:rsid w:val="00105895"/>
    <w:rsid w:val="001058CE"/>
    <w:rsid w:val="0010596A"/>
    <w:rsid w:val="00105996"/>
    <w:rsid w:val="00105A80"/>
    <w:rsid w:val="00105AC6"/>
    <w:rsid w:val="00105BED"/>
    <w:rsid w:val="00105D26"/>
    <w:rsid w:val="00105FE0"/>
    <w:rsid w:val="00106043"/>
    <w:rsid w:val="00106070"/>
    <w:rsid w:val="00106097"/>
    <w:rsid w:val="001060AF"/>
    <w:rsid w:val="0010612F"/>
    <w:rsid w:val="001062CF"/>
    <w:rsid w:val="00106896"/>
    <w:rsid w:val="00106B8B"/>
    <w:rsid w:val="00106BCA"/>
    <w:rsid w:val="00106C0D"/>
    <w:rsid w:val="00106D8F"/>
    <w:rsid w:val="00106E31"/>
    <w:rsid w:val="00106F19"/>
    <w:rsid w:val="00106FC1"/>
    <w:rsid w:val="0010735C"/>
    <w:rsid w:val="001073C9"/>
    <w:rsid w:val="00107571"/>
    <w:rsid w:val="001078BB"/>
    <w:rsid w:val="00107B21"/>
    <w:rsid w:val="00107CAA"/>
    <w:rsid w:val="00107D01"/>
    <w:rsid w:val="00107E3B"/>
    <w:rsid w:val="00107E40"/>
    <w:rsid w:val="00110078"/>
    <w:rsid w:val="001100B6"/>
    <w:rsid w:val="00110160"/>
    <w:rsid w:val="00110290"/>
    <w:rsid w:val="001102F6"/>
    <w:rsid w:val="00110436"/>
    <w:rsid w:val="00110475"/>
    <w:rsid w:val="001105AF"/>
    <w:rsid w:val="001105BB"/>
    <w:rsid w:val="00110606"/>
    <w:rsid w:val="00110705"/>
    <w:rsid w:val="0011074E"/>
    <w:rsid w:val="001108B0"/>
    <w:rsid w:val="001108BC"/>
    <w:rsid w:val="00110C5C"/>
    <w:rsid w:val="00110EF9"/>
    <w:rsid w:val="0011116E"/>
    <w:rsid w:val="001111C2"/>
    <w:rsid w:val="00111235"/>
    <w:rsid w:val="001113D9"/>
    <w:rsid w:val="00111531"/>
    <w:rsid w:val="001119E0"/>
    <w:rsid w:val="00111A0B"/>
    <w:rsid w:val="00111B0E"/>
    <w:rsid w:val="00111BED"/>
    <w:rsid w:val="00111CFA"/>
    <w:rsid w:val="00111E92"/>
    <w:rsid w:val="00111F27"/>
    <w:rsid w:val="00111FBC"/>
    <w:rsid w:val="0011215C"/>
    <w:rsid w:val="001121B0"/>
    <w:rsid w:val="001122C4"/>
    <w:rsid w:val="001125E9"/>
    <w:rsid w:val="00112656"/>
    <w:rsid w:val="001126A5"/>
    <w:rsid w:val="001128DE"/>
    <w:rsid w:val="001129D1"/>
    <w:rsid w:val="001129E4"/>
    <w:rsid w:val="00112A76"/>
    <w:rsid w:val="00112C16"/>
    <w:rsid w:val="00112C3C"/>
    <w:rsid w:val="00112CD9"/>
    <w:rsid w:val="00112CEA"/>
    <w:rsid w:val="00113060"/>
    <w:rsid w:val="0011310A"/>
    <w:rsid w:val="00113ADF"/>
    <w:rsid w:val="00113B03"/>
    <w:rsid w:val="00113B80"/>
    <w:rsid w:val="00113FCD"/>
    <w:rsid w:val="001142A5"/>
    <w:rsid w:val="0011443D"/>
    <w:rsid w:val="00114BA9"/>
    <w:rsid w:val="00114F26"/>
    <w:rsid w:val="00115122"/>
    <w:rsid w:val="0011540D"/>
    <w:rsid w:val="00115417"/>
    <w:rsid w:val="0011563B"/>
    <w:rsid w:val="001156C9"/>
    <w:rsid w:val="0011575D"/>
    <w:rsid w:val="001158FA"/>
    <w:rsid w:val="0011598F"/>
    <w:rsid w:val="00115A52"/>
    <w:rsid w:val="00115B1C"/>
    <w:rsid w:val="00115D80"/>
    <w:rsid w:val="00115E7E"/>
    <w:rsid w:val="00116111"/>
    <w:rsid w:val="001162CC"/>
    <w:rsid w:val="00116399"/>
    <w:rsid w:val="001165FE"/>
    <w:rsid w:val="00116626"/>
    <w:rsid w:val="0011684C"/>
    <w:rsid w:val="00116889"/>
    <w:rsid w:val="0011688D"/>
    <w:rsid w:val="001169EE"/>
    <w:rsid w:val="00116C8F"/>
    <w:rsid w:val="00116DE7"/>
    <w:rsid w:val="00116E62"/>
    <w:rsid w:val="00116F38"/>
    <w:rsid w:val="00117046"/>
    <w:rsid w:val="00117535"/>
    <w:rsid w:val="001175D8"/>
    <w:rsid w:val="00117768"/>
    <w:rsid w:val="0011795A"/>
    <w:rsid w:val="00117997"/>
    <w:rsid w:val="00117BFC"/>
    <w:rsid w:val="00117EF8"/>
    <w:rsid w:val="00120171"/>
    <w:rsid w:val="00120334"/>
    <w:rsid w:val="001204E1"/>
    <w:rsid w:val="00120665"/>
    <w:rsid w:val="001206AD"/>
    <w:rsid w:val="001207FE"/>
    <w:rsid w:val="001208B5"/>
    <w:rsid w:val="001209D0"/>
    <w:rsid w:val="00120B23"/>
    <w:rsid w:val="00120BDD"/>
    <w:rsid w:val="00120D1B"/>
    <w:rsid w:val="00120D81"/>
    <w:rsid w:val="00120F42"/>
    <w:rsid w:val="00120FD0"/>
    <w:rsid w:val="00121024"/>
    <w:rsid w:val="001210DA"/>
    <w:rsid w:val="00121233"/>
    <w:rsid w:val="0012149C"/>
    <w:rsid w:val="001215F2"/>
    <w:rsid w:val="0012174B"/>
    <w:rsid w:val="0012175D"/>
    <w:rsid w:val="001217C6"/>
    <w:rsid w:val="0012188C"/>
    <w:rsid w:val="001218CC"/>
    <w:rsid w:val="001218DD"/>
    <w:rsid w:val="001219A5"/>
    <w:rsid w:val="00121B8C"/>
    <w:rsid w:val="00121C88"/>
    <w:rsid w:val="00121D59"/>
    <w:rsid w:val="00121DB9"/>
    <w:rsid w:val="00121FB1"/>
    <w:rsid w:val="00122005"/>
    <w:rsid w:val="00122080"/>
    <w:rsid w:val="00122087"/>
    <w:rsid w:val="0012246A"/>
    <w:rsid w:val="0012246C"/>
    <w:rsid w:val="0012256C"/>
    <w:rsid w:val="0012261F"/>
    <w:rsid w:val="0012264B"/>
    <w:rsid w:val="00122739"/>
    <w:rsid w:val="00122813"/>
    <w:rsid w:val="00122A7F"/>
    <w:rsid w:val="00122AB7"/>
    <w:rsid w:val="00122B19"/>
    <w:rsid w:val="00122B3F"/>
    <w:rsid w:val="00122CE8"/>
    <w:rsid w:val="00122D34"/>
    <w:rsid w:val="00122D74"/>
    <w:rsid w:val="00122F28"/>
    <w:rsid w:val="00123122"/>
    <w:rsid w:val="001231CE"/>
    <w:rsid w:val="00123252"/>
    <w:rsid w:val="001235B4"/>
    <w:rsid w:val="00123791"/>
    <w:rsid w:val="00123A32"/>
    <w:rsid w:val="00123AAA"/>
    <w:rsid w:val="00123D8C"/>
    <w:rsid w:val="00123FB2"/>
    <w:rsid w:val="001242CD"/>
    <w:rsid w:val="00124303"/>
    <w:rsid w:val="00124344"/>
    <w:rsid w:val="0012464C"/>
    <w:rsid w:val="00124833"/>
    <w:rsid w:val="001248F9"/>
    <w:rsid w:val="00124A27"/>
    <w:rsid w:val="00124A47"/>
    <w:rsid w:val="00124A80"/>
    <w:rsid w:val="00124BE1"/>
    <w:rsid w:val="00124C25"/>
    <w:rsid w:val="00124DA4"/>
    <w:rsid w:val="00124F9C"/>
    <w:rsid w:val="00125232"/>
    <w:rsid w:val="00125563"/>
    <w:rsid w:val="0012569A"/>
    <w:rsid w:val="00125872"/>
    <w:rsid w:val="00125896"/>
    <w:rsid w:val="001259B7"/>
    <w:rsid w:val="00125CC0"/>
    <w:rsid w:val="00125E60"/>
    <w:rsid w:val="001260D2"/>
    <w:rsid w:val="00126582"/>
    <w:rsid w:val="001265C5"/>
    <w:rsid w:val="00126753"/>
    <w:rsid w:val="001268E8"/>
    <w:rsid w:val="00126928"/>
    <w:rsid w:val="001269A3"/>
    <w:rsid w:val="00126F3D"/>
    <w:rsid w:val="00126F7A"/>
    <w:rsid w:val="00127275"/>
    <w:rsid w:val="00127295"/>
    <w:rsid w:val="001273B9"/>
    <w:rsid w:val="00127465"/>
    <w:rsid w:val="001275F2"/>
    <w:rsid w:val="00127BEE"/>
    <w:rsid w:val="00127D60"/>
    <w:rsid w:val="00127E64"/>
    <w:rsid w:val="001301B2"/>
    <w:rsid w:val="001301D8"/>
    <w:rsid w:val="0013031D"/>
    <w:rsid w:val="0013054D"/>
    <w:rsid w:val="00130562"/>
    <w:rsid w:val="001305F2"/>
    <w:rsid w:val="00130896"/>
    <w:rsid w:val="0013095B"/>
    <w:rsid w:val="00130A37"/>
    <w:rsid w:val="00130B6A"/>
    <w:rsid w:val="00130CF7"/>
    <w:rsid w:val="00130F0E"/>
    <w:rsid w:val="0013164F"/>
    <w:rsid w:val="0013166A"/>
    <w:rsid w:val="00131768"/>
    <w:rsid w:val="0013180B"/>
    <w:rsid w:val="001319F3"/>
    <w:rsid w:val="001319F7"/>
    <w:rsid w:val="00131BB2"/>
    <w:rsid w:val="00131BF8"/>
    <w:rsid w:val="00131C65"/>
    <w:rsid w:val="00131D2F"/>
    <w:rsid w:val="00131E28"/>
    <w:rsid w:val="00131E55"/>
    <w:rsid w:val="00131E5C"/>
    <w:rsid w:val="001320F4"/>
    <w:rsid w:val="0013227E"/>
    <w:rsid w:val="001326A7"/>
    <w:rsid w:val="001328DD"/>
    <w:rsid w:val="00132AB7"/>
    <w:rsid w:val="00132C66"/>
    <w:rsid w:val="00132CE9"/>
    <w:rsid w:val="00132D57"/>
    <w:rsid w:val="00132D77"/>
    <w:rsid w:val="00132E1C"/>
    <w:rsid w:val="00132E41"/>
    <w:rsid w:val="00132F11"/>
    <w:rsid w:val="0013301E"/>
    <w:rsid w:val="001331AE"/>
    <w:rsid w:val="0013325A"/>
    <w:rsid w:val="0013347F"/>
    <w:rsid w:val="00133534"/>
    <w:rsid w:val="001335A5"/>
    <w:rsid w:val="00133695"/>
    <w:rsid w:val="0013386F"/>
    <w:rsid w:val="001338E7"/>
    <w:rsid w:val="00133930"/>
    <w:rsid w:val="00133A57"/>
    <w:rsid w:val="00133AEA"/>
    <w:rsid w:val="00133AEE"/>
    <w:rsid w:val="00133C3E"/>
    <w:rsid w:val="00133DF1"/>
    <w:rsid w:val="00133EA5"/>
    <w:rsid w:val="00133FAB"/>
    <w:rsid w:val="001343DA"/>
    <w:rsid w:val="0013454D"/>
    <w:rsid w:val="0013454F"/>
    <w:rsid w:val="001345E0"/>
    <w:rsid w:val="00134649"/>
    <w:rsid w:val="001346A3"/>
    <w:rsid w:val="0013480B"/>
    <w:rsid w:val="00134A9B"/>
    <w:rsid w:val="00134B9C"/>
    <w:rsid w:val="00134EA6"/>
    <w:rsid w:val="00134F24"/>
    <w:rsid w:val="00134F2A"/>
    <w:rsid w:val="001350C2"/>
    <w:rsid w:val="0013531E"/>
    <w:rsid w:val="001354A3"/>
    <w:rsid w:val="00135509"/>
    <w:rsid w:val="001357ED"/>
    <w:rsid w:val="001358A0"/>
    <w:rsid w:val="00135902"/>
    <w:rsid w:val="00135A87"/>
    <w:rsid w:val="00135AD5"/>
    <w:rsid w:val="00135C87"/>
    <w:rsid w:val="00135CC6"/>
    <w:rsid w:val="00135D79"/>
    <w:rsid w:val="00135E0F"/>
    <w:rsid w:val="00135EC3"/>
    <w:rsid w:val="00135F04"/>
    <w:rsid w:val="0013628F"/>
    <w:rsid w:val="00136327"/>
    <w:rsid w:val="001363DE"/>
    <w:rsid w:val="0013653E"/>
    <w:rsid w:val="001366C6"/>
    <w:rsid w:val="001366C8"/>
    <w:rsid w:val="00136737"/>
    <w:rsid w:val="00136957"/>
    <w:rsid w:val="00136AA5"/>
    <w:rsid w:val="00136C44"/>
    <w:rsid w:val="00136FBC"/>
    <w:rsid w:val="001370AA"/>
    <w:rsid w:val="001370BC"/>
    <w:rsid w:val="0013727E"/>
    <w:rsid w:val="00137374"/>
    <w:rsid w:val="0013737D"/>
    <w:rsid w:val="001373C3"/>
    <w:rsid w:val="00137747"/>
    <w:rsid w:val="001377F0"/>
    <w:rsid w:val="00137999"/>
    <w:rsid w:val="00137AA8"/>
    <w:rsid w:val="00137EE5"/>
    <w:rsid w:val="001400A5"/>
    <w:rsid w:val="0014061D"/>
    <w:rsid w:val="00140783"/>
    <w:rsid w:val="001407D5"/>
    <w:rsid w:val="00140817"/>
    <w:rsid w:val="0014081B"/>
    <w:rsid w:val="0014089F"/>
    <w:rsid w:val="00140907"/>
    <w:rsid w:val="0014099F"/>
    <w:rsid w:val="00140CF9"/>
    <w:rsid w:val="00140F06"/>
    <w:rsid w:val="00140FB6"/>
    <w:rsid w:val="00141277"/>
    <w:rsid w:val="00141334"/>
    <w:rsid w:val="001413B9"/>
    <w:rsid w:val="00141521"/>
    <w:rsid w:val="00141627"/>
    <w:rsid w:val="001416F7"/>
    <w:rsid w:val="0014179E"/>
    <w:rsid w:val="001417BD"/>
    <w:rsid w:val="001418AD"/>
    <w:rsid w:val="001418B1"/>
    <w:rsid w:val="001418BE"/>
    <w:rsid w:val="00141CA7"/>
    <w:rsid w:val="00141E45"/>
    <w:rsid w:val="00141ECB"/>
    <w:rsid w:val="00141EDF"/>
    <w:rsid w:val="00141FCE"/>
    <w:rsid w:val="00142021"/>
    <w:rsid w:val="0014216F"/>
    <w:rsid w:val="001421FA"/>
    <w:rsid w:val="00142310"/>
    <w:rsid w:val="0014238F"/>
    <w:rsid w:val="001423E6"/>
    <w:rsid w:val="001425C2"/>
    <w:rsid w:val="001425E6"/>
    <w:rsid w:val="00142736"/>
    <w:rsid w:val="0014273C"/>
    <w:rsid w:val="001427EB"/>
    <w:rsid w:val="00142A9C"/>
    <w:rsid w:val="00142AA7"/>
    <w:rsid w:val="00142CC4"/>
    <w:rsid w:val="00142F24"/>
    <w:rsid w:val="00142FA7"/>
    <w:rsid w:val="00143186"/>
    <w:rsid w:val="001431E6"/>
    <w:rsid w:val="00143333"/>
    <w:rsid w:val="001435EB"/>
    <w:rsid w:val="001437BB"/>
    <w:rsid w:val="0014382E"/>
    <w:rsid w:val="00143B07"/>
    <w:rsid w:val="00143B6D"/>
    <w:rsid w:val="00143D17"/>
    <w:rsid w:val="00144060"/>
    <w:rsid w:val="001440BC"/>
    <w:rsid w:val="00144118"/>
    <w:rsid w:val="0014413B"/>
    <w:rsid w:val="0014420C"/>
    <w:rsid w:val="00144475"/>
    <w:rsid w:val="001445C3"/>
    <w:rsid w:val="0014464D"/>
    <w:rsid w:val="00144666"/>
    <w:rsid w:val="00144A8E"/>
    <w:rsid w:val="00144AB4"/>
    <w:rsid w:val="00144C03"/>
    <w:rsid w:val="00144FD0"/>
    <w:rsid w:val="0014510E"/>
    <w:rsid w:val="001451CB"/>
    <w:rsid w:val="0014524A"/>
    <w:rsid w:val="0014598E"/>
    <w:rsid w:val="001459ED"/>
    <w:rsid w:val="00145A27"/>
    <w:rsid w:val="00145A2B"/>
    <w:rsid w:val="00145CE2"/>
    <w:rsid w:val="00145D2A"/>
    <w:rsid w:val="00145E9E"/>
    <w:rsid w:val="00145F50"/>
    <w:rsid w:val="001461F7"/>
    <w:rsid w:val="0014621C"/>
    <w:rsid w:val="00146309"/>
    <w:rsid w:val="001464C3"/>
    <w:rsid w:val="0014655B"/>
    <w:rsid w:val="00146722"/>
    <w:rsid w:val="00146A19"/>
    <w:rsid w:val="00146C6C"/>
    <w:rsid w:val="00146C75"/>
    <w:rsid w:val="00146E3C"/>
    <w:rsid w:val="00146E4C"/>
    <w:rsid w:val="00146E5D"/>
    <w:rsid w:val="00146F36"/>
    <w:rsid w:val="00147051"/>
    <w:rsid w:val="00147078"/>
    <w:rsid w:val="00147244"/>
    <w:rsid w:val="001474EF"/>
    <w:rsid w:val="00147533"/>
    <w:rsid w:val="00147914"/>
    <w:rsid w:val="00147CF9"/>
    <w:rsid w:val="00147EF2"/>
    <w:rsid w:val="0015004A"/>
    <w:rsid w:val="001500F2"/>
    <w:rsid w:val="0015040F"/>
    <w:rsid w:val="00150459"/>
    <w:rsid w:val="00150507"/>
    <w:rsid w:val="001506E4"/>
    <w:rsid w:val="001507A1"/>
    <w:rsid w:val="00150893"/>
    <w:rsid w:val="00150A25"/>
    <w:rsid w:val="00150A8E"/>
    <w:rsid w:val="00150C9B"/>
    <w:rsid w:val="00150D5F"/>
    <w:rsid w:val="0015113D"/>
    <w:rsid w:val="00151166"/>
    <w:rsid w:val="00151412"/>
    <w:rsid w:val="0015152D"/>
    <w:rsid w:val="0015163B"/>
    <w:rsid w:val="001516E1"/>
    <w:rsid w:val="00151A18"/>
    <w:rsid w:val="00151A40"/>
    <w:rsid w:val="00151C0B"/>
    <w:rsid w:val="00151C13"/>
    <w:rsid w:val="00151DEC"/>
    <w:rsid w:val="00151EFF"/>
    <w:rsid w:val="00151F45"/>
    <w:rsid w:val="0015214A"/>
    <w:rsid w:val="001527AA"/>
    <w:rsid w:val="00152A0A"/>
    <w:rsid w:val="00152A60"/>
    <w:rsid w:val="00152AAB"/>
    <w:rsid w:val="00152CF7"/>
    <w:rsid w:val="00152E9C"/>
    <w:rsid w:val="00152F89"/>
    <w:rsid w:val="00153098"/>
    <w:rsid w:val="00153120"/>
    <w:rsid w:val="00153435"/>
    <w:rsid w:val="001535FF"/>
    <w:rsid w:val="001536D0"/>
    <w:rsid w:val="0015388A"/>
    <w:rsid w:val="001539AE"/>
    <w:rsid w:val="00153B5B"/>
    <w:rsid w:val="00153B8C"/>
    <w:rsid w:val="00153C01"/>
    <w:rsid w:val="0015401F"/>
    <w:rsid w:val="00154098"/>
    <w:rsid w:val="00154189"/>
    <w:rsid w:val="001542B5"/>
    <w:rsid w:val="001542BA"/>
    <w:rsid w:val="0015438D"/>
    <w:rsid w:val="001543CE"/>
    <w:rsid w:val="00154471"/>
    <w:rsid w:val="00154492"/>
    <w:rsid w:val="00154747"/>
    <w:rsid w:val="001547C7"/>
    <w:rsid w:val="001549E5"/>
    <w:rsid w:val="00154CD1"/>
    <w:rsid w:val="00154D64"/>
    <w:rsid w:val="00154E4C"/>
    <w:rsid w:val="00154F0F"/>
    <w:rsid w:val="00155038"/>
    <w:rsid w:val="001555EC"/>
    <w:rsid w:val="00155858"/>
    <w:rsid w:val="00155E41"/>
    <w:rsid w:val="00155E44"/>
    <w:rsid w:val="00156155"/>
    <w:rsid w:val="001561DD"/>
    <w:rsid w:val="001562A2"/>
    <w:rsid w:val="00156300"/>
    <w:rsid w:val="00156407"/>
    <w:rsid w:val="0015643E"/>
    <w:rsid w:val="0015645B"/>
    <w:rsid w:val="00156660"/>
    <w:rsid w:val="001567DB"/>
    <w:rsid w:val="001569E2"/>
    <w:rsid w:val="00156A20"/>
    <w:rsid w:val="00156C15"/>
    <w:rsid w:val="00156D9A"/>
    <w:rsid w:val="00156F23"/>
    <w:rsid w:val="0015734B"/>
    <w:rsid w:val="0015765D"/>
    <w:rsid w:val="00157756"/>
    <w:rsid w:val="001579E1"/>
    <w:rsid w:val="00157B03"/>
    <w:rsid w:val="00157B0A"/>
    <w:rsid w:val="00157B37"/>
    <w:rsid w:val="00157C10"/>
    <w:rsid w:val="00157C50"/>
    <w:rsid w:val="00157D5B"/>
    <w:rsid w:val="00157D5D"/>
    <w:rsid w:val="00157E20"/>
    <w:rsid w:val="00160269"/>
    <w:rsid w:val="001602E6"/>
    <w:rsid w:val="0016035A"/>
    <w:rsid w:val="00160479"/>
    <w:rsid w:val="00160609"/>
    <w:rsid w:val="0016071B"/>
    <w:rsid w:val="00160A23"/>
    <w:rsid w:val="00160BA9"/>
    <w:rsid w:val="00160C8F"/>
    <w:rsid w:val="00160F82"/>
    <w:rsid w:val="00160FA4"/>
    <w:rsid w:val="00160FBE"/>
    <w:rsid w:val="001613F4"/>
    <w:rsid w:val="0016140D"/>
    <w:rsid w:val="00161468"/>
    <w:rsid w:val="00161873"/>
    <w:rsid w:val="00161891"/>
    <w:rsid w:val="00161931"/>
    <w:rsid w:val="001619B2"/>
    <w:rsid w:val="00161B05"/>
    <w:rsid w:val="00161D29"/>
    <w:rsid w:val="00162384"/>
    <w:rsid w:val="001624AF"/>
    <w:rsid w:val="001624EA"/>
    <w:rsid w:val="00162528"/>
    <w:rsid w:val="0016254B"/>
    <w:rsid w:val="00162648"/>
    <w:rsid w:val="001626DF"/>
    <w:rsid w:val="001627D3"/>
    <w:rsid w:val="0016293C"/>
    <w:rsid w:val="00162A38"/>
    <w:rsid w:val="00162B80"/>
    <w:rsid w:val="00162CD0"/>
    <w:rsid w:val="00162E57"/>
    <w:rsid w:val="00162E6A"/>
    <w:rsid w:val="001630B1"/>
    <w:rsid w:val="00163450"/>
    <w:rsid w:val="001634F5"/>
    <w:rsid w:val="00163ABF"/>
    <w:rsid w:val="00163C02"/>
    <w:rsid w:val="00163F61"/>
    <w:rsid w:val="00163F63"/>
    <w:rsid w:val="00164154"/>
    <w:rsid w:val="001641AF"/>
    <w:rsid w:val="00164230"/>
    <w:rsid w:val="001642BE"/>
    <w:rsid w:val="00164572"/>
    <w:rsid w:val="001645D2"/>
    <w:rsid w:val="001647AB"/>
    <w:rsid w:val="001647D2"/>
    <w:rsid w:val="001647E6"/>
    <w:rsid w:val="00164827"/>
    <w:rsid w:val="00164862"/>
    <w:rsid w:val="001648F3"/>
    <w:rsid w:val="00164911"/>
    <w:rsid w:val="00164DAC"/>
    <w:rsid w:val="00164E0A"/>
    <w:rsid w:val="0016504E"/>
    <w:rsid w:val="0016505A"/>
    <w:rsid w:val="001652EF"/>
    <w:rsid w:val="00165307"/>
    <w:rsid w:val="001653B7"/>
    <w:rsid w:val="00165569"/>
    <w:rsid w:val="00165635"/>
    <w:rsid w:val="001656BE"/>
    <w:rsid w:val="001657EB"/>
    <w:rsid w:val="0016595D"/>
    <w:rsid w:val="00165B0C"/>
    <w:rsid w:val="00165D62"/>
    <w:rsid w:val="00165EBB"/>
    <w:rsid w:val="00165FCF"/>
    <w:rsid w:val="001664D9"/>
    <w:rsid w:val="00166525"/>
    <w:rsid w:val="001668DF"/>
    <w:rsid w:val="001669ED"/>
    <w:rsid w:val="00166B94"/>
    <w:rsid w:val="00166DFB"/>
    <w:rsid w:val="00166FF4"/>
    <w:rsid w:val="00166FFA"/>
    <w:rsid w:val="00167205"/>
    <w:rsid w:val="0016732A"/>
    <w:rsid w:val="001673A4"/>
    <w:rsid w:val="001673B4"/>
    <w:rsid w:val="001674DF"/>
    <w:rsid w:val="00167683"/>
    <w:rsid w:val="0016785C"/>
    <w:rsid w:val="001678E9"/>
    <w:rsid w:val="00167B61"/>
    <w:rsid w:val="00167BE2"/>
    <w:rsid w:val="00167DF9"/>
    <w:rsid w:val="0017002F"/>
    <w:rsid w:val="001701C7"/>
    <w:rsid w:val="001701D1"/>
    <w:rsid w:val="00170266"/>
    <w:rsid w:val="001702F9"/>
    <w:rsid w:val="001704A8"/>
    <w:rsid w:val="001704CD"/>
    <w:rsid w:val="0017051D"/>
    <w:rsid w:val="00170590"/>
    <w:rsid w:val="0017091C"/>
    <w:rsid w:val="00170A0C"/>
    <w:rsid w:val="00170C08"/>
    <w:rsid w:val="00170C34"/>
    <w:rsid w:val="00170C87"/>
    <w:rsid w:val="00170D55"/>
    <w:rsid w:val="00170EA6"/>
    <w:rsid w:val="0017117A"/>
    <w:rsid w:val="00171194"/>
    <w:rsid w:val="001712ED"/>
    <w:rsid w:val="001713F3"/>
    <w:rsid w:val="0017176F"/>
    <w:rsid w:val="0017188C"/>
    <w:rsid w:val="00171957"/>
    <w:rsid w:val="00171AAE"/>
    <w:rsid w:val="00171C85"/>
    <w:rsid w:val="00171F88"/>
    <w:rsid w:val="00171FC3"/>
    <w:rsid w:val="001720AD"/>
    <w:rsid w:val="001721AB"/>
    <w:rsid w:val="0017223A"/>
    <w:rsid w:val="001722C1"/>
    <w:rsid w:val="0017235C"/>
    <w:rsid w:val="00172380"/>
    <w:rsid w:val="001724DC"/>
    <w:rsid w:val="00172664"/>
    <w:rsid w:val="001727A5"/>
    <w:rsid w:val="00172832"/>
    <w:rsid w:val="00172E4E"/>
    <w:rsid w:val="00172EBA"/>
    <w:rsid w:val="00172F12"/>
    <w:rsid w:val="0017330A"/>
    <w:rsid w:val="001736FA"/>
    <w:rsid w:val="0017384D"/>
    <w:rsid w:val="00173945"/>
    <w:rsid w:val="00173D9A"/>
    <w:rsid w:val="00173F72"/>
    <w:rsid w:val="00173F7D"/>
    <w:rsid w:val="0017407D"/>
    <w:rsid w:val="001740FE"/>
    <w:rsid w:val="00174108"/>
    <w:rsid w:val="001741D7"/>
    <w:rsid w:val="001743E4"/>
    <w:rsid w:val="0017443C"/>
    <w:rsid w:val="00174608"/>
    <w:rsid w:val="001747EA"/>
    <w:rsid w:val="0017492E"/>
    <w:rsid w:val="001749A1"/>
    <w:rsid w:val="00174D58"/>
    <w:rsid w:val="00174ED0"/>
    <w:rsid w:val="00174EEC"/>
    <w:rsid w:val="001751C7"/>
    <w:rsid w:val="00175305"/>
    <w:rsid w:val="0017537F"/>
    <w:rsid w:val="0017548A"/>
    <w:rsid w:val="001758FC"/>
    <w:rsid w:val="001759C2"/>
    <w:rsid w:val="00175CF9"/>
    <w:rsid w:val="00175DBC"/>
    <w:rsid w:val="00175E6D"/>
    <w:rsid w:val="00175ECA"/>
    <w:rsid w:val="00175ECE"/>
    <w:rsid w:val="001761CD"/>
    <w:rsid w:val="001762C2"/>
    <w:rsid w:val="0017695D"/>
    <w:rsid w:val="00176A6C"/>
    <w:rsid w:val="00176E49"/>
    <w:rsid w:val="00176E9D"/>
    <w:rsid w:val="00176EBC"/>
    <w:rsid w:val="00176F28"/>
    <w:rsid w:val="00176F3E"/>
    <w:rsid w:val="001770FA"/>
    <w:rsid w:val="001771E7"/>
    <w:rsid w:val="001772A3"/>
    <w:rsid w:val="0017774E"/>
    <w:rsid w:val="0017784F"/>
    <w:rsid w:val="00177BBF"/>
    <w:rsid w:val="00177D91"/>
    <w:rsid w:val="00177E1C"/>
    <w:rsid w:val="00177E85"/>
    <w:rsid w:val="00177EE7"/>
    <w:rsid w:val="00180038"/>
    <w:rsid w:val="001800E0"/>
    <w:rsid w:val="001805D9"/>
    <w:rsid w:val="001807A8"/>
    <w:rsid w:val="00180B37"/>
    <w:rsid w:val="00180B80"/>
    <w:rsid w:val="00180FD0"/>
    <w:rsid w:val="0018106F"/>
    <w:rsid w:val="00181139"/>
    <w:rsid w:val="0018127B"/>
    <w:rsid w:val="001812A1"/>
    <w:rsid w:val="00181364"/>
    <w:rsid w:val="0018147D"/>
    <w:rsid w:val="001814F8"/>
    <w:rsid w:val="00181671"/>
    <w:rsid w:val="001816CD"/>
    <w:rsid w:val="00181844"/>
    <w:rsid w:val="001818EA"/>
    <w:rsid w:val="00181A24"/>
    <w:rsid w:val="00181EBD"/>
    <w:rsid w:val="00181F54"/>
    <w:rsid w:val="00181FF6"/>
    <w:rsid w:val="00182035"/>
    <w:rsid w:val="00182143"/>
    <w:rsid w:val="001821A2"/>
    <w:rsid w:val="001821B9"/>
    <w:rsid w:val="001822CB"/>
    <w:rsid w:val="001822E2"/>
    <w:rsid w:val="00182317"/>
    <w:rsid w:val="00182370"/>
    <w:rsid w:val="001826AB"/>
    <w:rsid w:val="0018273D"/>
    <w:rsid w:val="00182784"/>
    <w:rsid w:val="001829A9"/>
    <w:rsid w:val="00182B1A"/>
    <w:rsid w:val="00182BB4"/>
    <w:rsid w:val="00182E8F"/>
    <w:rsid w:val="00183079"/>
    <w:rsid w:val="001830D7"/>
    <w:rsid w:val="00183303"/>
    <w:rsid w:val="0018393C"/>
    <w:rsid w:val="001839B1"/>
    <w:rsid w:val="00183A44"/>
    <w:rsid w:val="00183A87"/>
    <w:rsid w:val="00183AB5"/>
    <w:rsid w:val="00183BA7"/>
    <w:rsid w:val="00183C3F"/>
    <w:rsid w:val="00183D2E"/>
    <w:rsid w:val="00183DC3"/>
    <w:rsid w:val="00183DCD"/>
    <w:rsid w:val="00184277"/>
    <w:rsid w:val="001844C2"/>
    <w:rsid w:val="00184527"/>
    <w:rsid w:val="00184638"/>
    <w:rsid w:val="00184665"/>
    <w:rsid w:val="00184D16"/>
    <w:rsid w:val="0018525A"/>
    <w:rsid w:val="0018543E"/>
    <w:rsid w:val="00185700"/>
    <w:rsid w:val="00185A99"/>
    <w:rsid w:val="00185B09"/>
    <w:rsid w:val="00185CAC"/>
    <w:rsid w:val="00185D02"/>
    <w:rsid w:val="00185E4A"/>
    <w:rsid w:val="00185EC7"/>
    <w:rsid w:val="00185F37"/>
    <w:rsid w:val="0018616D"/>
    <w:rsid w:val="00186179"/>
    <w:rsid w:val="001863A0"/>
    <w:rsid w:val="0018643A"/>
    <w:rsid w:val="001864D8"/>
    <w:rsid w:val="001868A7"/>
    <w:rsid w:val="00186900"/>
    <w:rsid w:val="00186943"/>
    <w:rsid w:val="00186B27"/>
    <w:rsid w:val="00186B54"/>
    <w:rsid w:val="00186DC7"/>
    <w:rsid w:val="00186F70"/>
    <w:rsid w:val="00186FD3"/>
    <w:rsid w:val="001870AD"/>
    <w:rsid w:val="00187133"/>
    <w:rsid w:val="0018739C"/>
    <w:rsid w:val="00187451"/>
    <w:rsid w:val="00187586"/>
    <w:rsid w:val="0018770B"/>
    <w:rsid w:val="0018779C"/>
    <w:rsid w:val="001877AC"/>
    <w:rsid w:val="00187916"/>
    <w:rsid w:val="00187A83"/>
    <w:rsid w:val="00187B36"/>
    <w:rsid w:val="00187F43"/>
    <w:rsid w:val="00190051"/>
    <w:rsid w:val="00190202"/>
    <w:rsid w:val="0019022D"/>
    <w:rsid w:val="00190304"/>
    <w:rsid w:val="00190397"/>
    <w:rsid w:val="001904FA"/>
    <w:rsid w:val="00190538"/>
    <w:rsid w:val="00190720"/>
    <w:rsid w:val="00190999"/>
    <w:rsid w:val="00190A2B"/>
    <w:rsid w:val="00190F56"/>
    <w:rsid w:val="0019116F"/>
    <w:rsid w:val="001911B2"/>
    <w:rsid w:val="001913D7"/>
    <w:rsid w:val="00191477"/>
    <w:rsid w:val="001914C5"/>
    <w:rsid w:val="001917D3"/>
    <w:rsid w:val="0019196D"/>
    <w:rsid w:val="00191A31"/>
    <w:rsid w:val="00191A73"/>
    <w:rsid w:val="00191B02"/>
    <w:rsid w:val="00191B35"/>
    <w:rsid w:val="00191B6E"/>
    <w:rsid w:val="00191BB3"/>
    <w:rsid w:val="00191DBA"/>
    <w:rsid w:val="00191DD5"/>
    <w:rsid w:val="001921C3"/>
    <w:rsid w:val="00192377"/>
    <w:rsid w:val="001923A0"/>
    <w:rsid w:val="001923A4"/>
    <w:rsid w:val="001924A7"/>
    <w:rsid w:val="0019256E"/>
    <w:rsid w:val="00192630"/>
    <w:rsid w:val="0019265A"/>
    <w:rsid w:val="001926C7"/>
    <w:rsid w:val="0019299A"/>
    <w:rsid w:val="001929CD"/>
    <w:rsid w:val="00192D25"/>
    <w:rsid w:val="00192D99"/>
    <w:rsid w:val="00192E93"/>
    <w:rsid w:val="00192F8C"/>
    <w:rsid w:val="001930AF"/>
    <w:rsid w:val="001930C2"/>
    <w:rsid w:val="0019341A"/>
    <w:rsid w:val="00193430"/>
    <w:rsid w:val="00193644"/>
    <w:rsid w:val="00193883"/>
    <w:rsid w:val="00193A30"/>
    <w:rsid w:val="00193A6D"/>
    <w:rsid w:val="00193AB1"/>
    <w:rsid w:val="00193C89"/>
    <w:rsid w:val="00193CC5"/>
    <w:rsid w:val="00193DCF"/>
    <w:rsid w:val="00194050"/>
    <w:rsid w:val="001944AD"/>
    <w:rsid w:val="001948C6"/>
    <w:rsid w:val="00194B21"/>
    <w:rsid w:val="00194BC9"/>
    <w:rsid w:val="00194BCD"/>
    <w:rsid w:val="0019508B"/>
    <w:rsid w:val="001954FA"/>
    <w:rsid w:val="00195577"/>
    <w:rsid w:val="0019564E"/>
    <w:rsid w:val="00195813"/>
    <w:rsid w:val="001959D1"/>
    <w:rsid w:val="001959E2"/>
    <w:rsid w:val="00195A58"/>
    <w:rsid w:val="00195BAC"/>
    <w:rsid w:val="00195BC9"/>
    <w:rsid w:val="00195CE9"/>
    <w:rsid w:val="00195D2A"/>
    <w:rsid w:val="00195D34"/>
    <w:rsid w:val="00195DBB"/>
    <w:rsid w:val="00195F79"/>
    <w:rsid w:val="00195FD0"/>
    <w:rsid w:val="001964F6"/>
    <w:rsid w:val="001965DD"/>
    <w:rsid w:val="001969C9"/>
    <w:rsid w:val="00196BF5"/>
    <w:rsid w:val="00196D88"/>
    <w:rsid w:val="00196EE1"/>
    <w:rsid w:val="00197205"/>
    <w:rsid w:val="00197290"/>
    <w:rsid w:val="0019729F"/>
    <w:rsid w:val="001972D7"/>
    <w:rsid w:val="00197438"/>
    <w:rsid w:val="0019751D"/>
    <w:rsid w:val="001979DE"/>
    <w:rsid w:val="00197A0F"/>
    <w:rsid w:val="00197AA7"/>
    <w:rsid w:val="00197C35"/>
    <w:rsid w:val="00197C6E"/>
    <w:rsid w:val="00197D4C"/>
    <w:rsid w:val="00197EE0"/>
    <w:rsid w:val="00197FFC"/>
    <w:rsid w:val="001A021A"/>
    <w:rsid w:val="001A0355"/>
    <w:rsid w:val="001A040D"/>
    <w:rsid w:val="001A0450"/>
    <w:rsid w:val="001A04AC"/>
    <w:rsid w:val="001A04F0"/>
    <w:rsid w:val="001A0524"/>
    <w:rsid w:val="001A090A"/>
    <w:rsid w:val="001A09DC"/>
    <w:rsid w:val="001A0A18"/>
    <w:rsid w:val="001A0DDB"/>
    <w:rsid w:val="001A0E01"/>
    <w:rsid w:val="001A0E85"/>
    <w:rsid w:val="001A0FA8"/>
    <w:rsid w:val="001A125D"/>
    <w:rsid w:val="001A1683"/>
    <w:rsid w:val="001A17B3"/>
    <w:rsid w:val="001A17C1"/>
    <w:rsid w:val="001A181A"/>
    <w:rsid w:val="001A183F"/>
    <w:rsid w:val="001A18C7"/>
    <w:rsid w:val="001A1A67"/>
    <w:rsid w:val="001A1AC1"/>
    <w:rsid w:val="001A1BCC"/>
    <w:rsid w:val="001A1D78"/>
    <w:rsid w:val="001A1D7E"/>
    <w:rsid w:val="001A1DCB"/>
    <w:rsid w:val="001A1E03"/>
    <w:rsid w:val="001A2328"/>
    <w:rsid w:val="001A23EB"/>
    <w:rsid w:val="001A245B"/>
    <w:rsid w:val="001A24B9"/>
    <w:rsid w:val="001A2514"/>
    <w:rsid w:val="001A251B"/>
    <w:rsid w:val="001A27A7"/>
    <w:rsid w:val="001A2846"/>
    <w:rsid w:val="001A2B13"/>
    <w:rsid w:val="001A2B83"/>
    <w:rsid w:val="001A2C8C"/>
    <w:rsid w:val="001A2C93"/>
    <w:rsid w:val="001A2D86"/>
    <w:rsid w:val="001A3011"/>
    <w:rsid w:val="001A3127"/>
    <w:rsid w:val="001A3249"/>
    <w:rsid w:val="001A3269"/>
    <w:rsid w:val="001A3439"/>
    <w:rsid w:val="001A34DD"/>
    <w:rsid w:val="001A388D"/>
    <w:rsid w:val="001A3894"/>
    <w:rsid w:val="001A3929"/>
    <w:rsid w:val="001A3973"/>
    <w:rsid w:val="001A3F81"/>
    <w:rsid w:val="001A4567"/>
    <w:rsid w:val="001A49D3"/>
    <w:rsid w:val="001A4A7F"/>
    <w:rsid w:val="001A4B25"/>
    <w:rsid w:val="001A4CFC"/>
    <w:rsid w:val="001A4E29"/>
    <w:rsid w:val="001A517F"/>
    <w:rsid w:val="001A51FD"/>
    <w:rsid w:val="001A5253"/>
    <w:rsid w:val="001A52B0"/>
    <w:rsid w:val="001A534B"/>
    <w:rsid w:val="001A53FE"/>
    <w:rsid w:val="001A557A"/>
    <w:rsid w:val="001A572B"/>
    <w:rsid w:val="001A58AF"/>
    <w:rsid w:val="001A5916"/>
    <w:rsid w:val="001A5A42"/>
    <w:rsid w:val="001A5C0C"/>
    <w:rsid w:val="001A5E88"/>
    <w:rsid w:val="001A5F80"/>
    <w:rsid w:val="001A60AA"/>
    <w:rsid w:val="001A647F"/>
    <w:rsid w:val="001A67E7"/>
    <w:rsid w:val="001A6846"/>
    <w:rsid w:val="001A68C5"/>
    <w:rsid w:val="001A695E"/>
    <w:rsid w:val="001A6975"/>
    <w:rsid w:val="001A6B42"/>
    <w:rsid w:val="001A6E60"/>
    <w:rsid w:val="001A7002"/>
    <w:rsid w:val="001A7090"/>
    <w:rsid w:val="001A7128"/>
    <w:rsid w:val="001A71F7"/>
    <w:rsid w:val="001A7208"/>
    <w:rsid w:val="001A749C"/>
    <w:rsid w:val="001A7533"/>
    <w:rsid w:val="001A761B"/>
    <w:rsid w:val="001A76B7"/>
    <w:rsid w:val="001A7A59"/>
    <w:rsid w:val="001A7E86"/>
    <w:rsid w:val="001AB341"/>
    <w:rsid w:val="001B00BA"/>
    <w:rsid w:val="001B01AE"/>
    <w:rsid w:val="001B0353"/>
    <w:rsid w:val="001B0459"/>
    <w:rsid w:val="001B0772"/>
    <w:rsid w:val="001B0A58"/>
    <w:rsid w:val="001B0ABA"/>
    <w:rsid w:val="001B0BAB"/>
    <w:rsid w:val="001B0BB1"/>
    <w:rsid w:val="001B0D01"/>
    <w:rsid w:val="001B0E3C"/>
    <w:rsid w:val="001B0F6A"/>
    <w:rsid w:val="001B106D"/>
    <w:rsid w:val="001B1237"/>
    <w:rsid w:val="001B12B3"/>
    <w:rsid w:val="001B148C"/>
    <w:rsid w:val="001B1611"/>
    <w:rsid w:val="001B17E5"/>
    <w:rsid w:val="001B182D"/>
    <w:rsid w:val="001B193B"/>
    <w:rsid w:val="001B1946"/>
    <w:rsid w:val="001B1A1B"/>
    <w:rsid w:val="001B1A3A"/>
    <w:rsid w:val="001B1B56"/>
    <w:rsid w:val="001B2183"/>
    <w:rsid w:val="001B21DA"/>
    <w:rsid w:val="001B270A"/>
    <w:rsid w:val="001B2766"/>
    <w:rsid w:val="001B27D9"/>
    <w:rsid w:val="001B2AA8"/>
    <w:rsid w:val="001B2BF3"/>
    <w:rsid w:val="001B2C18"/>
    <w:rsid w:val="001B2DF6"/>
    <w:rsid w:val="001B2FA7"/>
    <w:rsid w:val="001B3038"/>
    <w:rsid w:val="001B340A"/>
    <w:rsid w:val="001B3A6A"/>
    <w:rsid w:val="001B3AB9"/>
    <w:rsid w:val="001B3AF2"/>
    <w:rsid w:val="001B3C6E"/>
    <w:rsid w:val="001B3CB6"/>
    <w:rsid w:val="001B3D95"/>
    <w:rsid w:val="001B4077"/>
    <w:rsid w:val="001B4165"/>
    <w:rsid w:val="001B4179"/>
    <w:rsid w:val="001B41C8"/>
    <w:rsid w:val="001B4263"/>
    <w:rsid w:val="001B44DF"/>
    <w:rsid w:val="001B4783"/>
    <w:rsid w:val="001B4B9F"/>
    <w:rsid w:val="001B5263"/>
    <w:rsid w:val="001B53D6"/>
    <w:rsid w:val="001B541B"/>
    <w:rsid w:val="001B55EF"/>
    <w:rsid w:val="001B5E1A"/>
    <w:rsid w:val="001B5E20"/>
    <w:rsid w:val="001B5F0A"/>
    <w:rsid w:val="001B5F78"/>
    <w:rsid w:val="001B61E6"/>
    <w:rsid w:val="001B629E"/>
    <w:rsid w:val="001B62C3"/>
    <w:rsid w:val="001B631B"/>
    <w:rsid w:val="001B64DE"/>
    <w:rsid w:val="001B64E3"/>
    <w:rsid w:val="001B64F0"/>
    <w:rsid w:val="001B6580"/>
    <w:rsid w:val="001B6A9D"/>
    <w:rsid w:val="001B6EA7"/>
    <w:rsid w:val="001B6F6B"/>
    <w:rsid w:val="001B71BA"/>
    <w:rsid w:val="001B7297"/>
    <w:rsid w:val="001B72EE"/>
    <w:rsid w:val="001B731B"/>
    <w:rsid w:val="001B74CB"/>
    <w:rsid w:val="001B7968"/>
    <w:rsid w:val="001B7AA4"/>
    <w:rsid w:val="001B7C29"/>
    <w:rsid w:val="001B7E2E"/>
    <w:rsid w:val="001B8AD6"/>
    <w:rsid w:val="001C001C"/>
    <w:rsid w:val="001C0217"/>
    <w:rsid w:val="001C0363"/>
    <w:rsid w:val="001C0458"/>
    <w:rsid w:val="001C05AE"/>
    <w:rsid w:val="001C090B"/>
    <w:rsid w:val="001C0AF5"/>
    <w:rsid w:val="001C0D4A"/>
    <w:rsid w:val="001C0DBC"/>
    <w:rsid w:val="001C0F52"/>
    <w:rsid w:val="001C0FC5"/>
    <w:rsid w:val="001C1096"/>
    <w:rsid w:val="001C10F2"/>
    <w:rsid w:val="001C11C6"/>
    <w:rsid w:val="001C127B"/>
    <w:rsid w:val="001C13C4"/>
    <w:rsid w:val="001C14DA"/>
    <w:rsid w:val="001C14F8"/>
    <w:rsid w:val="001C1589"/>
    <w:rsid w:val="001C1861"/>
    <w:rsid w:val="001C18B7"/>
    <w:rsid w:val="001C19B6"/>
    <w:rsid w:val="001C1B85"/>
    <w:rsid w:val="001C1FF7"/>
    <w:rsid w:val="001C214B"/>
    <w:rsid w:val="001C21C4"/>
    <w:rsid w:val="001C2251"/>
    <w:rsid w:val="001C22C6"/>
    <w:rsid w:val="001C2324"/>
    <w:rsid w:val="001C23F5"/>
    <w:rsid w:val="001C26E6"/>
    <w:rsid w:val="001C29B9"/>
    <w:rsid w:val="001C2A43"/>
    <w:rsid w:val="001C2A6C"/>
    <w:rsid w:val="001C2AE9"/>
    <w:rsid w:val="001C2D49"/>
    <w:rsid w:val="001C31C9"/>
    <w:rsid w:val="001C322F"/>
    <w:rsid w:val="001C32A4"/>
    <w:rsid w:val="001C3537"/>
    <w:rsid w:val="001C35BA"/>
    <w:rsid w:val="001C37CF"/>
    <w:rsid w:val="001C3812"/>
    <w:rsid w:val="001C3902"/>
    <w:rsid w:val="001C3977"/>
    <w:rsid w:val="001C3A9E"/>
    <w:rsid w:val="001C3B10"/>
    <w:rsid w:val="001C3BC7"/>
    <w:rsid w:val="001C3C2B"/>
    <w:rsid w:val="001C3CE2"/>
    <w:rsid w:val="001C40C6"/>
    <w:rsid w:val="001C4130"/>
    <w:rsid w:val="001C419D"/>
    <w:rsid w:val="001C425E"/>
    <w:rsid w:val="001C481D"/>
    <w:rsid w:val="001C4924"/>
    <w:rsid w:val="001C4A26"/>
    <w:rsid w:val="001C4B3B"/>
    <w:rsid w:val="001C4D84"/>
    <w:rsid w:val="001C4FD1"/>
    <w:rsid w:val="001C5016"/>
    <w:rsid w:val="001C5250"/>
    <w:rsid w:val="001C5310"/>
    <w:rsid w:val="001C5491"/>
    <w:rsid w:val="001C5560"/>
    <w:rsid w:val="001C56F0"/>
    <w:rsid w:val="001C584C"/>
    <w:rsid w:val="001C5871"/>
    <w:rsid w:val="001C5939"/>
    <w:rsid w:val="001C59B0"/>
    <w:rsid w:val="001C5B19"/>
    <w:rsid w:val="001C5BED"/>
    <w:rsid w:val="001C5C36"/>
    <w:rsid w:val="001C5F1A"/>
    <w:rsid w:val="001C629E"/>
    <w:rsid w:val="001C6403"/>
    <w:rsid w:val="001C6447"/>
    <w:rsid w:val="001C67B7"/>
    <w:rsid w:val="001C6B1C"/>
    <w:rsid w:val="001C6C53"/>
    <w:rsid w:val="001C6D19"/>
    <w:rsid w:val="001C6E80"/>
    <w:rsid w:val="001C6EA6"/>
    <w:rsid w:val="001C6FC2"/>
    <w:rsid w:val="001C712F"/>
    <w:rsid w:val="001C71DA"/>
    <w:rsid w:val="001C735A"/>
    <w:rsid w:val="001C73CF"/>
    <w:rsid w:val="001C783C"/>
    <w:rsid w:val="001C79B0"/>
    <w:rsid w:val="001C7A08"/>
    <w:rsid w:val="001C7CA3"/>
    <w:rsid w:val="001C7D43"/>
    <w:rsid w:val="001D0349"/>
    <w:rsid w:val="001D0567"/>
    <w:rsid w:val="001D08BE"/>
    <w:rsid w:val="001D0A8A"/>
    <w:rsid w:val="001D0C0A"/>
    <w:rsid w:val="001D10EB"/>
    <w:rsid w:val="001D11C2"/>
    <w:rsid w:val="001D143D"/>
    <w:rsid w:val="001D1448"/>
    <w:rsid w:val="001D1565"/>
    <w:rsid w:val="001D15A9"/>
    <w:rsid w:val="001D15B4"/>
    <w:rsid w:val="001D162E"/>
    <w:rsid w:val="001D1772"/>
    <w:rsid w:val="001D184B"/>
    <w:rsid w:val="001D19BD"/>
    <w:rsid w:val="001D1CE8"/>
    <w:rsid w:val="001D1DFB"/>
    <w:rsid w:val="001D2115"/>
    <w:rsid w:val="001D21E7"/>
    <w:rsid w:val="001D2582"/>
    <w:rsid w:val="001D26DC"/>
    <w:rsid w:val="001D292E"/>
    <w:rsid w:val="001D2BC3"/>
    <w:rsid w:val="001D2BD3"/>
    <w:rsid w:val="001D2D3B"/>
    <w:rsid w:val="001D33EB"/>
    <w:rsid w:val="001D3661"/>
    <w:rsid w:val="001D39B6"/>
    <w:rsid w:val="001D3CDF"/>
    <w:rsid w:val="001D3D74"/>
    <w:rsid w:val="001D3D7D"/>
    <w:rsid w:val="001D3E06"/>
    <w:rsid w:val="001D3E71"/>
    <w:rsid w:val="001D40F4"/>
    <w:rsid w:val="001D4156"/>
    <w:rsid w:val="001D4199"/>
    <w:rsid w:val="001D41D8"/>
    <w:rsid w:val="001D41EA"/>
    <w:rsid w:val="001D4236"/>
    <w:rsid w:val="001D42C9"/>
    <w:rsid w:val="001D4321"/>
    <w:rsid w:val="001D45A1"/>
    <w:rsid w:val="001D485F"/>
    <w:rsid w:val="001D4940"/>
    <w:rsid w:val="001D4951"/>
    <w:rsid w:val="001D4A1F"/>
    <w:rsid w:val="001D4A67"/>
    <w:rsid w:val="001D4B31"/>
    <w:rsid w:val="001D4E9E"/>
    <w:rsid w:val="001D4F1F"/>
    <w:rsid w:val="001D5039"/>
    <w:rsid w:val="001D5248"/>
    <w:rsid w:val="001D52DF"/>
    <w:rsid w:val="001D5337"/>
    <w:rsid w:val="001D536B"/>
    <w:rsid w:val="001D55CB"/>
    <w:rsid w:val="001D55CE"/>
    <w:rsid w:val="001D56D5"/>
    <w:rsid w:val="001D57BF"/>
    <w:rsid w:val="001D57D4"/>
    <w:rsid w:val="001D5899"/>
    <w:rsid w:val="001D59EF"/>
    <w:rsid w:val="001D5A39"/>
    <w:rsid w:val="001D5A45"/>
    <w:rsid w:val="001D5BAF"/>
    <w:rsid w:val="001D5BCE"/>
    <w:rsid w:val="001D5D0B"/>
    <w:rsid w:val="001D5D44"/>
    <w:rsid w:val="001D5D63"/>
    <w:rsid w:val="001D5EF0"/>
    <w:rsid w:val="001D5FA9"/>
    <w:rsid w:val="001D6025"/>
    <w:rsid w:val="001D6059"/>
    <w:rsid w:val="001D6104"/>
    <w:rsid w:val="001D6161"/>
    <w:rsid w:val="001D6329"/>
    <w:rsid w:val="001D6351"/>
    <w:rsid w:val="001D6697"/>
    <w:rsid w:val="001D66A0"/>
    <w:rsid w:val="001D6701"/>
    <w:rsid w:val="001D67C1"/>
    <w:rsid w:val="001D6CD0"/>
    <w:rsid w:val="001D6E5F"/>
    <w:rsid w:val="001D6EB8"/>
    <w:rsid w:val="001D6F7F"/>
    <w:rsid w:val="001D705D"/>
    <w:rsid w:val="001D73B3"/>
    <w:rsid w:val="001D74F6"/>
    <w:rsid w:val="001D75A3"/>
    <w:rsid w:val="001D764F"/>
    <w:rsid w:val="001D7677"/>
    <w:rsid w:val="001D7936"/>
    <w:rsid w:val="001D7990"/>
    <w:rsid w:val="001D79BE"/>
    <w:rsid w:val="001D7C67"/>
    <w:rsid w:val="001D7CAC"/>
    <w:rsid w:val="001D7F65"/>
    <w:rsid w:val="001DA667"/>
    <w:rsid w:val="001E003A"/>
    <w:rsid w:val="001E0341"/>
    <w:rsid w:val="001E040C"/>
    <w:rsid w:val="001E0468"/>
    <w:rsid w:val="001E05A6"/>
    <w:rsid w:val="001E06CC"/>
    <w:rsid w:val="001E07C9"/>
    <w:rsid w:val="001E07D5"/>
    <w:rsid w:val="001E0972"/>
    <w:rsid w:val="001E0A3D"/>
    <w:rsid w:val="001E0B1E"/>
    <w:rsid w:val="001E0C03"/>
    <w:rsid w:val="001E0EE9"/>
    <w:rsid w:val="001E1012"/>
    <w:rsid w:val="001E101A"/>
    <w:rsid w:val="001E10D9"/>
    <w:rsid w:val="001E111D"/>
    <w:rsid w:val="001E128E"/>
    <w:rsid w:val="001E1382"/>
    <w:rsid w:val="001E14DF"/>
    <w:rsid w:val="001E15AD"/>
    <w:rsid w:val="001E16CC"/>
    <w:rsid w:val="001E190F"/>
    <w:rsid w:val="001E1968"/>
    <w:rsid w:val="001E1B56"/>
    <w:rsid w:val="001E1BA5"/>
    <w:rsid w:val="001E1D45"/>
    <w:rsid w:val="001E1D4D"/>
    <w:rsid w:val="001E1E4E"/>
    <w:rsid w:val="001E1EDA"/>
    <w:rsid w:val="001E25C5"/>
    <w:rsid w:val="001E26C3"/>
    <w:rsid w:val="001E2767"/>
    <w:rsid w:val="001E2890"/>
    <w:rsid w:val="001E28E8"/>
    <w:rsid w:val="001E2992"/>
    <w:rsid w:val="001E2D0D"/>
    <w:rsid w:val="001E2D24"/>
    <w:rsid w:val="001E2DE5"/>
    <w:rsid w:val="001E2E68"/>
    <w:rsid w:val="001E2F1C"/>
    <w:rsid w:val="001E30F5"/>
    <w:rsid w:val="001E3539"/>
    <w:rsid w:val="001E35C0"/>
    <w:rsid w:val="001E37BF"/>
    <w:rsid w:val="001E395C"/>
    <w:rsid w:val="001E3A5B"/>
    <w:rsid w:val="001E3AFF"/>
    <w:rsid w:val="001E3D57"/>
    <w:rsid w:val="001E3E0D"/>
    <w:rsid w:val="001E3E56"/>
    <w:rsid w:val="001E3E58"/>
    <w:rsid w:val="001E3F84"/>
    <w:rsid w:val="001E40C5"/>
    <w:rsid w:val="001E429F"/>
    <w:rsid w:val="001E42E0"/>
    <w:rsid w:val="001E43DE"/>
    <w:rsid w:val="001E4524"/>
    <w:rsid w:val="001E4699"/>
    <w:rsid w:val="001E46C8"/>
    <w:rsid w:val="001E47B0"/>
    <w:rsid w:val="001E495E"/>
    <w:rsid w:val="001E4DBF"/>
    <w:rsid w:val="001E4ECF"/>
    <w:rsid w:val="001E508E"/>
    <w:rsid w:val="001E5156"/>
    <w:rsid w:val="001E530D"/>
    <w:rsid w:val="001E54D6"/>
    <w:rsid w:val="001E56A5"/>
    <w:rsid w:val="001E573F"/>
    <w:rsid w:val="001E5A70"/>
    <w:rsid w:val="001E5AC4"/>
    <w:rsid w:val="001E5AD5"/>
    <w:rsid w:val="001E5DA0"/>
    <w:rsid w:val="001E61A8"/>
    <w:rsid w:val="001E61E1"/>
    <w:rsid w:val="001E623A"/>
    <w:rsid w:val="001E6319"/>
    <w:rsid w:val="001E6683"/>
    <w:rsid w:val="001E6920"/>
    <w:rsid w:val="001E6A41"/>
    <w:rsid w:val="001E6AAC"/>
    <w:rsid w:val="001E6E4E"/>
    <w:rsid w:val="001E6F20"/>
    <w:rsid w:val="001E70FE"/>
    <w:rsid w:val="001E7519"/>
    <w:rsid w:val="001E7603"/>
    <w:rsid w:val="001E7643"/>
    <w:rsid w:val="001E77BD"/>
    <w:rsid w:val="001E7BA4"/>
    <w:rsid w:val="001E7CD3"/>
    <w:rsid w:val="001E7D2B"/>
    <w:rsid w:val="001E7ECE"/>
    <w:rsid w:val="001F0102"/>
    <w:rsid w:val="001F019F"/>
    <w:rsid w:val="001F055B"/>
    <w:rsid w:val="001F06CE"/>
    <w:rsid w:val="001F0760"/>
    <w:rsid w:val="001F08AA"/>
    <w:rsid w:val="001F09E1"/>
    <w:rsid w:val="001F0A15"/>
    <w:rsid w:val="001F0B1D"/>
    <w:rsid w:val="001F0FB9"/>
    <w:rsid w:val="001F114A"/>
    <w:rsid w:val="001F11D3"/>
    <w:rsid w:val="001F15AF"/>
    <w:rsid w:val="001F1727"/>
    <w:rsid w:val="001F185F"/>
    <w:rsid w:val="001F19BC"/>
    <w:rsid w:val="001F1A78"/>
    <w:rsid w:val="001F1E53"/>
    <w:rsid w:val="001F21E2"/>
    <w:rsid w:val="001F22AC"/>
    <w:rsid w:val="001F2300"/>
    <w:rsid w:val="001F23D0"/>
    <w:rsid w:val="001F2464"/>
    <w:rsid w:val="001F26C6"/>
    <w:rsid w:val="001F2845"/>
    <w:rsid w:val="001F29CF"/>
    <w:rsid w:val="001F2B2A"/>
    <w:rsid w:val="001F2B60"/>
    <w:rsid w:val="001F2CA6"/>
    <w:rsid w:val="001F2D08"/>
    <w:rsid w:val="001F2D21"/>
    <w:rsid w:val="001F2D3E"/>
    <w:rsid w:val="001F3074"/>
    <w:rsid w:val="001F3219"/>
    <w:rsid w:val="001F3232"/>
    <w:rsid w:val="001F34EB"/>
    <w:rsid w:val="001F3964"/>
    <w:rsid w:val="001F39B6"/>
    <w:rsid w:val="001F3B15"/>
    <w:rsid w:val="001F3C26"/>
    <w:rsid w:val="001F3CAE"/>
    <w:rsid w:val="001F3DA4"/>
    <w:rsid w:val="001F3DDE"/>
    <w:rsid w:val="001F3E70"/>
    <w:rsid w:val="001F43F6"/>
    <w:rsid w:val="001F43FB"/>
    <w:rsid w:val="001F453B"/>
    <w:rsid w:val="001F4600"/>
    <w:rsid w:val="001F47FF"/>
    <w:rsid w:val="001F493C"/>
    <w:rsid w:val="001F494F"/>
    <w:rsid w:val="001F4A5B"/>
    <w:rsid w:val="001F4B78"/>
    <w:rsid w:val="001F4B8A"/>
    <w:rsid w:val="001F4E0F"/>
    <w:rsid w:val="001F5189"/>
    <w:rsid w:val="001F51DB"/>
    <w:rsid w:val="001F534A"/>
    <w:rsid w:val="001F5687"/>
    <w:rsid w:val="001F5796"/>
    <w:rsid w:val="001F580D"/>
    <w:rsid w:val="001F58DF"/>
    <w:rsid w:val="001F5B0B"/>
    <w:rsid w:val="001F5B4B"/>
    <w:rsid w:val="001F5BD1"/>
    <w:rsid w:val="001F5DC8"/>
    <w:rsid w:val="001F5E7D"/>
    <w:rsid w:val="001F6079"/>
    <w:rsid w:val="001F63E5"/>
    <w:rsid w:val="001F657D"/>
    <w:rsid w:val="001F6668"/>
    <w:rsid w:val="001F668F"/>
    <w:rsid w:val="001F6708"/>
    <w:rsid w:val="001F6A2D"/>
    <w:rsid w:val="001F6A87"/>
    <w:rsid w:val="001F6A91"/>
    <w:rsid w:val="001F6B16"/>
    <w:rsid w:val="001F6E08"/>
    <w:rsid w:val="001F6F59"/>
    <w:rsid w:val="001F706B"/>
    <w:rsid w:val="001F7147"/>
    <w:rsid w:val="001F744D"/>
    <w:rsid w:val="001F748D"/>
    <w:rsid w:val="001F74F2"/>
    <w:rsid w:val="001F7713"/>
    <w:rsid w:val="001F7725"/>
    <w:rsid w:val="001F79EA"/>
    <w:rsid w:val="001F7A5F"/>
    <w:rsid w:val="001F7D7B"/>
    <w:rsid w:val="001F7EB0"/>
    <w:rsid w:val="002001C8"/>
    <w:rsid w:val="002002F0"/>
    <w:rsid w:val="00200449"/>
    <w:rsid w:val="00200519"/>
    <w:rsid w:val="00200567"/>
    <w:rsid w:val="00200862"/>
    <w:rsid w:val="00200940"/>
    <w:rsid w:val="002009B7"/>
    <w:rsid w:val="00200A35"/>
    <w:rsid w:val="00200D6B"/>
    <w:rsid w:val="00200EF4"/>
    <w:rsid w:val="0020127A"/>
    <w:rsid w:val="002012B6"/>
    <w:rsid w:val="002012CB"/>
    <w:rsid w:val="0020145D"/>
    <w:rsid w:val="0020149A"/>
    <w:rsid w:val="00201743"/>
    <w:rsid w:val="002017E2"/>
    <w:rsid w:val="002018EB"/>
    <w:rsid w:val="0020194A"/>
    <w:rsid w:val="00201B23"/>
    <w:rsid w:val="00201C75"/>
    <w:rsid w:val="00201E35"/>
    <w:rsid w:val="00201EA4"/>
    <w:rsid w:val="002021D1"/>
    <w:rsid w:val="0020226B"/>
    <w:rsid w:val="00202550"/>
    <w:rsid w:val="00202787"/>
    <w:rsid w:val="002027D5"/>
    <w:rsid w:val="0020286B"/>
    <w:rsid w:val="00202924"/>
    <w:rsid w:val="00202987"/>
    <w:rsid w:val="00202B6F"/>
    <w:rsid w:val="00202B74"/>
    <w:rsid w:val="00202FEA"/>
    <w:rsid w:val="002030A5"/>
    <w:rsid w:val="002035BC"/>
    <w:rsid w:val="00203648"/>
    <w:rsid w:val="00203672"/>
    <w:rsid w:val="00203836"/>
    <w:rsid w:val="002039B5"/>
    <w:rsid w:val="00203A68"/>
    <w:rsid w:val="00203DA6"/>
    <w:rsid w:val="00203F57"/>
    <w:rsid w:val="0020435B"/>
    <w:rsid w:val="002043D6"/>
    <w:rsid w:val="00204420"/>
    <w:rsid w:val="00204472"/>
    <w:rsid w:val="0020459E"/>
    <w:rsid w:val="002049D3"/>
    <w:rsid w:val="00204A82"/>
    <w:rsid w:val="00204BD5"/>
    <w:rsid w:val="00204BDF"/>
    <w:rsid w:val="00204C7E"/>
    <w:rsid w:val="00204E1C"/>
    <w:rsid w:val="00204F31"/>
    <w:rsid w:val="00204F62"/>
    <w:rsid w:val="00204F92"/>
    <w:rsid w:val="00205571"/>
    <w:rsid w:val="002056FB"/>
    <w:rsid w:val="00205827"/>
    <w:rsid w:val="00205843"/>
    <w:rsid w:val="00205A91"/>
    <w:rsid w:val="00205B95"/>
    <w:rsid w:val="00205D35"/>
    <w:rsid w:val="00205D8B"/>
    <w:rsid w:val="00205EE0"/>
    <w:rsid w:val="00206027"/>
    <w:rsid w:val="00206098"/>
    <w:rsid w:val="002060D3"/>
    <w:rsid w:val="002064EB"/>
    <w:rsid w:val="00206509"/>
    <w:rsid w:val="00206540"/>
    <w:rsid w:val="00206681"/>
    <w:rsid w:val="0020671B"/>
    <w:rsid w:val="002067AC"/>
    <w:rsid w:val="00206A3C"/>
    <w:rsid w:val="00206B21"/>
    <w:rsid w:val="00206CC0"/>
    <w:rsid w:val="00206DC9"/>
    <w:rsid w:val="00206DD6"/>
    <w:rsid w:val="00207129"/>
    <w:rsid w:val="00207243"/>
    <w:rsid w:val="00207289"/>
    <w:rsid w:val="00207332"/>
    <w:rsid w:val="0020748E"/>
    <w:rsid w:val="0020750D"/>
    <w:rsid w:val="00207594"/>
    <w:rsid w:val="0020759E"/>
    <w:rsid w:val="00207AD6"/>
    <w:rsid w:val="00207D10"/>
    <w:rsid w:val="00207D7E"/>
    <w:rsid w:val="00207E18"/>
    <w:rsid w:val="00207E8C"/>
    <w:rsid w:val="00207EEE"/>
    <w:rsid w:val="00207F38"/>
    <w:rsid w:val="002101DE"/>
    <w:rsid w:val="00210257"/>
    <w:rsid w:val="00210636"/>
    <w:rsid w:val="00210693"/>
    <w:rsid w:val="002109EF"/>
    <w:rsid w:val="00210A0E"/>
    <w:rsid w:val="00210A4A"/>
    <w:rsid w:val="00210A9B"/>
    <w:rsid w:val="00210B6E"/>
    <w:rsid w:val="00210C3D"/>
    <w:rsid w:val="00210CF5"/>
    <w:rsid w:val="00210D33"/>
    <w:rsid w:val="00210D55"/>
    <w:rsid w:val="00210DAD"/>
    <w:rsid w:val="002114F7"/>
    <w:rsid w:val="00211653"/>
    <w:rsid w:val="00211785"/>
    <w:rsid w:val="002118B8"/>
    <w:rsid w:val="00211A98"/>
    <w:rsid w:val="00211FBB"/>
    <w:rsid w:val="002120B5"/>
    <w:rsid w:val="002120BE"/>
    <w:rsid w:val="002120E7"/>
    <w:rsid w:val="002121CE"/>
    <w:rsid w:val="002121DE"/>
    <w:rsid w:val="002122F2"/>
    <w:rsid w:val="0021258F"/>
    <w:rsid w:val="0021283B"/>
    <w:rsid w:val="00212978"/>
    <w:rsid w:val="0021298E"/>
    <w:rsid w:val="00212B54"/>
    <w:rsid w:val="00212D6A"/>
    <w:rsid w:val="00212E14"/>
    <w:rsid w:val="00213056"/>
    <w:rsid w:val="00213098"/>
    <w:rsid w:val="00213147"/>
    <w:rsid w:val="00213331"/>
    <w:rsid w:val="00213659"/>
    <w:rsid w:val="0021380B"/>
    <w:rsid w:val="002138B7"/>
    <w:rsid w:val="00213CF3"/>
    <w:rsid w:val="00213F16"/>
    <w:rsid w:val="00214112"/>
    <w:rsid w:val="00214399"/>
    <w:rsid w:val="002144C5"/>
    <w:rsid w:val="00214630"/>
    <w:rsid w:val="002146F5"/>
    <w:rsid w:val="00214871"/>
    <w:rsid w:val="0021498D"/>
    <w:rsid w:val="00214BF0"/>
    <w:rsid w:val="00214C9E"/>
    <w:rsid w:val="00214D68"/>
    <w:rsid w:val="0021515B"/>
    <w:rsid w:val="00215199"/>
    <w:rsid w:val="002152C9"/>
    <w:rsid w:val="00215439"/>
    <w:rsid w:val="002156D9"/>
    <w:rsid w:val="00215834"/>
    <w:rsid w:val="0021591B"/>
    <w:rsid w:val="00215AC4"/>
    <w:rsid w:val="00215B7B"/>
    <w:rsid w:val="00215BB5"/>
    <w:rsid w:val="00215E0C"/>
    <w:rsid w:val="00215FC4"/>
    <w:rsid w:val="002161AF"/>
    <w:rsid w:val="0021629E"/>
    <w:rsid w:val="002163CB"/>
    <w:rsid w:val="00216545"/>
    <w:rsid w:val="00216692"/>
    <w:rsid w:val="00216697"/>
    <w:rsid w:val="00216710"/>
    <w:rsid w:val="0021689E"/>
    <w:rsid w:val="00216AAF"/>
    <w:rsid w:val="00216ADF"/>
    <w:rsid w:val="00216CEE"/>
    <w:rsid w:val="00216D14"/>
    <w:rsid w:val="00216E66"/>
    <w:rsid w:val="00216F2A"/>
    <w:rsid w:val="002171DA"/>
    <w:rsid w:val="0021721B"/>
    <w:rsid w:val="0021722F"/>
    <w:rsid w:val="002175A0"/>
    <w:rsid w:val="0021773F"/>
    <w:rsid w:val="00217748"/>
    <w:rsid w:val="002178BD"/>
    <w:rsid w:val="00217A30"/>
    <w:rsid w:val="00217DA3"/>
    <w:rsid w:val="00217E49"/>
    <w:rsid w:val="00217E88"/>
    <w:rsid w:val="002200D8"/>
    <w:rsid w:val="00220155"/>
    <w:rsid w:val="002201FB"/>
    <w:rsid w:val="00220297"/>
    <w:rsid w:val="0022033E"/>
    <w:rsid w:val="00220406"/>
    <w:rsid w:val="0022047F"/>
    <w:rsid w:val="002207F2"/>
    <w:rsid w:val="002208FC"/>
    <w:rsid w:val="00220A55"/>
    <w:rsid w:val="00220AA4"/>
    <w:rsid w:val="00220E3F"/>
    <w:rsid w:val="00220FA3"/>
    <w:rsid w:val="00221024"/>
    <w:rsid w:val="002218F1"/>
    <w:rsid w:val="00221C3B"/>
    <w:rsid w:val="00222040"/>
    <w:rsid w:val="002222A7"/>
    <w:rsid w:val="002223E4"/>
    <w:rsid w:val="0022260A"/>
    <w:rsid w:val="002227CE"/>
    <w:rsid w:val="002229AA"/>
    <w:rsid w:val="00222A4D"/>
    <w:rsid w:val="00222C21"/>
    <w:rsid w:val="00223256"/>
    <w:rsid w:val="00223290"/>
    <w:rsid w:val="00223482"/>
    <w:rsid w:val="00223515"/>
    <w:rsid w:val="002236F5"/>
    <w:rsid w:val="0022378B"/>
    <w:rsid w:val="00223A1C"/>
    <w:rsid w:val="00223A8C"/>
    <w:rsid w:val="00223BD1"/>
    <w:rsid w:val="00223D8D"/>
    <w:rsid w:val="00224167"/>
    <w:rsid w:val="0022462E"/>
    <w:rsid w:val="00224703"/>
    <w:rsid w:val="00224889"/>
    <w:rsid w:val="002248AC"/>
    <w:rsid w:val="00224953"/>
    <w:rsid w:val="00224D15"/>
    <w:rsid w:val="00224EAB"/>
    <w:rsid w:val="00225060"/>
    <w:rsid w:val="002251F8"/>
    <w:rsid w:val="0022551A"/>
    <w:rsid w:val="00225601"/>
    <w:rsid w:val="00225819"/>
    <w:rsid w:val="00225F3F"/>
    <w:rsid w:val="00225FA9"/>
    <w:rsid w:val="002262D5"/>
    <w:rsid w:val="00226D40"/>
    <w:rsid w:val="00227007"/>
    <w:rsid w:val="002270C4"/>
    <w:rsid w:val="002270D2"/>
    <w:rsid w:val="00227235"/>
    <w:rsid w:val="00227289"/>
    <w:rsid w:val="00227322"/>
    <w:rsid w:val="00227661"/>
    <w:rsid w:val="0022768D"/>
    <w:rsid w:val="002276A1"/>
    <w:rsid w:val="002277F3"/>
    <w:rsid w:val="00227B75"/>
    <w:rsid w:val="00230013"/>
    <w:rsid w:val="00230815"/>
    <w:rsid w:val="00230BAD"/>
    <w:rsid w:val="00230D9E"/>
    <w:rsid w:val="00230DFE"/>
    <w:rsid w:val="00230EE9"/>
    <w:rsid w:val="00230F1B"/>
    <w:rsid w:val="0023124B"/>
    <w:rsid w:val="002314D0"/>
    <w:rsid w:val="002315DD"/>
    <w:rsid w:val="00231632"/>
    <w:rsid w:val="00231679"/>
    <w:rsid w:val="002316C2"/>
    <w:rsid w:val="00231722"/>
    <w:rsid w:val="00231A6C"/>
    <w:rsid w:val="00231B3B"/>
    <w:rsid w:val="00231F90"/>
    <w:rsid w:val="00232475"/>
    <w:rsid w:val="002324DE"/>
    <w:rsid w:val="002325E7"/>
    <w:rsid w:val="0023274C"/>
    <w:rsid w:val="002328A3"/>
    <w:rsid w:val="002329BF"/>
    <w:rsid w:val="00232C7C"/>
    <w:rsid w:val="00233365"/>
    <w:rsid w:val="00233529"/>
    <w:rsid w:val="002336FC"/>
    <w:rsid w:val="00233718"/>
    <w:rsid w:val="0023375A"/>
    <w:rsid w:val="002338A1"/>
    <w:rsid w:val="00233B1A"/>
    <w:rsid w:val="00233D39"/>
    <w:rsid w:val="00233DAD"/>
    <w:rsid w:val="00233E17"/>
    <w:rsid w:val="00233E3B"/>
    <w:rsid w:val="00233E8D"/>
    <w:rsid w:val="00233EF2"/>
    <w:rsid w:val="00234104"/>
    <w:rsid w:val="0023417B"/>
    <w:rsid w:val="0023426B"/>
    <w:rsid w:val="002344CF"/>
    <w:rsid w:val="0023450B"/>
    <w:rsid w:val="00234BAE"/>
    <w:rsid w:val="00234BEB"/>
    <w:rsid w:val="00234D09"/>
    <w:rsid w:val="002350E4"/>
    <w:rsid w:val="002351E8"/>
    <w:rsid w:val="002352E6"/>
    <w:rsid w:val="00235392"/>
    <w:rsid w:val="002353A6"/>
    <w:rsid w:val="00235463"/>
    <w:rsid w:val="002354AA"/>
    <w:rsid w:val="002355AA"/>
    <w:rsid w:val="002359B4"/>
    <w:rsid w:val="00235DFC"/>
    <w:rsid w:val="00235E58"/>
    <w:rsid w:val="002362A7"/>
    <w:rsid w:val="0023679B"/>
    <w:rsid w:val="00236A2C"/>
    <w:rsid w:val="00236BBF"/>
    <w:rsid w:val="00236DBC"/>
    <w:rsid w:val="00236EB4"/>
    <w:rsid w:val="002370FE"/>
    <w:rsid w:val="00237125"/>
    <w:rsid w:val="00237190"/>
    <w:rsid w:val="00237518"/>
    <w:rsid w:val="002376D8"/>
    <w:rsid w:val="0023781F"/>
    <w:rsid w:val="002379B6"/>
    <w:rsid w:val="00237BDE"/>
    <w:rsid w:val="00237C10"/>
    <w:rsid w:val="00237DF0"/>
    <w:rsid w:val="00237E8D"/>
    <w:rsid w:val="00237F04"/>
    <w:rsid w:val="00237F1E"/>
    <w:rsid w:val="00237F44"/>
    <w:rsid w:val="00240427"/>
    <w:rsid w:val="002404B7"/>
    <w:rsid w:val="002404E8"/>
    <w:rsid w:val="00240548"/>
    <w:rsid w:val="002405F6"/>
    <w:rsid w:val="00240653"/>
    <w:rsid w:val="00240697"/>
    <w:rsid w:val="00240B10"/>
    <w:rsid w:val="00240CA0"/>
    <w:rsid w:val="00240F79"/>
    <w:rsid w:val="00240FBE"/>
    <w:rsid w:val="00241022"/>
    <w:rsid w:val="002411B6"/>
    <w:rsid w:val="002411E5"/>
    <w:rsid w:val="00241528"/>
    <w:rsid w:val="00241B1F"/>
    <w:rsid w:val="00241D1C"/>
    <w:rsid w:val="00241D7E"/>
    <w:rsid w:val="00241E1A"/>
    <w:rsid w:val="00241E53"/>
    <w:rsid w:val="00241E88"/>
    <w:rsid w:val="00241EBC"/>
    <w:rsid w:val="00241FDC"/>
    <w:rsid w:val="002420FA"/>
    <w:rsid w:val="002422BB"/>
    <w:rsid w:val="0024231C"/>
    <w:rsid w:val="0024249B"/>
    <w:rsid w:val="002428FF"/>
    <w:rsid w:val="00243183"/>
    <w:rsid w:val="0024320B"/>
    <w:rsid w:val="0024321B"/>
    <w:rsid w:val="00243258"/>
    <w:rsid w:val="0024340F"/>
    <w:rsid w:val="00243477"/>
    <w:rsid w:val="0024365A"/>
    <w:rsid w:val="0024390F"/>
    <w:rsid w:val="00243AAA"/>
    <w:rsid w:val="00243BCE"/>
    <w:rsid w:val="00243D5B"/>
    <w:rsid w:val="00244014"/>
    <w:rsid w:val="002440C7"/>
    <w:rsid w:val="002441D7"/>
    <w:rsid w:val="00244277"/>
    <w:rsid w:val="002444DA"/>
    <w:rsid w:val="002446D6"/>
    <w:rsid w:val="00244A7F"/>
    <w:rsid w:val="00244B41"/>
    <w:rsid w:val="00244C08"/>
    <w:rsid w:val="00244C25"/>
    <w:rsid w:val="00244E35"/>
    <w:rsid w:val="002455CC"/>
    <w:rsid w:val="002457B7"/>
    <w:rsid w:val="002457DC"/>
    <w:rsid w:val="00245AD8"/>
    <w:rsid w:val="00245C38"/>
    <w:rsid w:val="00245DB5"/>
    <w:rsid w:val="00245E05"/>
    <w:rsid w:val="002461A0"/>
    <w:rsid w:val="002462F1"/>
    <w:rsid w:val="00246460"/>
    <w:rsid w:val="0024659C"/>
    <w:rsid w:val="0024671E"/>
    <w:rsid w:val="00246918"/>
    <w:rsid w:val="00246B30"/>
    <w:rsid w:val="00246BF7"/>
    <w:rsid w:val="00246D8A"/>
    <w:rsid w:val="002471BA"/>
    <w:rsid w:val="00247366"/>
    <w:rsid w:val="00247425"/>
    <w:rsid w:val="0024775C"/>
    <w:rsid w:val="002478C5"/>
    <w:rsid w:val="00247B04"/>
    <w:rsid w:val="00247CB6"/>
    <w:rsid w:val="00247DF8"/>
    <w:rsid w:val="00247EE9"/>
    <w:rsid w:val="00247F5E"/>
    <w:rsid w:val="00250011"/>
    <w:rsid w:val="002500B6"/>
    <w:rsid w:val="0025012E"/>
    <w:rsid w:val="002503BF"/>
    <w:rsid w:val="00250531"/>
    <w:rsid w:val="002507A0"/>
    <w:rsid w:val="00250A64"/>
    <w:rsid w:val="00250B07"/>
    <w:rsid w:val="00250B6A"/>
    <w:rsid w:val="00250B8D"/>
    <w:rsid w:val="00250C75"/>
    <w:rsid w:val="00250DEB"/>
    <w:rsid w:val="00250FBC"/>
    <w:rsid w:val="00251006"/>
    <w:rsid w:val="0025107F"/>
    <w:rsid w:val="0025109D"/>
    <w:rsid w:val="002510C6"/>
    <w:rsid w:val="00251177"/>
    <w:rsid w:val="002513E4"/>
    <w:rsid w:val="00251488"/>
    <w:rsid w:val="002514B3"/>
    <w:rsid w:val="00251645"/>
    <w:rsid w:val="00251704"/>
    <w:rsid w:val="00251721"/>
    <w:rsid w:val="002518F5"/>
    <w:rsid w:val="00251AEF"/>
    <w:rsid w:val="00251C3B"/>
    <w:rsid w:val="00251C57"/>
    <w:rsid w:val="00251CEF"/>
    <w:rsid w:val="00251D04"/>
    <w:rsid w:val="00251FE9"/>
    <w:rsid w:val="002523F4"/>
    <w:rsid w:val="0025256F"/>
    <w:rsid w:val="002525AF"/>
    <w:rsid w:val="00252B4C"/>
    <w:rsid w:val="00252CE1"/>
    <w:rsid w:val="00252E69"/>
    <w:rsid w:val="00252ED3"/>
    <w:rsid w:val="00252F0A"/>
    <w:rsid w:val="00252FE6"/>
    <w:rsid w:val="002530B8"/>
    <w:rsid w:val="00253244"/>
    <w:rsid w:val="00253568"/>
    <w:rsid w:val="00253623"/>
    <w:rsid w:val="00253650"/>
    <w:rsid w:val="00253674"/>
    <w:rsid w:val="002536B7"/>
    <w:rsid w:val="00253704"/>
    <w:rsid w:val="00253844"/>
    <w:rsid w:val="00253C77"/>
    <w:rsid w:val="00253D8E"/>
    <w:rsid w:val="00253F6B"/>
    <w:rsid w:val="00254204"/>
    <w:rsid w:val="0025430E"/>
    <w:rsid w:val="002544F0"/>
    <w:rsid w:val="0025471F"/>
    <w:rsid w:val="00254A9F"/>
    <w:rsid w:val="00254B01"/>
    <w:rsid w:val="00254E3E"/>
    <w:rsid w:val="00254FE2"/>
    <w:rsid w:val="002550EA"/>
    <w:rsid w:val="00255107"/>
    <w:rsid w:val="0025545A"/>
    <w:rsid w:val="0025553F"/>
    <w:rsid w:val="00255598"/>
    <w:rsid w:val="002556E6"/>
    <w:rsid w:val="0025586E"/>
    <w:rsid w:val="00255910"/>
    <w:rsid w:val="0025595A"/>
    <w:rsid w:val="002559CE"/>
    <w:rsid w:val="00255B30"/>
    <w:rsid w:val="00255C86"/>
    <w:rsid w:val="00255D5F"/>
    <w:rsid w:val="00255F05"/>
    <w:rsid w:val="00255F4D"/>
    <w:rsid w:val="00256212"/>
    <w:rsid w:val="00256228"/>
    <w:rsid w:val="002562F5"/>
    <w:rsid w:val="00256381"/>
    <w:rsid w:val="00256452"/>
    <w:rsid w:val="002565AF"/>
    <w:rsid w:val="002566EC"/>
    <w:rsid w:val="00256768"/>
    <w:rsid w:val="002567A7"/>
    <w:rsid w:val="00256C41"/>
    <w:rsid w:val="00256D93"/>
    <w:rsid w:val="00256E65"/>
    <w:rsid w:val="0025708D"/>
    <w:rsid w:val="0025721A"/>
    <w:rsid w:val="0025724F"/>
    <w:rsid w:val="002572FC"/>
    <w:rsid w:val="00257359"/>
    <w:rsid w:val="002573B6"/>
    <w:rsid w:val="00257556"/>
    <w:rsid w:val="0025776B"/>
    <w:rsid w:val="00257A9D"/>
    <w:rsid w:val="00257C0A"/>
    <w:rsid w:val="00257C2C"/>
    <w:rsid w:val="00257D7E"/>
    <w:rsid w:val="00257E49"/>
    <w:rsid w:val="00257EF4"/>
    <w:rsid w:val="00257F7F"/>
    <w:rsid w:val="00257F99"/>
    <w:rsid w:val="00260088"/>
    <w:rsid w:val="002603A0"/>
    <w:rsid w:val="002608F6"/>
    <w:rsid w:val="00260943"/>
    <w:rsid w:val="00260C47"/>
    <w:rsid w:val="00260E2E"/>
    <w:rsid w:val="00260F02"/>
    <w:rsid w:val="002611E6"/>
    <w:rsid w:val="002613B0"/>
    <w:rsid w:val="002616B3"/>
    <w:rsid w:val="002616DE"/>
    <w:rsid w:val="00261869"/>
    <w:rsid w:val="00261991"/>
    <w:rsid w:val="00261CD8"/>
    <w:rsid w:val="00262011"/>
    <w:rsid w:val="00262243"/>
    <w:rsid w:val="002622FC"/>
    <w:rsid w:val="0026237F"/>
    <w:rsid w:val="00262445"/>
    <w:rsid w:val="00262564"/>
    <w:rsid w:val="0026259D"/>
    <w:rsid w:val="0026280B"/>
    <w:rsid w:val="00262855"/>
    <w:rsid w:val="002628D6"/>
    <w:rsid w:val="00262AE6"/>
    <w:rsid w:val="00262D83"/>
    <w:rsid w:val="00262F03"/>
    <w:rsid w:val="00262F27"/>
    <w:rsid w:val="002630D8"/>
    <w:rsid w:val="00263431"/>
    <w:rsid w:val="00263566"/>
    <w:rsid w:val="0026392E"/>
    <w:rsid w:val="00263965"/>
    <w:rsid w:val="002639E9"/>
    <w:rsid w:val="00263A92"/>
    <w:rsid w:val="00263B16"/>
    <w:rsid w:val="00263B77"/>
    <w:rsid w:val="00263D05"/>
    <w:rsid w:val="00263DD4"/>
    <w:rsid w:val="00263FB6"/>
    <w:rsid w:val="00263FFD"/>
    <w:rsid w:val="0026403C"/>
    <w:rsid w:val="00264229"/>
    <w:rsid w:val="00264422"/>
    <w:rsid w:val="002644CD"/>
    <w:rsid w:val="00264539"/>
    <w:rsid w:val="00264637"/>
    <w:rsid w:val="0026474A"/>
    <w:rsid w:val="00264844"/>
    <w:rsid w:val="0026493F"/>
    <w:rsid w:val="002649D8"/>
    <w:rsid w:val="00264B5B"/>
    <w:rsid w:val="00264B97"/>
    <w:rsid w:val="00264BF4"/>
    <w:rsid w:val="00264C14"/>
    <w:rsid w:val="00264C3C"/>
    <w:rsid w:val="00264C68"/>
    <w:rsid w:val="00264CF0"/>
    <w:rsid w:val="00264D22"/>
    <w:rsid w:val="00264E5C"/>
    <w:rsid w:val="00264E9F"/>
    <w:rsid w:val="00264F13"/>
    <w:rsid w:val="00264F33"/>
    <w:rsid w:val="0026503D"/>
    <w:rsid w:val="002655D4"/>
    <w:rsid w:val="0026570F"/>
    <w:rsid w:val="00265717"/>
    <w:rsid w:val="002659DE"/>
    <w:rsid w:val="00265B63"/>
    <w:rsid w:val="00265B87"/>
    <w:rsid w:val="00265BCB"/>
    <w:rsid w:val="00265C88"/>
    <w:rsid w:val="00265D50"/>
    <w:rsid w:val="00265E20"/>
    <w:rsid w:val="00265FA3"/>
    <w:rsid w:val="00266144"/>
    <w:rsid w:val="00266174"/>
    <w:rsid w:val="0026618C"/>
    <w:rsid w:val="002662BD"/>
    <w:rsid w:val="002662BE"/>
    <w:rsid w:val="0026661A"/>
    <w:rsid w:val="002667D9"/>
    <w:rsid w:val="002667DC"/>
    <w:rsid w:val="00266A51"/>
    <w:rsid w:val="00266A74"/>
    <w:rsid w:val="00266C87"/>
    <w:rsid w:val="00266D97"/>
    <w:rsid w:val="00266E12"/>
    <w:rsid w:val="00267092"/>
    <w:rsid w:val="00267178"/>
    <w:rsid w:val="00267287"/>
    <w:rsid w:val="00267454"/>
    <w:rsid w:val="002674D1"/>
    <w:rsid w:val="002674F9"/>
    <w:rsid w:val="0026758B"/>
    <w:rsid w:val="00267703"/>
    <w:rsid w:val="00267A2E"/>
    <w:rsid w:val="00267BF5"/>
    <w:rsid w:val="00267C37"/>
    <w:rsid w:val="00267C88"/>
    <w:rsid w:val="00270030"/>
    <w:rsid w:val="0027009D"/>
    <w:rsid w:val="00270159"/>
    <w:rsid w:val="00270276"/>
    <w:rsid w:val="0027047D"/>
    <w:rsid w:val="0027057E"/>
    <w:rsid w:val="0027066C"/>
    <w:rsid w:val="002706CD"/>
    <w:rsid w:val="002707F4"/>
    <w:rsid w:val="00270962"/>
    <w:rsid w:val="00270978"/>
    <w:rsid w:val="00270E20"/>
    <w:rsid w:val="00271042"/>
    <w:rsid w:val="0027163C"/>
    <w:rsid w:val="002716B1"/>
    <w:rsid w:val="002717D0"/>
    <w:rsid w:val="00271909"/>
    <w:rsid w:val="002719D4"/>
    <w:rsid w:val="00271A72"/>
    <w:rsid w:val="00271B7B"/>
    <w:rsid w:val="00271E14"/>
    <w:rsid w:val="00271F73"/>
    <w:rsid w:val="00272013"/>
    <w:rsid w:val="002721A5"/>
    <w:rsid w:val="00272239"/>
    <w:rsid w:val="0027230C"/>
    <w:rsid w:val="00272340"/>
    <w:rsid w:val="002724AF"/>
    <w:rsid w:val="00272682"/>
    <w:rsid w:val="00272A0A"/>
    <w:rsid w:val="00272B75"/>
    <w:rsid w:val="00272C72"/>
    <w:rsid w:val="00272F44"/>
    <w:rsid w:val="00273035"/>
    <w:rsid w:val="00273228"/>
    <w:rsid w:val="0027323B"/>
    <w:rsid w:val="00273356"/>
    <w:rsid w:val="002733D0"/>
    <w:rsid w:val="002733F3"/>
    <w:rsid w:val="00273788"/>
    <w:rsid w:val="0027391A"/>
    <w:rsid w:val="00273C93"/>
    <w:rsid w:val="00273DA6"/>
    <w:rsid w:val="00273F12"/>
    <w:rsid w:val="00274082"/>
    <w:rsid w:val="0027421A"/>
    <w:rsid w:val="00274243"/>
    <w:rsid w:val="002742DF"/>
    <w:rsid w:val="0027431F"/>
    <w:rsid w:val="002743D5"/>
    <w:rsid w:val="002743FB"/>
    <w:rsid w:val="00274427"/>
    <w:rsid w:val="0027455E"/>
    <w:rsid w:val="00274812"/>
    <w:rsid w:val="0027484B"/>
    <w:rsid w:val="002749A3"/>
    <w:rsid w:val="00274B3E"/>
    <w:rsid w:val="00274C10"/>
    <w:rsid w:val="00274C60"/>
    <w:rsid w:val="00274D80"/>
    <w:rsid w:val="00274E94"/>
    <w:rsid w:val="00274F68"/>
    <w:rsid w:val="00275145"/>
    <w:rsid w:val="002753BB"/>
    <w:rsid w:val="00275469"/>
    <w:rsid w:val="0027561E"/>
    <w:rsid w:val="00275843"/>
    <w:rsid w:val="002758A3"/>
    <w:rsid w:val="002758A9"/>
    <w:rsid w:val="00275ACA"/>
    <w:rsid w:val="00275B1F"/>
    <w:rsid w:val="00275BBA"/>
    <w:rsid w:val="00275C50"/>
    <w:rsid w:val="00275F9B"/>
    <w:rsid w:val="00276043"/>
    <w:rsid w:val="00276297"/>
    <w:rsid w:val="00276618"/>
    <w:rsid w:val="00276E31"/>
    <w:rsid w:val="00277484"/>
    <w:rsid w:val="0027771C"/>
    <w:rsid w:val="00277A0A"/>
    <w:rsid w:val="00277AB2"/>
    <w:rsid w:val="00277C56"/>
    <w:rsid w:val="00277D7A"/>
    <w:rsid w:val="002803BE"/>
    <w:rsid w:val="002807B4"/>
    <w:rsid w:val="0028087E"/>
    <w:rsid w:val="002809D3"/>
    <w:rsid w:val="00280B25"/>
    <w:rsid w:val="00280BA5"/>
    <w:rsid w:val="00280DFC"/>
    <w:rsid w:val="00281144"/>
    <w:rsid w:val="002811F0"/>
    <w:rsid w:val="0028125E"/>
    <w:rsid w:val="00281475"/>
    <w:rsid w:val="002815B7"/>
    <w:rsid w:val="0028181F"/>
    <w:rsid w:val="0028182A"/>
    <w:rsid w:val="00281889"/>
    <w:rsid w:val="002818CD"/>
    <w:rsid w:val="00281AA6"/>
    <w:rsid w:val="00281D44"/>
    <w:rsid w:val="00282002"/>
    <w:rsid w:val="00282048"/>
    <w:rsid w:val="00282100"/>
    <w:rsid w:val="0028210E"/>
    <w:rsid w:val="00282191"/>
    <w:rsid w:val="00282441"/>
    <w:rsid w:val="00282566"/>
    <w:rsid w:val="00282679"/>
    <w:rsid w:val="002826DC"/>
    <w:rsid w:val="00282896"/>
    <w:rsid w:val="00282944"/>
    <w:rsid w:val="00282A54"/>
    <w:rsid w:val="00282BF6"/>
    <w:rsid w:val="00282ECB"/>
    <w:rsid w:val="002832AF"/>
    <w:rsid w:val="00283466"/>
    <w:rsid w:val="00283992"/>
    <w:rsid w:val="00283A68"/>
    <w:rsid w:val="00283B23"/>
    <w:rsid w:val="00283C49"/>
    <w:rsid w:val="00283DF2"/>
    <w:rsid w:val="0028447E"/>
    <w:rsid w:val="002844B3"/>
    <w:rsid w:val="002844BB"/>
    <w:rsid w:val="002849C2"/>
    <w:rsid w:val="002849F8"/>
    <w:rsid w:val="002849FA"/>
    <w:rsid w:val="00284BDE"/>
    <w:rsid w:val="00284D59"/>
    <w:rsid w:val="00284EC2"/>
    <w:rsid w:val="00285168"/>
    <w:rsid w:val="0028518F"/>
    <w:rsid w:val="00285207"/>
    <w:rsid w:val="00285286"/>
    <w:rsid w:val="002855FB"/>
    <w:rsid w:val="00285ABF"/>
    <w:rsid w:val="00285E9B"/>
    <w:rsid w:val="00286189"/>
    <w:rsid w:val="002862F4"/>
    <w:rsid w:val="0028632D"/>
    <w:rsid w:val="00286401"/>
    <w:rsid w:val="00286447"/>
    <w:rsid w:val="002867C7"/>
    <w:rsid w:val="00286995"/>
    <w:rsid w:val="00286E37"/>
    <w:rsid w:val="00286E54"/>
    <w:rsid w:val="0028702E"/>
    <w:rsid w:val="00287032"/>
    <w:rsid w:val="00287127"/>
    <w:rsid w:val="002874BE"/>
    <w:rsid w:val="0028756E"/>
    <w:rsid w:val="00287890"/>
    <w:rsid w:val="002878C4"/>
    <w:rsid w:val="00287955"/>
    <w:rsid w:val="00287BA9"/>
    <w:rsid w:val="00287C72"/>
    <w:rsid w:val="00287E0A"/>
    <w:rsid w:val="002900F4"/>
    <w:rsid w:val="00290116"/>
    <w:rsid w:val="002901BB"/>
    <w:rsid w:val="00290416"/>
    <w:rsid w:val="00290523"/>
    <w:rsid w:val="00290585"/>
    <w:rsid w:val="0029058D"/>
    <w:rsid w:val="002906F1"/>
    <w:rsid w:val="00290763"/>
    <w:rsid w:val="002908E9"/>
    <w:rsid w:val="00290AFB"/>
    <w:rsid w:val="00290F3B"/>
    <w:rsid w:val="00290F3E"/>
    <w:rsid w:val="00291017"/>
    <w:rsid w:val="0029109B"/>
    <w:rsid w:val="002913D9"/>
    <w:rsid w:val="00291637"/>
    <w:rsid w:val="00291C29"/>
    <w:rsid w:val="00291D6F"/>
    <w:rsid w:val="00291DB2"/>
    <w:rsid w:val="00291E95"/>
    <w:rsid w:val="0029201C"/>
    <w:rsid w:val="002920EC"/>
    <w:rsid w:val="0029224E"/>
    <w:rsid w:val="002922D8"/>
    <w:rsid w:val="0029234E"/>
    <w:rsid w:val="00292467"/>
    <w:rsid w:val="00292613"/>
    <w:rsid w:val="00292760"/>
    <w:rsid w:val="00292795"/>
    <w:rsid w:val="00292839"/>
    <w:rsid w:val="00292B57"/>
    <w:rsid w:val="00292B6D"/>
    <w:rsid w:val="00292BC1"/>
    <w:rsid w:val="00292C86"/>
    <w:rsid w:val="00292CF0"/>
    <w:rsid w:val="00292F0F"/>
    <w:rsid w:val="00293067"/>
    <w:rsid w:val="00293220"/>
    <w:rsid w:val="00293257"/>
    <w:rsid w:val="00293263"/>
    <w:rsid w:val="00293374"/>
    <w:rsid w:val="0029354F"/>
    <w:rsid w:val="00293753"/>
    <w:rsid w:val="00293ACB"/>
    <w:rsid w:val="00293C22"/>
    <w:rsid w:val="00293E09"/>
    <w:rsid w:val="00293F5E"/>
    <w:rsid w:val="00293F84"/>
    <w:rsid w:val="002940E7"/>
    <w:rsid w:val="00294224"/>
    <w:rsid w:val="002942B9"/>
    <w:rsid w:val="002943BF"/>
    <w:rsid w:val="002943C8"/>
    <w:rsid w:val="002944CB"/>
    <w:rsid w:val="00294A7C"/>
    <w:rsid w:val="00294DA0"/>
    <w:rsid w:val="00294DF8"/>
    <w:rsid w:val="00294E70"/>
    <w:rsid w:val="00294FA4"/>
    <w:rsid w:val="0029512B"/>
    <w:rsid w:val="0029530A"/>
    <w:rsid w:val="00295315"/>
    <w:rsid w:val="00295333"/>
    <w:rsid w:val="0029540B"/>
    <w:rsid w:val="0029576B"/>
    <w:rsid w:val="002957BE"/>
    <w:rsid w:val="002957EB"/>
    <w:rsid w:val="00295961"/>
    <w:rsid w:val="00295ABD"/>
    <w:rsid w:val="00295B4C"/>
    <w:rsid w:val="00295CF6"/>
    <w:rsid w:val="002960BA"/>
    <w:rsid w:val="002960CA"/>
    <w:rsid w:val="00296120"/>
    <w:rsid w:val="0029617C"/>
    <w:rsid w:val="00296367"/>
    <w:rsid w:val="00296473"/>
    <w:rsid w:val="00296606"/>
    <w:rsid w:val="00296661"/>
    <w:rsid w:val="00296708"/>
    <w:rsid w:val="00296C9E"/>
    <w:rsid w:val="00296CAA"/>
    <w:rsid w:val="00296D0E"/>
    <w:rsid w:val="00296DE0"/>
    <w:rsid w:val="00296E82"/>
    <w:rsid w:val="00297068"/>
    <w:rsid w:val="0029712A"/>
    <w:rsid w:val="0029713F"/>
    <w:rsid w:val="00297608"/>
    <w:rsid w:val="0029774B"/>
    <w:rsid w:val="00297852"/>
    <w:rsid w:val="00297889"/>
    <w:rsid w:val="00297AD8"/>
    <w:rsid w:val="00297C9A"/>
    <w:rsid w:val="00297CD0"/>
    <w:rsid w:val="00297D8F"/>
    <w:rsid w:val="00297E2C"/>
    <w:rsid w:val="00297F2A"/>
    <w:rsid w:val="00297F7C"/>
    <w:rsid w:val="002A0193"/>
    <w:rsid w:val="002A038D"/>
    <w:rsid w:val="002A05F7"/>
    <w:rsid w:val="002A0612"/>
    <w:rsid w:val="002A077A"/>
    <w:rsid w:val="002A0807"/>
    <w:rsid w:val="002A0877"/>
    <w:rsid w:val="002A087A"/>
    <w:rsid w:val="002A08BB"/>
    <w:rsid w:val="002A08C2"/>
    <w:rsid w:val="002A0AD7"/>
    <w:rsid w:val="002A0C61"/>
    <w:rsid w:val="002A0CBA"/>
    <w:rsid w:val="002A0FB5"/>
    <w:rsid w:val="002A1167"/>
    <w:rsid w:val="002A14A3"/>
    <w:rsid w:val="002A14A9"/>
    <w:rsid w:val="002A1746"/>
    <w:rsid w:val="002A1B46"/>
    <w:rsid w:val="002A1D17"/>
    <w:rsid w:val="002A2059"/>
    <w:rsid w:val="002A20E4"/>
    <w:rsid w:val="002A22B8"/>
    <w:rsid w:val="002A23CA"/>
    <w:rsid w:val="002A2420"/>
    <w:rsid w:val="002A24B1"/>
    <w:rsid w:val="002A25AB"/>
    <w:rsid w:val="002A2AC4"/>
    <w:rsid w:val="002A3063"/>
    <w:rsid w:val="002A3496"/>
    <w:rsid w:val="002A34B8"/>
    <w:rsid w:val="002A3547"/>
    <w:rsid w:val="002A35DE"/>
    <w:rsid w:val="002A3746"/>
    <w:rsid w:val="002A377D"/>
    <w:rsid w:val="002A385B"/>
    <w:rsid w:val="002A3944"/>
    <w:rsid w:val="002A3949"/>
    <w:rsid w:val="002A405A"/>
    <w:rsid w:val="002A4167"/>
    <w:rsid w:val="002A4174"/>
    <w:rsid w:val="002A418E"/>
    <w:rsid w:val="002A445E"/>
    <w:rsid w:val="002A4540"/>
    <w:rsid w:val="002A48AA"/>
    <w:rsid w:val="002A4B21"/>
    <w:rsid w:val="002A4E70"/>
    <w:rsid w:val="002A4EF2"/>
    <w:rsid w:val="002A4FFE"/>
    <w:rsid w:val="002A508E"/>
    <w:rsid w:val="002A51C1"/>
    <w:rsid w:val="002A5286"/>
    <w:rsid w:val="002A5310"/>
    <w:rsid w:val="002A5518"/>
    <w:rsid w:val="002A5662"/>
    <w:rsid w:val="002A567E"/>
    <w:rsid w:val="002A56D9"/>
    <w:rsid w:val="002A5907"/>
    <w:rsid w:val="002A5A6C"/>
    <w:rsid w:val="002A5D3C"/>
    <w:rsid w:val="002A6118"/>
    <w:rsid w:val="002A6357"/>
    <w:rsid w:val="002A6363"/>
    <w:rsid w:val="002A6484"/>
    <w:rsid w:val="002A64F4"/>
    <w:rsid w:val="002A682C"/>
    <w:rsid w:val="002A6934"/>
    <w:rsid w:val="002A6CD1"/>
    <w:rsid w:val="002A6D54"/>
    <w:rsid w:val="002A6F70"/>
    <w:rsid w:val="002A7098"/>
    <w:rsid w:val="002A70E6"/>
    <w:rsid w:val="002A7132"/>
    <w:rsid w:val="002A71D6"/>
    <w:rsid w:val="002A71E3"/>
    <w:rsid w:val="002A7223"/>
    <w:rsid w:val="002A7288"/>
    <w:rsid w:val="002A73AD"/>
    <w:rsid w:val="002A750D"/>
    <w:rsid w:val="002A75AD"/>
    <w:rsid w:val="002A78A4"/>
    <w:rsid w:val="002A79F6"/>
    <w:rsid w:val="002A7BEE"/>
    <w:rsid w:val="002A7CFA"/>
    <w:rsid w:val="002B02D8"/>
    <w:rsid w:val="002B0330"/>
    <w:rsid w:val="002B0415"/>
    <w:rsid w:val="002B0A8C"/>
    <w:rsid w:val="002B0CB6"/>
    <w:rsid w:val="002B0D57"/>
    <w:rsid w:val="002B0D9D"/>
    <w:rsid w:val="002B0E7B"/>
    <w:rsid w:val="002B1221"/>
    <w:rsid w:val="002B136B"/>
    <w:rsid w:val="002B13E6"/>
    <w:rsid w:val="002B1A91"/>
    <w:rsid w:val="002B1BA5"/>
    <w:rsid w:val="002B1C37"/>
    <w:rsid w:val="002B1C40"/>
    <w:rsid w:val="002B1E93"/>
    <w:rsid w:val="002B1F08"/>
    <w:rsid w:val="002B1F9D"/>
    <w:rsid w:val="002B20CF"/>
    <w:rsid w:val="002B2193"/>
    <w:rsid w:val="002B2277"/>
    <w:rsid w:val="002B2358"/>
    <w:rsid w:val="002B245C"/>
    <w:rsid w:val="002B252D"/>
    <w:rsid w:val="002B2533"/>
    <w:rsid w:val="002B2776"/>
    <w:rsid w:val="002B2B9C"/>
    <w:rsid w:val="002B2C46"/>
    <w:rsid w:val="002B2EF9"/>
    <w:rsid w:val="002B2F9C"/>
    <w:rsid w:val="002B31D1"/>
    <w:rsid w:val="002B353D"/>
    <w:rsid w:val="002B3633"/>
    <w:rsid w:val="002B37F5"/>
    <w:rsid w:val="002B37FB"/>
    <w:rsid w:val="002B3820"/>
    <w:rsid w:val="002B398D"/>
    <w:rsid w:val="002B39CB"/>
    <w:rsid w:val="002B3CCD"/>
    <w:rsid w:val="002B3E00"/>
    <w:rsid w:val="002B468C"/>
    <w:rsid w:val="002B4737"/>
    <w:rsid w:val="002B4758"/>
    <w:rsid w:val="002B47B6"/>
    <w:rsid w:val="002B4940"/>
    <w:rsid w:val="002B49DD"/>
    <w:rsid w:val="002B4A4A"/>
    <w:rsid w:val="002B4EF3"/>
    <w:rsid w:val="002B4F05"/>
    <w:rsid w:val="002B5084"/>
    <w:rsid w:val="002B50BD"/>
    <w:rsid w:val="002B53AC"/>
    <w:rsid w:val="002B54DF"/>
    <w:rsid w:val="002B5662"/>
    <w:rsid w:val="002B5A43"/>
    <w:rsid w:val="002B5A91"/>
    <w:rsid w:val="002B5B48"/>
    <w:rsid w:val="002B5C13"/>
    <w:rsid w:val="002B5CFE"/>
    <w:rsid w:val="002B5F4D"/>
    <w:rsid w:val="002B5FEE"/>
    <w:rsid w:val="002B6135"/>
    <w:rsid w:val="002B61A0"/>
    <w:rsid w:val="002B6298"/>
    <w:rsid w:val="002B6327"/>
    <w:rsid w:val="002B656C"/>
    <w:rsid w:val="002B667D"/>
    <w:rsid w:val="002B66B7"/>
    <w:rsid w:val="002B68DC"/>
    <w:rsid w:val="002B6901"/>
    <w:rsid w:val="002B6B34"/>
    <w:rsid w:val="002B6C9E"/>
    <w:rsid w:val="002B6E21"/>
    <w:rsid w:val="002B6E8C"/>
    <w:rsid w:val="002B7148"/>
    <w:rsid w:val="002B71BC"/>
    <w:rsid w:val="002B77AC"/>
    <w:rsid w:val="002B7852"/>
    <w:rsid w:val="002B7DA3"/>
    <w:rsid w:val="002B7E2F"/>
    <w:rsid w:val="002B7E3E"/>
    <w:rsid w:val="002B7E7E"/>
    <w:rsid w:val="002B7EB8"/>
    <w:rsid w:val="002B7EE9"/>
    <w:rsid w:val="002C036B"/>
    <w:rsid w:val="002C037C"/>
    <w:rsid w:val="002C0407"/>
    <w:rsid w:val="002C04A8"/>
    <w:rsid w:val="002C062A"/>
    <w:rsid w:val="002C0808"/>
    <w:rsid w:val="002C0997"/>
    <w:rsid w:val="002C0A7F"/>
    <w:rsid w:val="002C0B22"/>
    <w:rsid w:val="002C0BC4"/>
    <w:rsid w:val="002C0E54"/>
    <w:rsid w:val="002C1182"/>
    <w:rsid w:val="002C12B9"/>
    <w:rsid w:val="002C146A"/>
    <w:rsid w:val="002C15AC"/>
    <w:rsid w:val="002C164F"/>
    <w:rsid w:val="002C16F7"/>
    <w:rsid w:val="002C17C1"/>
    <w:rsid w:val="002C1856"/>
    <w:rsid w:val="002C1ADE"/>
    <w:rsid w:val="002C1B5F"/>
    <w:rsid w:val="002C1C14"/>
    <w:rsid w:val="002C1C62"/>
    <w:rsid w:val="002C1DF3"/>
    <w:rsid w:val="002C23F3"/>
    <w:rsid w:val="002C2551"/>
    <w:rsid w:val="002C260B"/>
    <w:rsid w:val="002C2C17"/>
    <w:rsid w:val="002C2D96"/>
    <w:rsid w:val="002C2DB6"/>
    <w:rsid w:val="002C30A1"/>
    <w:rsid w:val="002C31F7"/>
    <w:rsid w:val="002C33BB"/>
    <w:rsid w:val="002C343E"/>
    <w:rsid w:val="002C369C"/>
    <w:rsid w:val="002C37F7"/>
    <w:rsid w:val="002C392B"/>
    <w:rsid w:val="002C396E"/>
    <w:rsid w:val="002C3A25"/>
    <w:rsid w:val="002C3D74"/>
    <w:rsid w:val="002C40DA"/>
    <w:rsid w:val="002C410A"/>
    <w:rsid w:val="002C45CF"/>
    <w:rsid w:val="002C4744"/>
    <w:rsid w:val="002C4814"/>
    <w:rsid w:val="002C4918"/>
    <w:rsid w:val="002C49ED"/>
    <w:rsid w:val="002C5315"/>
    <w:rsid w:val="002C54AD"/>
    <w:rsid w:val="002C5868"/>
    <w:rsid w:val="002C58CE"/>
    <w:rsid w:val="002C58D7"/>
    <w:rsid w:val="002C59A9"/>
    <w:rsid w:val="002C5A4C"/>
    <w:rsid w:val="002C5AC6"/>
    <w:rsid w:val="002C5FF7"/>
    <w:rsid w:val="002C5FF8"/>
    <w:rsid w:val="002C605E"/>
    <w:rsid w:val="002C639E"/>
    <w:rsid w:val="002C63A6"/>
    <w:rsid w:val="002C65A2"/>
    <w:rsid w:val="002C6601"/>
    <w:rsid w:val="002C69E2"/>
    <w:rsid w:val="002C6A24"/>
    <w:rsid w:val="002C6BC0"/>
    <w:rsid w:val="002C6C80"/>
    <w:rsid w:val="002C6D6F"/>
    <w:rsid w:val="002C6EAD"/>
    <w:rsid w:val="002C6F3D"/>
    <w:rsid w:val="002C7399"/>
    <w:rsid w:val="002C7439"/>
    <w:rsid w:val="002C75E6"/>
    <w:rsid w:val="002C78CE"/>
    <w:rsid w:val="002C7A2D"/>
    <w:rsid w:val="002C7A85"/>
    <w:rsid w:val="002C7D57"/>
    <w:rsid w:val="002C7D6E"/>
    <w:rsid w:val="002C7E91"/>
    <w:rsid w:val="002D00DE"/>
    <w:rsid w:val="002D01C7"/>
    <w:rsid w:val="002D020C"/>
    <w:rsid w:val="002D0250"/>
    <w:rsid w:val="002D03E2"/>
    <w:rsid w:val="002D0404"/>
    <w:rsid w:val="002D0436"/>
    <w:rsid w:val="002D0688"/>
    <w:rsid w:val="002D0B7E"/>
    <w:rsid w:val="002D0C44"/>
    <w:rsid w:val="002D0C48"/>
    <w:rsid w:val="002D107C"/>
    <w:rsid w:val="002D11D7"/>
    <w:rsid w:val="002D12D9"/>
    <w:rsid w:val="002D12F5"/>
    <w:rsid w:val="002D131C"/>
    <w:rsid w:val="002D14C2"/>
    <w:rsid w:val="002D1775"/>
    <w:rsid w:val="002D1D44"/>
    <w:rsid w:val="002D1F0A"/>
    <w:rsid w:val="002D209C"/>
    <w:rsid w:val="002D20AC"/>
    <w:rsid w:val="002D22D5"/>
    <w:rsid w:val="002D26A1"/>
    <w:rsid w:val="002D27B6"/>
    <w:rsid w:val="002D28A4"/>
    <w:rsid w:val="002D2A27"/>
    <w:rsid w:val="002D2A5B"/>
    <w:rsid w:val="002D2C26"/>
    <w:rsid w:val="002D2DC4"/>
    <w:rsid w:val="002D344E"/>
    <w:rsid w:val="002D347B"/>
    <w:rsid w:val="002D3577"/>
    <w:rsid w:val="002D380F"/>
    <w:rsid w:val="002D3822"/>
    <w:rsid w:val="002D394B"/>
    <w:rsid w:val="002D3966"/>
    <w:rsid w:val="002D3979"/>
    <w:rsid w:val="002D39F3"/>
    <w:rsid w:val="002D3B22"/>
    <w:rsid w:val="002D3C2F"/>
    <w:rsid w:val="002D3D6D"/>
    <w:rsid w:val="002D3E18"/>
    <w:rsid w:val="002D3F48"/>
    <w:rsid w:val="002D44FE"/>
    <w:rsid w:val="002D4593"/>
    <w:rsid w:val="002D465F"/>
    <w:rsid w:val="002D4673"/>
    <w:rsid w:val="002D487C"/>
    <w:rsid w:val="002D4966"/>
    <w:rsid w:val="002D4A5D"/>
    <w:rsid w:val="002D4A8E"/>
    <w:rsid w:val="002D4BF4"/>
    <w:rsid w:val="002D4D27"/>
    <w:rsid w:val="002D4DA0"/>
    <w:rsid w:val="002D4DE9"/>
    <w:rsid w:val="002D4F18"/>
    <w:rsid w:val="002D4FB2"/>
    <w:rsid w:val="002D50E3"/>
    <w:rsid w:val="002D5295"/>
    <w:rsid w:val="002D556E"/>
    <w:rsid w:val="002D5627"/>
    <w:rsid w:val="002D56B3"/>
    <w:rsid w:val="002D583C"/>
    <w:rsid w:val="002D591F"/>
    <w:rsid w:val="002D5930"/>
    <w:rsid w:val="002D5A1C"/>
    <w:rsid w:val="002D5CE2"/>
    <w:rsid w:val="002D5D16"/>
    <w:rsid w:val="002D5DAE"/>
    <w:rsid w:val="002D60BD"/>
    <w:rsid w:val="002D6183"/>
    <w:rsid w:val="002D6277"/>
    <w:rsid w:val="002D63F5"/>
    <w:rsid w:val="002D6403"/>
    <w:rsid w:val="002D6429"/>
    <w:rsid w:val="002D659F"/>
    <w:rsid w:val="002D6631"/>
    <w:rsid w:val="002D67FF"/>
    <w:rsid w:val="002D684A"/>
    <w:rsid w:val="002D6883"/>
    <w:rsid w:val="002D6B33"/>
    <w:rsid w:val="002D6C6B"/>
    <w:rsid w:val="002D7283"/>
    <w:rsid w:val="002D7563"/>
    <w:rsid w:val="002D75AA"/>
    <w:rsid w:val="002D75CF"/>
    <w:rsid w:val="002D768E"/>
    <w:rsid w:val="002D7839"/>
    <w:rsid w:val="002D78A9"/>
    <w:rsid w:val="002D78C9"/>
    <w:rsid w:val="002D7A17"/>
    <w:rsid w:val="002D7D89"/>
    <w:rsid w:val="002D7ED7"/>
    <w:rsid w:val="002E008C"/>
    <w:rsid w:val="002E039D"/>
    <w:rsid w:val="002E042E"/>
    <w:rsid w:val="002E0573"/>
    <w:rsid w:val="002E057B"/>
    <w:rsid w:val="002E0593"/>
    <w:rsid w:val="002E07E9"/>
    <w:rsid w:val="002E08B7"/>
    <w:rsid w:val="002E08EA"/>
    <w:rsid w:val="002E09A7"/>
    <w:rsid w:val="002E0ABF"/>
    <w:rsid w:val="002E0B82"/>
    <w:rsid w:val="002E0D6F"/>
    <w:rsid w:val="002E0DF8"/>
    <w:rsid w:val="002E0E20"/>
    <w:rsid w:val="002E0E72"/>
    <w:rsid w:val="002E11F0"/>
    <w:rsid w:val="002E1248"/>
    <w:rsid w:val="002E14A6"/>
    <w:rsid w:val="002E14ED"/>
    <w:rsid w:val="002E157F"/>
    <w:rsid w:val="002E1897"/>
    <w:rsid w:val="002E199B"/>
    <w:rsid w:val="002E1B70"/>
    <w:rsid w:val="002E1CC6"/>
    <w:rsid w:val="002E1E75"/>
    <w:rsid w:val="002E1EB0"/>
    <w:rsid w:val="002E1F2A"/>
    <w:rsid w:val="002E2135"/>
    <w:rsid w:val="002E227D"/>
    <w:rsid w:val="002E22E1"/>
    <w:rsid w:val="002E2339"/>
    <w:rsid w:val="002E2529"/>
    <w:rsid w:val="002E27F0"/>
    <w:rsid w:val="002E27F1"/>
    <w:rsid w:val="002E28B0"/>
    <w:rsid w:val="002E2BBC"/>
    <w:rsid w:val="002E2C67"/>
    <w:rsid w:val="002E2CD2"/>
    <w:rsid w:val="002E2E2C"/>
    <w:rsid w:val="002E3046"/>
    <w:rsid w:val="002E30C3"/>
    <w:rsid w:val="002E3679"/>
    <w:rsid w:val="002E372C"/>
    <w:rsid w:val="002E381F"/>
    <w:rsid w:val="002E3BAE"/>
    <w:rsid w:val="002E3DAD"/>
    <w:rsid w:val="002E42EF"/>
    <w:rsid w:val="002E4490"/>
    <w:rsid w:val="002E44AF"/>
    <w:rsid w:val="002E44D1"/>
    <w:rsid w:val="002E4535"/>
    <w:rsid w:val="002E46F0"/>
    <w:rsid w:val="002E4892"/>
    <w:rsid w:val="002E4973"/>
    <w:rsid w:val="002E4A45"/>
    <w:rsid w:val="002E4ACE"/>
    <w:rsid w:val="002E4B4C"/>
    <w:rsid w:val="002E4C88"/>
    <w:rsid w:val="002E4E6E"/>
    <w:rsid w:val="002E4F78"/>
    <w:rsid w:val="002E4F79"/>
    <w:rsid w:val="002E5167"/>
    <w:rsid w:val="002E52DB"/>
    <w:rsid w:val="002E5418"/>
    <w:rsid w:val="002E5462"/>
    <w:rsid w:val="002E5468"/>
    <w:rsid w:val="002E5654"/>
    <w:rsid w:val="002E58ED"/>
    <w:rsid w:val="002E59A2"/>
    <w:rsid w:val="002E59D5"/>
    <w:rsid w:val="002E5D0D"/>
    <w:rsid w:val="002E5DFD"/>
    <w:rsid w:val="002E5EF9"/>
    <w:rsid w:val="002E60BF"/>
    <w:rsid w:val="002E648B"/>
    <w:rsid w:val="002E6562"/>
    <w:rsid w:val="002E6663"/>
    <w:rsid w:val="002E66BF"/>
    <w:rsid w:val="002E66D8"/>
    <w:rsid w:val="002E66E7"/>
    <w:rsid w:val="002E674C"/>
    <w:rsid w:val="002E67F4"/>
    <w:rsid w:val="002E6809"/>
    <w:rsid w:val="002E6850"/>
    <w:rsid w:val="002E68B5"/>
    <w:rsid w:val="002E691C"/>
    <w:rsid w:val="002E6AD6"/>
    <w:rsid w:val="002E6D79"/>
    <w:rsid w:val="002E6DBC"/>
    <w:rsid w:val="002E6DEA"/>
    <w:rsid w:val="002E6FD2"/>
    <w:rsid w:val="002E7049"/>
    <w:rsid w:val="002E7121"/>
    <w:rsid w:val="002E71BE"/>
    <w:rsid w:val="002E71D5"/>
    <w:rsid w:val="002E7A1C"/>
    <w:rsid w:val="002E7C36"/>
    <w:rsid w:val="002E7CB4"/>
    <w:rsid w:val="002E7E86"/>
    <w:rsid w:val="002E7ECD"/>
    <w:rsid w:val="002E7ECF"/>
    <w:rsid w:val="002E7EF2"/>
    <w:rsid w:val="002E7F5F"/>
    <w:rsid w:val="002E7FB8"/>
    <w:rsid w:val="002F0031"/>
    <w:rsid w:val="002F00FF"/>
    <w:rsid w:val="002F0149"/>
    <w:rsid w:val="002F04E4"/>
    <w:rsid w:val="002F0515"/>
    <w:rsid w:val="002F05A3"/>
    <w:rsid w:val="002F05AB"/>
    <w:rsid w:val="002F0681"/>
    <w:rsid w:val="002F06B1"/>
    <w:rsid w:val="002F0885"/>
    <w:rsid w:val="002F0B59"/>
    <w:rsid w:val="002F0BF3"/>
    <w:rsid w:val="002F0C4F"/>
    <w:rsid w:val="002F0CA5"/>
    <w:rsid w:val="002F0D7D"/>
    <w:rsid w:val="002F0DB0"/>
    <w:rsid w:val="002F11D3"/>
    <w:rsid w:val="002F1369"/>
    <w:rsid w:val="002F142F"/>
    <w:rsid w:val="002F1982"/>
    <w:rsid w:val="002F1C57"/>
    <w:rsid w:val="002F201E"/>
    <w:rsid w:val="002F2071"/>
    <w:rsid w:val="002F20DC"/>
    <w:rsid w:val="002F2493"/>
    <w:rsid w:val="002F26C1"/>
    <w:rsid w:val="002F2770"/>
    <w:rsid w:val="002F2799"/>
    <w:rsid w:val="002F29CF"/>
    <w:rsid w:val="002F2AE0"/>
    <w:rsid w:val="002F2B9F"/>
    <w:rsid w:val="002F2C8B"/>
    <w:rsid w:val="002F2D95"/>
    <w:rsid w:val="002F31B3"/>
    <w:rsid w:val="002F31D1"/>
    <w:rsid w:val="002F326E"/>
    <w:rsid w:val="002F3419"/>
    <w:rsid w:val="002F3690"/>
    <w:rsid w:val="002F372D"/>
    <w:rsid w:val="002F37D7"/>
    <w:rsid w:val="002F3976"/>
    <w:rsid w:val="002F3B1C"/>
    <w:rsid w:val="002F3BA7"/>
    <w:rsid w:val="002F3CB5"/>
    <w:rsid w:val="002F3FCF"/>
    <w:rsid w:val="002F4090"/>
    <w:rsid w:val="002F40CA"/>
    <w:rsid w:val="002F4292"/>
    <w:rsid w:val="002F4480"/>
    <w:rsid w:val="002F4590"/>
    <w:rsid w:val="002F477F"/>
    <w:rsid w:val="002F4793"/>
    <w:rsid w:val="002F4BCC"/>
    <w:rsid w:val="002F5011"/>
    <w:rsid w:val="002F5137"/>
    <w:rsid w:val="002F5901"/>
    <w:rsid w:val="002F5D88"/>
    <w:rsid w:val="002F5F31"/>
    <w:rsid w:val="002F5F83"/>
    <w:rsid w:val="002F6237"/>
    <w:rsid w:val="002F6240"/>
    <w:rsid w:val="002F6282"/>
    <w:rsid w:val="002F637C"/>
    <w:rsid w:val="002F64C2"/>
    <w:rsid w:val="002F66C7"/>
    <w:rsid w:val="002F69C2"/>
    <w:rsid w:val="002F6A3F"/>
    <w:rsid w:val="002F6AEE"/>
    <w:rsid w:val="002F6BB0"/>
    <w:rsid w:val="002F6DEE"/>
    <w:rsid w:val="002F6E21"/>
    <w:rsid w:val="002F6E68"/>
    <w:rsid w:val="002F6F6B"/>
    <w:rsid w:val="002F720E"/>
    <w:rsid w:val="002F73DB"/>
    <w:rsid w:val="002F750D"/>
    <w:rsid w:val="002F76FA"/>
    <w:rsid w:val="002F778E"/>
    <w:rsid w:val="002F7852"/>
    <w:rsid w:val="002F78D2"/>
    <w:rsid w:val="002F78E9"/>
    <w:rsid w:val="002F7931"/>
    <w:rsid w:val="002F7A0C"/>
    <w:rsid w:val="002F7C47"/>
    <w:rsid w:val="002F7D39"/>
    <w:rsid w:val="002F7DBB"/>
    <w:rsid w:val="002F7EAE"/>
    <w:rsid w:val="002F7F55"/>
    <w:rsid w:val="003001F2"/>
    <w:rsid w:val="0030024C"/>
    <w:rsid w:val="003003B9"/>
    <w:rsid w:val="003007DB"/>
    <w:rsid w:val="003007E2"/>
    <w:rsid w:val="00300871"/>
    <w:rsid w:val="00300A0A"/>
    <w:rsid w:val="00300A8B"/>
    <w:rsid w:val="00300B5C"/>
    <w:rsid w:val="00300BA5"/>
    <w:rsid w:val="00300DD5"/>
    <w:rsid w:val="0030101C"/>
    <w:rsid w:val="003011F5"/>
    <w:rsid w:val="00301391"/>
    <w:rsid w:val="0030139C"/>
    <w:rsid w:val="003013F8"/>
    <w:rsid w:val="00301450"/>
    <w:rsid w:val="00301666"/>
    <w:rsid w:val="003017B3"/>
    <w:rsid w:val="00301878"/>
    <w:rsid w:val="0030196A"/>
    <w:rsid w:val="00301A9F"/>
    <w:rsid w:val="00301DD8"/>
    <w:rsid w:val="0030201B"/>
    <w:rsid w:val="00302051"/>
    <w:rsid w:val="00302223"/>
    <w:rsid w:val="0030227C"/>
    <w:rsid w:val="003024EA"/>
    <w:rsid w:val="0030255C"/>
    <w:rsid w:val="00302ABF"/>
    <w:rsid w:val="00302B0B"/>
    <w:rsid w:val="00302BA9"/>
    <w:rsid w:val="00302D98"/>
    <w:rsid w:val="003033F2"/>
    <w:rsid w:val="0030367D"/>
    <w:rsid w:val="00303689"/>
    <w:rsid w:val="00303694"/>
    <w:rsid w:val="003036FB"/>
    <w:rsid w:val="00303883"/>
    <w:rsid w:val="00303AB5"/>
    <w:rsid w:val="00303BB7"/>
    <w:rsid w:val="00303EF9"/>
    <w:rsid w:val="00304174"/>
    <w:rsid w:val="00304342"/>
    <w:rsid w:val="003043D5"/>
    <w:rsid w:val="003045B6"/>
    <w:rsid w:val="003045C1"/>
    <w:rsid w:val="00304708"/>
    <w:rsid w:val="003047A4"/>
    <w:rsid w:val="00304B5C"/>
    <w:rsid w:val="00305019"/>
    <w:rsid w:val="003050D7"/>
    <w:rsid w:val="003050FB"/>
    <w:rsid w:val="00305439"/>
    <w:rsid w:val="00305454"/>
    <w:rsid w:val="003054DC"/>
    <w:rsid w:val="003055BF"/>
    <w:rsid w:val="00305987"/>
    <w:rsid w:val="00305A54"/>
    <w:rsid w:val="00305C21"/>
    <w:rsid w:val="00305CAF"/>
    <w:rsid w:val="0030635E"/>
    <w:rsid w:val="00306424"/>
    <w:rsid w:val="003064C8"/>
    <w:rsid w:val="003065BE"/>
    <w:rsid w:val="00306D5B"/>
    <w:rsid w:val="00306D64"/>
    <w:rsid w:val="00306E30"/>
    <w:rsid w:val="00306E56"/>
    <w:rsid w:val="003070E8"/>
    <w:rsid w:val="003071C8"/>
    <w:rsid w:val="00307351"/>
    <w:rsid w:val="0030761C"/>
    <w:rsid w:val="0030764F"/>
    <w:rsid w:val="00307712"/>
    <w:rsid w:val="0030786D"/>
    <w:rsid w:val="00307898"/>
    <w:rsid w:val="003078EB"/>
    <w:rsid w:val="003079CC"/>
    <w:rsid w:val="00307A03"/>
    <w:rsid w:val="00307A26"/>
    <w:rsid w:val="00307A70"/>
    <w:rsid w:val="00307C0F"/>
    <w:rsid w:val="00307C2C"/>
    <w:rsid w:val="00307E2F"/>
    <w:rsid w:val="00307EE1"/>
    <w:rsid w:val="00310038"/>
    <w:rsid w:val="003101DD"/>
    <w:rsid w:val="003104B5"/>
    <w:rsid w:val="003105DE"/>
    <w:rsid w:val="003106A6"/>
    <w:rsid w:val="003109DE"/>
    <w:rsid w:val="00310A32"/>
    <w:rsid w:val="00310A9E"/>
    <w:rsid w:val="00310BC8"/>
    <w:rsid w:val="00310DB8"/>
    <w:rsid w:val="00310E11"/>
    <w:rsid w:val="00311311"/>
    <w:rsid w:val="003113CB"/>
    <w:rsid w:val="003114F5"/>
    <w:rsid w:val="00311771"/>
    <w:rsid w:val="003117C3"/>
    <w:rsid w:val="003117F5"/>
    <w:rsid w:val="003119A4"/>
    <w:rsid w:val="003119C6"/>
    <w:rsid w:val="00311EBD"/>
    <w:rsid w:val="00312033"/>
    <w:rsid w:val="0031215F"/>
    <w:rsid w:val="003121E5"/>
    <w:rsid w:val="003124B5"/>
    <w:rsid w:val="0031255F"/>
    <w:rsid w:val="003125FC"/>
    <w:rsid w:val="00312AED"/>
    <w:rsid w:val="00312D5B"/>
    <w:rsid w:val="00312E58"/>
    <w:rsid w:val="00312E5D"/>
    <w:rsid w:val="00312E9D"/>
    <w:rsid w:val="00312EC5"/>
    <w:rsid w:val="00313166"/>
    <w:rsid w:val="003135CC"/>
    <w:rsid w:val="003135DC"/>
    <w:rsid w:val="003138C7"/>
    <w:rsid w:val="00313A76"/>
    <w:rsid w:val="00313AFA"/>
    <w:rsid w:val="00313C4C"/>
    <w:rsid w:val="00313F36"/>
    <w:rsid w:val="00313F56"/>
    <w:rsid w:val="00313F78"/>
    <w:rsid w:val="00314307"/>
    <w:rsid w:val="00314514"/>
    <w:rsid w:val="003146D8"/>
    <w:rsid w:val="00314A4E"/>
    <w:rsid w:val="00314AF8"/>
    <w:rsid w:val="00314B3A"/>
    <w:rsid w:val="00314D9E"/>
    <w:rsid w:val="00314FE1"/>
    <w:rsid w:val="003152CD"/>
    <w:rsid w:val="00315567"/>
    <w:rsid w:val="00315594"/>
    <w:rsid w:val="00315734"/>
    <w:rsid w:val="00315783"/>
    <w:rsid w:val="00315831"/>
    <w:rsid w:val="003158AE"/>
    <w:rsid w:val="0031590C"/>
    <w:rsid w:val="00315A3D"/>
    <w:rsid w:val="00315A92"/>
    <w:rsid w:val="00315C4A"/>
    <w:rsid w:val="00315F26"/>
    <w:rsid w:val="00315FD9"/>
    <w:rsid w:val="003162D0"/>
    <w:rsid w:val="003162F2"/>
    <w:rsid w:val="00316327"/>
    <w:rsid w:val="003166C3"/>
    <w:rsid w:val="00316966"/>
    <w:rsid w:val="00316CD9"/>
    <w:rsid w:val="00316E4B"/>
    <w:rsid w:val="00316E8E"/>
    <w:rsid w:val="00316EF9"/>
    <w:rsid w:val="0031707D"/>
    <w:rsid w:val="003170ED"/>
    <w:rsid w:val="00317186"/>
    <w:rsid w:val="003171F8"/>
    <w:rsid w:val="0031735C"/>
    <w:rsid w:val="0031753D"/>
    <w:rsid w:val="0031755B"/>
    <w:rsid w:val="00317603"/>
    <w:rsid w:val="003178EC"/>
    <w:rsid w:val="00317AE6"/>
    <w:rsid w:val="0032017D"/>
    <w:rsid w:val="0032025D"/>
    <w:rsid w:val="003203D3"/>
    <w:rsid w:val="0032040E"/>
    <w:rsid w:val="0032048F"/>
    <w:rsid w:val="0032049F"/>
    <w:rsid w:val="003204D4"/>
    <w:rsid w:val="00320538"/>
    <w:rsid w:val="003205AD"/>
    <w:rsid w:val="003208C2"/>
    <w:rsid w:val="00320C00"/>
    <w:rsid w:val="00320C2E"/>
    <w:rsid w:val="00320CE2"/>
    <w:rsid w:val="00320D43"/>
    <w:rsid w:val="00320D5A"/>
    <w:rsid w:val="00320DD9"/>
    <w:rsid w:val="00320DE6"/>
    <w:rsid w:val="00320F16"/>
    <w:rsid w:val="00321158"/>
    <w:rsid w:val="00321235"/>
    <w:rsid w:val="00321484"/>
    <w:rsid w:val="00321487"/>
    <w:rsid w:val="00321A0D"/>
    <w:rsid w:val="00321BA1"/>
    <w:rsid w:val="00321BCE"/>
    <w:rsid w:val="00321C29"/>
    <w:rsid w:val="00321EA1"/>
    <w:rsid w:val="00322136"/>
    <w:rsid w:val="003222C6"/>
    <w:rsid w:val="00322472"/>
    <w:rsid w:val="00322587"/>
    <w:rsid w:val="003225E6"/>
    <w:rsid w:val="0032279B"/>
    <w:rsid w:val="0032285F"/>
    <w:rsid w:val="003228E8"/>
    <w:rsid w:val="00322901"/>
    <w:rsid w:val="0032296D"/>
    <w:rsid w:val="0032299B"/>
    <w:rsid w:val="00322CB4"/>
    <w:rsid w:val="00322D22"/>
    <w:rsid w:val="00322F1C"/>
    <w:rsid w:val="00322F8B"/>
    <w:rsid w:val="00323405"/>
    <w:rsid w:val="00323409"/>
    <w:rsid w:val="003236F0"/>
    <w:rsid w:val="003238A6"/>
    <w:rsid w:val="003238A7"/>
    <w:rsid w:val="003238BD"/>
    <w:rsid w:val="00323A35"/>
    <w:rsid w:val="00323A4F"/>
    <w:rsid w:val="00323BF1"/>
    <w:rsid w:val="00323DCB"/>
    <w:rsid w:val="00323E02"/>
    <w:rsid w:val="00323F76"/>
    <w:rsid w:val="00323FA0"/>
    <w:rsid w:val="0032418D"/>
    <w:rsid w:val="003241F8"/>
    <w:rsid w:val="00324203"/>
    <w:rsid w:val="00324458"/>
    <w:rsid w:val="00324564"/>
    <w:rsid w:val="003247D2"/>
    <w:rsid w:val="00324813"/>
    <w:rsid w:val="00324B08"/>
    <w:rsid w:val="00324B7C"/>
    <w:rsid w:val="00324E8D"/>
    <w:rsid w:val="00324EC7"/>
    <w:rsid w:val="00325046"/>
    <w:rsid w:val="003250DA"/>
    <w:rsid w:val="003254AD"/>
    <w:rsid w:val="0032559D"/>
    <w:rsid w:val="003256A3"/>
    <w:rsid w:val="00325A72"/>
    <w:rsid w:val="00325CE0"/>
    <w:rsid w:val="00325D97"/>
    <w:rsid w:val="00326194"/>
    <w:rsid w:val="00326387"/>
    <w:rsid w:val="0032641A"/>
    <w:rsid w:val="00326768"/>
    <w:rsid w:val="00326997"/>
    <w:rsid w:val="00326A77"/>
    <w:rsid w:val="00326D7F"/>
    <w:rsid w:val="00326E39"/>
    <w:rsid w:val="0032725A"/>
    <w:rsid w:val="003273D5"/>
    <w:rsid w:val="003273F1"/>
    <w:rsid w:val="00327453"/>
    <w:rsid w:val="00327642"/>
    <w:rsid w:val="003278AC"/>
    <w:rsid w:val="003279C0"/>
    <w:rsid w:val="00327BC8"/>
    <w:rsid w:val="00327EA7"/>
    <w:rsid w:val="00327F0F"/>
    <w:rsid w:val="00327F17"/>
    <w:rsid w:val="0033006D"/>
    <w:rsid w:val="003300B8"/>
    <w:rsid w:val="00330336"/>
    <w:rsid w:val="003304A3"/>
    <w:rsid w:val="00330538"/>
    <w:rsid w:val="0033061D"/>
    <w:rsid w:val="003307A8"/>
    <w:rsid w:val="003307E8"/>
    <w:rsid w:val="00330978"/>
    <w:rsid w:val="003309F4"/>
    <w:rsid w:val="00330BBC"/>
    <w:rsid w:val="00330C07"/>
    <w:rsid w:val="00330F44"/>
    <w:rsid w:val="00330FD7"/>
    <w:rsid w:val="00331107"/>
    <w:rsid w:val="003311F8"/>
    <w:rsid w:val="00331236"/>
    <w:rsid w:val="0033149F"/>
    <w:rsid w:val="00331503"/>
    <w:rsid w:val="0033177C"/>
    <w:rsid w:val="0033183D"/>
    <w:rsid w:val="003318BE"/>
    <w:rsid w:val="00331935"/>
    <w:rsid w:val="00331A0B"/>
    <w:rsid w:val="00331BEC"/>
    <w:rsid w:val="00331D53"/>
    <w:rsid w:val="00332196"/>
    <w:rsid w:val="0033250F"/>
    <w:rsid w:val="0033271F"/>
    <w:rsid w:val="003328DB"/>
    <w:rsid w:val="00332974"/>
    <w:rsid w:val="00332991"/>
    <w:rsid w:val="00332A1F"/>
    <w:rsid w:val="00332B0D"/>
    <w:rsid w:val="00332C6C"/>
    <w:rsid w:val="00332CBD"/>
    <w:rsid w:val="00332DBF"/>
    <w:rsid w:val="00332E7E"/>
    <w:rsid w:val="00332EAC"/>
    <w:rsid w:val="00332F37"/>
    <w:rsid w:val="0033324D"/>
    <w:rsid w:val="00333379"/>
    <w:rsid w:val="003335FB"/>
    <w:rsid w:val="00333702"/>
    <w:rsid w:val="00333AA3"/>
    <w:rsid w:val="00333B8F"/>
    <w:rsid w:val="00333E7F"/>
    <w:rsid w:val="00333EEA"/>
    <w:rsid w:val="00334030"/>
    <w:rsid w:val="003341AD"/>
    <w:rsid w:val="003343DA"/>
    <w:rsid w:val="003346DA"/>
    <w:rsid w:val="00334CF3"/>
    <w:rsid w:val="00334DF6"/>
    <w:rsid w:val="00335029"/>
    <w:rsid w:val="003350FB"/>
    <w:rsid w:val="0033515D"/>
    <w:rsid w:val="003352E2"/>
    <w:rsid w:val="0033541A"/>
    <w:rsid w:val="00335784"/>
    <w:rsid w:val="003357D0"/>
    <w:rsid w:val="00335807"/>
    <w:rsid w:val="00335883"/>
    <w:rsid w:val="00335885"/>
    <w:rsid w:val="0033595E"/>
    <w:rsid w:val="00335A9B"/>
    <w:rsid w:val="00335D3F"/>
    <w:rsid w:val="00335EB1"/>
    <w:rsid w:val="00335FF2"/>
    <w:rsid w:val="003366AA"/>
    <w:rsid w:val="00336733"/>
    <w:rsid w:val="003367AC"/>
    <w:rsid w:val="003367CF"/>
    <w:rsid w:val="00336856"/>
    <w:rsid w:val="00336880"/>
    <w:rsid w:val="003369BF"/>
    <w:rsid w:val="003369E5"/>
    <w:rsid w:val="00336A72"/>
    <w:rsid w:val="00336B62"/>
    <w:rsid w:val="00336EEE"/>
    <w:rsid w:val="00336FD6"/>
    <w:rsid w:val="00337192"/>
    <w:rsid w:val="0033740B"/>
    <w:rsid w:val="0033754F"/>
    <w:rsid w:val="00337587"/>
    <w:rsid w:val="003375A6"/>
    <w:rsid w:val="00337742"/>
    <w:rsid w:val="00337A4E"/>
    <w:rsid w:val="00337B3C"/>
    <w:rsid w:val="00337CEF"/>
    <w:rsid w:val="00337E28"/>
    <w:rsid w:val="00337EE0"/>
    <w:rsid w:val="00337FAA"/>
    <w:rsid w:val="00337FE9"/>
    <w:rsid w:val="00337FEE"/>
    <w:rsid w:val="0034010A"/>
    <w:rsid w:val="00340553"/>
    <w:rsid w:val="003405B2"/>
    <w:rsid w:val="003405F0"/>
    <w:rsid w:val="0034089E"/>
    <w:rsid w:val="0034095B"/>
    <w:rsid w:val="00340A82"/>
    <w:rsid w:val="00340B6A"/>
    <w:rsid w:val="00340D93"/>
    <w:rsid w:val="00340F4B"/>
    <w:rsid w:val="00341087"/>
    <w:rsid w:val="003413C8"/>
    <w:rsid w:val="00341715"/>
    <w:rsid w:val="00341848"/>
    <w:rsid w:val="00341873"/>
    <w:rsid w:val="00341889"/>
    <w:rsid w:val="00341C0C"/>
    <w:rsid w:val="00341C2F"/>
    <w:rsid w:val="00341C41"/>
    <w:rsid w:val="00341D9F"/>
    <w:rsid w:val="00342042"/>
    <w:rsid w:val="003421AA"/>
    <w:rsid w:val="003422E9"/>
    <w:rsid w:val="0034243B"/>
    <w:rsid w:val="003424C5"/>
    <w:rsid w:val="0034264A"/>
    <w:rsid w:val="00342779"/>
    <w:rsid w:val="00342845"/>
    <w:rsid w:val="00342ABA"/>
    <w:rsid w:val="00342C26"/>
    <w:rsid w:val="00342F88"/>
    <w:rsid w:val="00343166"/>
    <w:rsid w:val="00343621"/>
    <w:rsid w:val="0034363E"/>
    <w:rsid w:val="00343641"/>
    <w:rsid w:val="0034365E"/>
    <w:rsid w:val="00343863"/>
    <w:rsid w:val="0034401D"/>
    <w:rsid w:val="0034409F"/>
    <w:rsid w:val="00344670"/>
    <w:rsid w:val="003448C0"/>
    <w:rsid w:val="003448DC"/>
    <w:rsid w:val="0034493C"/>
    <w:rsid w:val="00344AA6"/>
    <w:rsid w:val="00344CA7"/>
    <w:rsid w:val="00344E9A"/>
    <w:rsid w:val="003450E9"/>
    <w:rsid w:val="0034520A"/>
    <w:rsid w:val="003453F2"/>
    <w:rsid w:val="00345577"/>
    <w:rsid w:val="00345579"/>
    <w:rsid w:val="003455AC"/>
    <w:rsid w:val="00345604"/>
    <w:rsid w:val="00345A39"/>
    <w:rsid w:val="00345DAD"/>
    <w:rsid w:val="00345F99"/>
    <w:rsid w:val="00345FC4"/>
    <w:rsid w:val="00346013"/>
    <w:rsid w:val="00346143"/>
    <w:rsid w:val="00346172"/>
    <w:rsid w:val="0034617B"/>
    <w:rsid w:val="003462D8"/>
    <w:rsid w:val="00346635"/>
    <w:rsid w:val="00346681"/>
    <w:rsid w:val="003467DF"/>
    <w:rsid w:val="0034681F"/>
    <w:rsid w:val="00346AF3"/>
    <w:rsid w:val="00346C69"/>
    <w:rsid w:val="00347014"/>
    <w:rsid w:val="00347379"/>
    <w:rsid w:val="00347653"/>
    <w:rsid w:val="00347761"/>
    <w:rsid w:val="00347991"/>
    <w:rsid w:val="0034799E"/>
    <w:rsid w:val="00347A30"/>
    <w:rsid w:val="003502FA"/>
    <w:rsid w:val="00350577"/>
    <w:rsid w:val="00350695"/>
    <w:rsid w:val="003507F4"/>
    <w:rsid w:val="00350806"/>
    <w:rsid w:val="00350932"/>
    <w:rsid w:val="003509A2"/>
    <w:rsid w:val="003509A5"/>
    <w:rsid w:val="00350AE8"/>
    <w:rsid w:val="00350E0A"/>
    <w:rsid w:val="00350E40"/>
    <w:rsid w:val="0035111B"/>
    <w:rsid w:val="00351201"/>
    <w:rsid w:val="0035127D"/>
    <w:rsid w:val="00351301"/>
    <w:rsid w:val="0035139B"/>
    <w:rsid w:val="00351444"/>
    <w:rsid w:val="00351499"/>
    <w:rsid w:val="003514C3"/>
    <w:rsid w:val="00351511"/>
    <w:rsid w:val="0035160C"/>
    <w:rsid w:val="003516B0"/>
    <w:rsid w:val="003518CE"/>
    <w:rsid w:val="00351922"/>
    <w:rsid w:val="00351B00"/>
    <w:rsid w:val="00351CE9"/>
    <w:rsid w:val="00351FD3"/>
    <w:rsid w:val="0035217D"/>
    <w:rsid w:val="00352188"/>
    <w:rsid w:val="0035229E"/>
    <w:rsid w:val="0035242F"/>
    <w:rsid w:val="0035254D"/>
    <w:rsid w:val="00352640"/>
    <w:rsid w:val="003527D7"/>
    <w:rsid w:val="003529F4"/>
    <w:rsid w:val="00352A44"/>
    <w:rsid w:val="00352C35"/>
    <w:rsid w:val="00352C80"/>
    <w:rsid w:val="00352E58"/>
    <w:rsid w:val="003530C2"/>
    <w:rsid w:val="00353205"/>
    <w:rsid w:val="00353392"/>
    <w:rsid w:val="00353404"/>
    <w:rsid w:val="0035349B"/>
    <w:rsid w:val="00353565"/>
    <w:rsid w:val="00353660"/>
    <w:rsid w:val="00353859"/>
    <w:rsid w:val="00353951"/>
    <w:rsid w:val="00353AFA"/>
    <w:rsid w:val="00353DA5"/>
    <w:rsid w:val="00353E48"/>
    <w:rsid w:val="00353ECE"/>
    <w:rsid w:val="003540CB"/>
    <w:rsid w:val="00354165"/>
    <w:rsid w:val="00354184"/>
    <w:rsid w:val="00354350"/>
    <w:rsid w:val="0035439E"/>
    <w:rsid w:val="00354477"/>
    <w:rsid w:val="003544D3"/>
    <w:rsid w:val="00354775"/>
    <w:rsid w:val="00354818"/>
    <w:rsid w:val="00354A89"/>
    <w:rsid w:val="00354ABE"/>
    <w:rsid w:val="00354F01"/>
    <w:rsid w:val="00354FB7"/>
    <w:rsid w:val="003550CF"/>
    <w:rsid w:val="0035555E"/>
    <w:rsid w:val="0035566B"/>
    <w:rsid w:val="003556AD"/>
    <w:rsid w:val="00355872"/>
    <w:rsid w:val="00355BFE"/>
    <w:rsid w:val="00355D0B"/>
    <w:rsid w:val="00355E7E"/>
    <w:rsid w:val="0035614A"/>
    <w:rsid w:val="003561C8"/>
    <w:rsid w:val="0035620E"/>
    <w:rsid w:val="003563BD"/>
    <w:rsid w:val="0035647F"/>
    <w:rsid w:val="00356588"/>
    <w:rsid w:val="0035671A"/>
    <w:rsid w:val="003567DE"/>
    <w:rsid w:val="00356831"/>
    <w:rsid w:val="00356856"/>
    <w:rsid w:val="003568BA"/>
    <w:rsid w:val="003568CF"/>
    <w:rsid w:val="00356B68"/>
    <w:rsid w:val="00356C5E"/>
    <w:rsid w:val="00356E90"/>
    <w:rsid w:val="00356FBF"/>
    <w:rsid w:val="00357078"/>
    <w:rsid w:val="003573D7"/>
    <w:rsid w:val="00357486"/>
    <w:rsid w:val="0035750F"/>
    <w:rsid w:val="0035789E"/>
    <w:rsid w:val="0035795F"/>
    <w:rsid w:val="00357CD8"/>
    <w:rsid w:val="00357D1C"/>
    <w:rsid w:val="00357D85"/>
    <w:rsid w:val="00357FBD"/>
    <w:rsid w:val="003602F2"/>
    <w:rsid w:val="003605B9"/>
    <w:rsid w:val="00360822"/>
    <w:rsid w:val="003609F1"/>
    <w:rsid w:val="00360ABB"/>
    <w:rsid w:val="00360C34"/>
    <w:rsid w:val="00360E21"/>
    <w:rsid w:val="00360FE1"/>
    <w:rsid w:val="00361014"/>
    <w:rsid w:val="00361366"/>
    <w:rsid w:val="0036148B"/>
    <w:rsid w:val="003614EB"/>
    <w:rsid w:val="003615F1"/>
    <w:rsid w:val="00361672"/>
    <w:rsid w:val="00361798"/>
    <w:rsid w:val="00361853"/>
    <w:rsid w:val="003618BA"/>
    <w:rsid w:val="003618C0"/>
    <w:rsid w:val="00361952"/>
    <w:rsid w:val="00361A31"/>
    <w:rsid w:val="00361A4F"/>
    <w:rsid w:val="00361B28"/>
    <w:rsid w:val="00361C93"/>
    <w:rsid w:val="0036202D"/>
    <w:rsid w:val="00362194"/>
    <w:rsid w:val="003621A0"/>
    <w:rsid w:val="0036237B"/>
    <w:rsid w:val="003623BA"/>
    <w:rsid w:val="003624BB"/>
    <w:rsid w:val="003624BD"/>
    <w:rsid w:val="003625E3"/>
    <w:rsid w:val="00362A47"/>
    <w:rsid w:val="00362A65"/>
    <w:rsid w:val="00362B7F"/>
    <w:rsid w:val="003631D2"/>
    <w:rsid w:val="0036333C"/>
    <w:rsid w:val="003633C6"/>
    <w:rsid w:val="00363458"/>
    <w:rsid w:val="003636FD"/>
    <w:rsid w:val="00363727"/>
    <w:rsid w:val="003639F6"/>
    <w:rsid w:val="00363AE3"/>
    <w:rsid w:val="00363AEF"/>
    <w:rsid w:val="00363CF7"/>
    <w:rsid w:val="00363EF4"/>
    <w:rsid w:val="00363FC8"/>
    <w:rsid w:val="00364679"/>
    <w:rsid w:val="0036468E"/>
    <w:rsid w:val="003646AE"/>
    <w:rsid w:val="00364857"/>
    <w:rsid w:val="00364C19"/>
    <w:rsid w:val="00364E23"/>
    <w:rsid w:val="00364E33"/>
    <w:rsid w:val="00364ED0"/>
    <w:rsid w:val="00364FB5"/>
    <w:rsid w:val="00365109"/>
    <w:rsid w:val="003654D4"/>
    <w:rsid w:val="00365802"/>
    <w:rsid w:val="0036586F"/>
    <w:rsid w:val="003659CD"/>
    <w:rsid w:val="00365D68"/>
    <w:rsid w:val="00365DC2"/>
    <w:rsid w:val="0036608A"/>
    <w:rsid w:val="0036608D"/>
    <w:rsid w:val="0036619B"/>
    <w:rsid w:val="00366227"/>
    <w:rsid w:val="0036628D"/>
    <w:rsid w:val="00366293"/>
    <w:rsid w:val="00366583"/>
    <w:rsid w:val="003665B2"/>
    <w:rsid w:val="003667A9"/>
    <w:rsid w:val="0036692C"/>
    <w:rsid w:val="0036696A"/>
    <w:rsid w:val="0036699F"/>
    <w:rsid w:val="00366A1C"/>
    <w:rsid w:val="00366A46"/>
    <w:rsid w:val="00366A94"/>
    <w:rsid w:val="00366E0F"/>
    <w:rsid w:val="00366FD9"/>
    <w:rsid w:val="003670C1"/>
    <w:rsid w:val="00367333"/>
    <w:rsid w:val="00367441"/>
    <w:rsid w:val="00367447"/>
    <w:rsid w:val="0036767F"/>
    <w:rsid w:val="003677C1"/>
    <w:rsid w:val="00367869"/>
    <w:rsid w:val="003678FE"/>
    <w:rsid w:val="00367C0D"/>
    <w:rsid w:val="00367D14"/>
    <w:rsid w:val="0037008D"/>
    <w:rsid w:val="0037012A"/>
    <w:rsid w:val="003701C0"/>
    <w:rsid w:val="0037037F"/>
    <w:rsid w:val="00370513"/>
    <w:rsid w:val="0037059D"/>
    <w:rsid w:val="003706D5"/>
    <w:rsid w:val="003707F3"/>
    <w:rsid w:val="0037098B"/>
    <w:rsid w:val="00370AC9"/>
    <w:rsid w:val="00370DC3"/>
    <w:rsid w:val="00370E1C"/>
    <w:rsid w:val="00370ED8"/>
    <w:rsid w:val="00370FB9"/>
    <w:rsid w:val="00371016"/>
    <w:rsid w:val="0037105A"/>
    <w:rsid w:val="003710BD"/>
    <w:rsid w:val="00371272"/>
    <w:rsid w:val="00371C3D"/>
    <w:rsid w:val="00371E8A"/>
    <w:rsid w:val="00371F1F"/>
    <w:rsid w:val="00371F5E"/>
    <w:rsid w:val="00371F69"/>
    <w:rsid w:val="0037204A"/>
    <w:rsid w:val="003728F3"/>
    <w:rsid w:val="003729BE"/>
    <w:rsid w:val="00372A9E"/>
    <w:rsid w:val="00372B30"/>
    <w:rsid w:val="00372B60"/>
    <w:rsid w:val="00372BA7"/>
    <w:rsid w:val="00372C72"/>
    <w:rsid w:val="00372FDC"/>
    <w:rsid w:val="00373189"/>
    <w:rsid w:val="003731B4"/>
    <w:rsid w:val="0037327E"/>
    <w:rsid w:val="0037353C"/>
    <w:rsid w:val="00373646"/>
    <w:rsid w:val="00373751"/>
    <w:rsid w:val="00373A36"/>
    <w:rsid w:val="00373AE9"/>
    <w:rsid w:val="00373AFD"/>
    <w:rsid w:val="00373DB4"/>
    <w:rsid w:val="00373DBE"/>
    <w:rsid w:val="00373F4C"/>
    <w:rsid w:val="0037420C"/>
    <w:rsid w:val="00374348"/>
    <w:rsid w:val="00374463"/>
    <w:rsid w:val="00374539"/>
    <w:rsid w:val="0037453F"/>
    <w:rsid w:val="00374699"/>
    <w:rsid w:val="003746F8"/>
    <w:rsid w:val="00374766"/>
    <w:rsid w:val="003747F4"/>
    <w:rsid w:val="0037482F"/>
    <w:rsid w:val="003748A8"/>
    <w:rsid w:val="003749AD"/>
    <w:rsid w:val="00374A65"/>
    <w:rsid w:val="00374A88"/>
    <w:rsid w:val="00374ABB"/>
    <w:rsid w:val="00374B30"/>
    <w:rsid w:val="00374BDE"/>
    <w:rsid w:val="00374C16"/>
    <w:rsid w:val="00374CA2"/>
    <w:rsid w:val="00374D71"/>
    <w:rsid w:val="00374EF6"/>
    <w:rsid w:val="00374F9C"/>
    <w:rsid w:val="003750D4"/>
    <w:rsid w:val="00375167"/>
    <w:rsid w:val="00375353"/>
    <w:rsid w:val="003753C5"/>
    <w:rsid w:val="003753DC"/>
    <w:rsid w:val="00375568"/>
    <w:rsid w:val="003756CB"/>
    <w:rsid w:val="0037592F"/>
    <w:rsid w:val="0037599C"/>
    <w:rsid w:val="00375A43"/>
    <w:rsid w:val="00375A91"/>
    <w:rsid w:val="00375AA2"/>
    <w:rsid w:val="00375C53"/>
    <w:rsid w:val="00375CBE"/>
    <w:rsid w:val="00375E2B"/>
    <w:rsid w:val="00375E2E"/>
    <w:rsid w:val="00375F34"/>
    <w:rsid w:val="00376625"/>
    <w:rsid w:val="003768E0"/>
    <w:rsid w:val="00376A08"/>
    <w:rsid w:val="00376A9E"/>
    <w:rsid w:val="00376AAB"/>
    <w:rsid w:val="00376B90"/>
    <w:rsid w:val="00376C47"/>
    <w:rsid w:val="00376CFD"/>
    <w:rsid w:val="00376DE4"/>
    <w:rsid w:val="00376E47"/>
    <w:rsid w:val="00376F1E"/>
    <w:rsid w:val="00376F66"/>
    <w:rsid w:val="00376FB4"/>
    <w:rsid w:val="0037705D"/>
    <w:rsid w:val="003770FD"/>
    <w:rsid w:val="00377138"/>
    <w:rsid w:val="00377248"/>
    <w:rsid w:val="003775DE"/>
    <w:rsid w:val="00377612"/>
    <w:rsid w:val="003776C1"/>
    <w:rsid w:val="00377711"/>
    <w:rsid w:val="003779EB"/>
    <w:rsid w:val="00377C01"/>
    <w:rsid w:val="00377C24"/>
    <w:rsid w:val="00377DE7"/>
    <w:rsid w:val="00377FD8"/>
    <w:rsid w:val="003800F5"/>
    <w:rsid w:val="00380197"/>
    <w:rsid w:val="003801BC"/>
    <w:rsid w:val="003802F3"/>
    <w:rsid w:val="0038039A"/>
    <w:rsid w:val="00380681"/>
    <w:rsid w:val="003806C9"/>
    <w:rsid w:val="00380940"/>
    <w:rsid w:val="00380A1F"/>
    <w:rsid w:val="00380A8F"/>
    <w:rsid w:val="00380ABA"/>
    <w:rsid w:val="00380C04"/>
    <w:rsid w:val="00380C6E"/>
    <w:rsid w:val="00380DBE"/>
    <w:rsid w:val="00380E95"/>
    <w:rsid w:val="00380F05"/>
    <w:rsid w:val="00381109"/>
    <w:rsid w:val="00381220"/>
    <w:rsid w:val="00381251"/>
    <w:rsid w:val="0038127B"/>
    <w:rsid w:val="0038180C"/>
    <w:rsid w:val="00381AC3"/>
    <w:rsid w:val="00381DBC"/>
    <w:rsid w:val="00381E07"/>
    <w:rsid w:val="00381F75"/>
    <w:rsid w:val="00381FFA"/>
    <w:rsid w:val="003820FA"/>
    <w:rsid w:val="00382378"/>
    <w:rsid w:val="003824D5"/>
    <w:rsid w:val="00382598"/>
    <w:rsid w:val="003825CB"/>
    <w:rsid w:val="003828BF"/>
    <w:rsid w:val="00382AE6"/>
    <w:rsid w:val="00382E26"/>
    <w:rsid w:val="00382F8A"/>
    <w:rsid w:val="003830A9"/>
    <w:rsid w:val="00383612"/>
    <w:rsid w:val="0038365B"/>
    <w:rsid w:val="003836A8"/>
    <w:rsid w:val="003838F8"/>
    <w:rsid w:val="00383ADB"/>
    <w:rsid w:val="00383CB7"/>
    <w:rsid w:val="00383CBE"/>
    <w:rsid w:val="00383DA8"/>
    <w:rsid w:val="00383FCA"/>
    <w:rsid w:val="00383FF4"/>
    <w:rsid w:val="0038413D"/>
    <w:rsid w:val="00384241"/>
    <w:rsid w:val="00384309"/>
    <w:rsid w:val="00384374"/>
    <w:rsid w:val="00384521"/>
    <w:rsid w:val="00384587"/>
    <w:rsid w:val="0038464B"/>
    <w:rsid w:val="00384A0B"/>
    <w:rsid w:val="00384A75"/>
    <w:rsid w:val="00384C87"/>
    <w:rsid w:val="00384FAC"/>
    <w:rsid w:val="00385152"/>
    <w:rsid w:val="00385358"/>
    <w:rsid w:val="003853DB"/>
    <w:rsid w:val="00385436"/>
    <w:rsid w:val="00385CE1"/>
    <w:rsid w:val="00385D5A"/>
    <w:rsid w:val="00385D83"/>
    <w:rsid w:val="00385E70"/>
    <w:rsid w:val="00385F4D"/>
    <w:rsid w:val="00385FC0"/>
    <w:rsid w:val="00386080"/>
    <w:rsid w:val="003860F2"/>
    <w:rsid w:val="003861E2"/>
    <w:rsid w:val="00386310"/>
    <w:rsid w:val="003863DB"/>
    <w:rsid w:val="003866EA"/>
    <w:rsid w:val="00386882"/>
    <w:rsid w:val="00386D81"/>
    <w:rsid w:val="00386FC9"/>
    <w:rsid w:val="0038714B"/>
    <w:rsid w:val="00387257"/>
    <w:rsid w:val="00387265"/>
    <w:rsid w:val="00387632"/>
    <w:rsid w:val="003877B5"/>
    <w:rsid w:val="00387AFD"/>
    <w:rsid w:val="00387BB6"/>
    <w:rsid w:val="00387D25"/>
    <w:rsid w:val="00387D6A"/>
    <w:rsid w:val="00387DAE"/>
    <w:rsid w:val="00387E9D"/>
    <w:rsid w:val="00387EFA"/>
    <w:rsid w:val="00390021"/>
    <w:rsid w:val="0039006F"/>
    <w:rsid w:val="0039014E"/>
    <w:rsid w:val="003903E2"/>
    <w:rsid w:val="0039040A"/>
    <w:rsid w:val="0039041C"/>
    <w:rsid w:val="003904A6"/>
    <w:rsid w:val="003904E3"/>
    <w:rsid w:val="0039096F"/>
    <w:rsid w:val="00390A1B"/>
    <w:rsid w:val="00390BC0"/>
    <w:rsid w:val="00390CA4"/>
    <w:rsid w:val="00390D7F"/>
    <w:rsid w:val="00391202"/>
    <w:rsid w:val="00391261"/>
    <w:rsid w:val="0039148E"/>
    <w:rsid w:val="00391679"/>
    <w:rsid w:val="003919AF"/>
    <w:rsid w:val="00391C0B"/>
    <w:rsid w:val="00391C7C"/>
    <w:rsid w:val="00391D84"/>
    <w:rsid w:val="00391DAA"/>
    <w:rsid w:val="00391DE9"/>
    <w:rsid w:val="00391FBE"/>
    <w:rsid w:val="003920BF"/>
    <w:rsid w:val="003920E3"/>
    <w:rsid w:val="003922F3"/>
    <w:rsid w:val="00392662"/>
    <w:rsid w:val="0039268C"/>
    <w:rsid w:val="003927A8"/>
    <w:rsid w:val="00392818"/>
    <w:rsid w:val="00392A22"/>
    <w:rsid w:val="00392A4C"/>
    <w:rsid w:val="00392C1D"/>
    <w:rsid w:val="00392DDE"/>
    <w:rsid w:val="00392E26"/>
    <w:rsid w:val="003930D0"/>
    <w:rsid w:val="003930D8"/>
    <w:rsid w:val="00393187"/>
    <w:rsid w:val="00393295"/>
    <w:rsid w:val="0039335D"/>
    <w:rsid w:val="00393363"/>
    <w:rsid w:val="0039336D"/>
    <w:rsid w:val="003933B8"/>
    <w:rsid w:val="003934D7"/>
    <w:rsid w:val="0039366F"/>
    <w:rsid w:val="003936F7"/>
    <w:rsid w:val="00393934"/>
    <w:rsid w:val="003939AF"/>
    <w:rsid w:val="00393AEB"/>
    <w:rsid w:val="00393DE9"/>
    <w:rsid w:val="00393F7C"/>
    <w:rsid w:val="0039407F"/>
    <w:rsid w:val="00394218"/>
    <w:rsid w:val="003943C6"/>
    <w:rsid w:val="00394886"/>
    <w:rsid w:val="003948F2"/>
    <w:rsid w:val="0039492A"/>
    <w:rsid w:val="00394B6E"/>
    <w:rsid w:val="00394B9C"/>
    <w:rsid w:val="00394BCB"/>
    <w:rsid w:val="00394EB7"/>
    <w:rsid w:val="00394FD2"/>
    <w:rsid w:val="003950FD"/>
    <w:rsid w:val="00395416"/>
    <w:rsid w:val="0039548E"/>
    <w:rsid w:val="00395505"/>
    <w:rsid w:val="0039563A"/>
    <w:rsid w:val="0039589C"/>
    <w:rsid w:val="00395E9D"/>
    <w:rsid w:val="00395EC3"/>
    <w:rsid w:val="003960DA"/>
    <w:rsid w:val="0039632E"/>
    <w:rsid w:val="00396709"/>
    <w:rsid w:val="0039691A"/>
    <w:rsid w:val="00396A62"/>
    <w:rsid w:val="00396AA2"/>
    <w:rsid w:val="00396AB4"/>
    <w:rsid w:val="00397DF8"/>
    <w:rsid w:val="003A020F"/>
    <w:rsid w:val="003A0560"/>
    <w:rsid w:val="003A0646"/>
    <w:rsid w:val="003A0741"/>
    <w:rsid w:val="003A0BA5"/>
    <w:rsid w:val="003A0E98"/>
    <w:rsid w:val="003A1000"/>
    <w:rsid w:val="003A12C0"/>
    <w:rsid w:val="003A168E"/>
    <w:rsid w:val="003A16B1"/>
    <w:rsid w:val="003A1781"/>
    <w:rsid w:val="003A17EA"/>
    <w:rsid w:val="003A18B8"/>
    <w:rsid w:val="003A18F6"/>
    <w:rsid w:val="003A1965"/>
    <w:rsid w:val="003A1B55"/>
    <w:rsid w:val="003A1BAD"/>
    <w:rsid w:val="003A1BC4"/>
    <w:rsid w:val="003A1D9F"/>
    <w:rsid w:val="003A1F52"/>
    <w:rsid w:val="003A2023"/>
    <w:rsid w:val="003A2050"/>
    <w:rsid w:val="003A20D5"/>
    <w:rsid w:val="003A2272"/>
    <w:rsid w:val="003A24A8"/>
    <w:rsid w:val="003A24D0"/>
    <w:rsid w:val="003A253E"/>
    <w:rsid w:val="003A25F1"/>
    <w:rsid w:val="003A267B"/>
    <w:rsid w:val="003A26D9"/>
    <w:rsid w:val="003A2888"/>
    <w:rsid w:val="003A29E1"/>
    <w:rsid w:val="003A2A05"/>
    <w:rsid w:val="003A2B13"/>
    <w:rsid w:val="003A31E8"/>
    <w:rsid w:val="003A3277"/>
    <w:rsid w:val="003A33A0"/>
    <w:rsid w:val="003A33BD"/>
    <w:rsid w:val="003A350D"/>
    <w:rsid w:val="003A36B1"/>
    <w:rsid w:val="003A3800"/>
    <w:rsid w:val="003A38F5"/>
    <w:rsid w:val="003A39EF"/>
    <w:rsid w:val="003A3E42"/>
    <w:rsid w:val="003A3F7F"/>
    <w:rsid w:val="003A401D"/>
    <w:rsid w:val="003A40D5"/>
    <w:rsid w:val="003A40F7"/>
    <w:rsid w:val="003A4148"/>
    <w:rsid w:val="003A42DC"/>
    <w:rsid w:val="003A42FC"/>
    <w:rsid w:val="003A44B2"/>
    <w:rsid w:val="003A45A2"/>
    <w:rsid w:val="003A4675"/>
    <w:rsid w:val="003A46F7"/>
    <w:rsid w:val="003A4778"/>
    <w:rsid w:val="003A4883"/>
    <w:rsid w:val="003A48CC"/>
    <w:rsid w:val="003A4966"/>
    <w:rsid w:val="003A4A0A"/>
    <w:rsid w:val="003A4C80"/>
    <w:rsid w:val="003A4ED8"/>
    <w:rsid w:val="003A4FF9"/>
    <w:rsid w:val="003A525C"/>
    <w:rsid w:val="003A5295"/>
    <w:rsid w:val="003A53AA"/>
    <w:rsid w:val="003A589B"/>
    <w:rsid w:val="003A597E"/>
    <w:rsid w:val="003A59CD"/>
    <w:rsid w:val="003A5B98"/>
    <w:rsid w:val="003A5F50"/>
    <w:rsid w:val="003A60E7"/>
    <w:rsid w:val="003A629E"/>
    <w:rsid w:val="003A6388"/>
    <w:rsid w:val="003A64F2"/>
    <w:rsid w:val="003A6565"/>
    <w:rsid w:val="003A6621"/>
    <w:rsid w:val="003A68EA"/>
    <w:rsid w:val="003A6B1E"/>
    <w:rsid w:val="003A6BC6"/>
    <w:rsid w:val="003A6DAB"/>
    <w:rsid w:val="003A6DEC"/>
    <w:rsid w:val="003A6FA6"/>
    <w:rsid w:val="003A715C"/>
    <w:rsid w:val="003A75E5"/>
    <w:rsid w:val="003A78E2"/>
    <w:rsid w:val="003A793A"/>
    <w:rsid w:val="003A7A0C"/>
    <w:rsid w:val="003A7ADF"/>
    <w:rsid w:val="003A7C8E"/>
    <w:rsid w:val="003A7D3E"/>
    <w:rsid w:val="003A7DBA"/>
    <w:rsid w:val="003A7EAD"/>
    <w:rsid w:val="003A7F05"/>
    <w:rsid w:val="003B0061"/>
    <w:rsid w:val="003B012D"/>
    <w:rsid w:val="003B0206"/>
    <w:rsid w:val="003B0376"/>
    <w:rsid w:val="003B0432"/>
    <w:rsid w:val="003B04E1"/>
    <w:rsid w:val="003B04FF"/>
    <w:rsid w:val="003B08E3"/>
    <w:rsid w:val="003B0A9D"/>
    <w:rsid w:val="003B0B52"/>
    <w:rsid w:val="003B0E8B"/>
    <w:rsid w:val="003B0F2D"/>
    <w:rsid w:val="003B0F5E"/>
    <w:rsid w:val="003B0FF7"/>
    <w:rsid w:val="003B11D9"/>
    <w:rsid w:val="003B1372"/>
    <w:rsid w:val="003B158B"/>
    <w:rsid w:val="003B1655"/>
    <w:rsid w:val="003B1811"/>
    <w:rsid w:val="003B1933"/>
    <w:rsid w:val="003B1AFB"/>
    <w:rsid w:val="003B1EE7"/>
    <w:rsid w:val="003B20B2"/>
    <w:rsid w:val="003B2762"/>
    <w:rsid w:val="003B27C4"/>
    <w:rsid w:val="003B28D9"/>
    <w:rsid w:val="003B2AEE"/>
    <w:rsid w:val="003B2B0C"/>
    <w:rsid w:val="003B2EB3"/>
    <w:rsid w:val="003B31CC"/>
    <w:rsid w:val="003B332A"/>
    <w:rsid w:val="003B33BB"/>
    <w:rsid w:val="003B345D"/>
    <w:rsid w:val="003B36E8"/>
    <w:rsid w:val="003B3757"/>
    <w:rsid w:val="003B3967"/>
    <w:rsid w:val="003B3A29"/>
    <w:rsid w:val="003B3A49"/>
    <w:rsid w:val="003B3B0B"/>
    <w:rsid w:val="003B3B9B"/>
    <w:rsid w:val="003B4283"/>
    <w:rsid w:val="003B4598"/>
    <w:rsid w:val="003B49FD"/>
    <w:rsid w:val="003B4A10"/>
    <w:rsid w:val="003B4B46"/>
    <w:rsid w:val="003B4B4F"/>
    <w:rsid w:val="003B4B67"/>
    <w:rsid w:val="003B4C40"/>
    <w:rsid w:val="003B4CE3"/>
    <w:rsid w:val="003B4FE5"/>
    <w:rsid w:val="003B515A"/>
    <w:rsid w:val="003B5261"/>
    <w:rsid w:val="003B5506"/>
    <w:rsid w:val="003B55C6"/>
    <w:rsid w:val="003B5865"/>
    <w:rsid w:val="003B590A"/>
    <w:rsid w:val="003B5CA0"/>
    <w:rsid w:val="003B5CC8"/>
    <w:rsid w:val="003B5ECB"/>
    <w:rsid w:val="003B6044"/>
    <w:rsid w:val="003B61D0"/>
    <w:rsid w:val="003B6200"/>
    <w:rsid w:val="003B6385"/>
    <w:rsid w:val="003B661A"/>
    <w:rsid w:val="003B6B4D"/>
    <w:rsid w:val="003B6B59"/>
    <w:rsid w:val="003B6DB3"/>
    <w:rsid w:val="003B6DE5"/>
    <w:rsid w:val="003B72F5"/>
    <w:rsid w:val="003B73C8"/>
    <w:rsid w:val="003B7551"/>
    <w:rsid w:val="003B7687"/>
    <w:rsid w:val="003B769F"/>
    <w:rsid w:val="003B77C3"/>
    <w:rsid w:val="003B77F8"/>
    <w:rsid w:val="003B7B53"/>
    <w:rsid w:val="003B7BE7"/>
    <w:rsid w:val="003B7EE5"/>
    <w:rsid w:val="003C023A"/>
    <w:rsid w:val="003C031C"/>
    <w:rsid w:val="003C0384"/>
    <w:rsid w:val="003C03B4"/>
    <w:rsid w:val="003C0452"/>
    <w:rsid w:val="003C04D6"/>
    <w:rsid w:val="003C051D"/>
    <w:rsid w:val="003C06A1"/>
    <w:rsid w:val="003C06E3"/>
    <w:rsid w:val="003C0720"/>
    <w:rsid w:val="003C086D"/>
    <w:rsid w:val="003C0B42"/>
    <w:rsid w:val="003C0E71"/>
    <w:rsid w:val="003C0EBF"/>
    <w:rsid w:val="003C10F4"/>
    <w:rsid w:val="003C111F"/>
    <w:rsid w:val="003C1177"/>
    <w:rsid w:val="003C127F"/>
    <w:rsid w:val="003C12A5"/>
    <w:rsid w:val="003C13E5"/>
    <w:rsid w:val="003C166B"/>
    <w:rsid w:val="003C17C6"/>
    <w:rsid w:val="003C1822"/>
    <w:rsid w:val="003C1824"/>
    <w:rsid w:val="003C197F"/>
    <w:rsid w:val="003C1A17"/>
    <w:rsid w:val="003C1C17"/>
    <w:rsid w:val="003C1CC3"/>
    <w:rsid w:val="003C1D2A"/>
    <w:rsid w:val="003C1E11"/>
    <w:rsid w:val="003C202D"/>
    <w:rsid w:val="003C213B"/>
    <w:rsid w:val="003C2249"/>
    <w:rsid w:val="003C2355"/>
    <w:rsid w:val="003C24FD"/>
    <w:rsid w:val="003C25F3"/>
    <w:rsid w:val="003C26EC"/>
    <w:rsid w:val="003C2843"/>
    <w:rsid w:val="003C2D20"/>
    <w:rsid w:val="003C2DE2"/>
    <w:rsid w:val="003C305A"/>
    <w:rsid w:val="003C3183"/>
    <w:rsid w:val="003C318C"/>
    <w:rsid w:val="003C3415"/>
    <w:rsid w:val="003C345A"/>
    <w:rsid w:val="003C3625"/>
    <w:rsid w:val="003C385B"/>
    <w:rsid w:val="003C3AB9"/>
    <w:rsid w:val="003C3BBE"/>
    <w:rsid w:val="003C3F37"/>
    <w:rsid w:val="003C4448"/>
    <w:rsid w:val="003C4456"/>
    <w:rsid w:val="003C451A"/>
    <w:rsid w:val="003C4542"/>
    <w:rsid w:val="003C49B9"/>
    <w:rsid w:val="003C4A4B"/>
    <w:rsid w:val="003C4AA0"/>
    <w:rsid w:val="003C4AA8"/>
    <w:rsid w:val="003C4B92"/>
    <w:rsid w:val="003C4C2B"/>
    <w:rsid w:val="003C4D09"/>
    <w:rsid w:val="003C4D4F"/>
    <w:rsid w:val="003C4D87"/>
    <w:rsid w:val="003C4F23"/>
    <w:rsid w:val="003C4FCC"/>
    <w:rsid w:val="003C5014"/>
    <w:rsid w:val="003C557C"/>
    <w:rsid w:val="003C5A01"/>
    <w:rsid w:val="003C5B4A"/>
    <w:rsid w:val="003C5C0D"/>
    <w:rsid w:val="003C5FC6"/>
    <w:rsid w:val="003C6672"/>
    <w:rsid w:val="003C668F"/>
    <w:rsid w:val="003C670F"/>
    <w:rsid w:val="003C67E7"/>
    <w:rsid w:val="003C6923"/>
    <w:rsid w:val="003C6995"/>
    <w:rsid w:val="003C6E1A"/>
    <w:rsid w:val="003C6F67"/>
    <w:rsid w:val="003C6F9A"/>
    <w:rsid w:val="003C707B"/>
    <w:rsid w:val="003C71F9"/>
    <w:rsid w:val="003C72B9"/>
    <w:rsid w:val="003C736D"/>
    <w:rsid w:val="003C7468"/>
    <w:rsid w:val="003C7578"/>
    <w:rsid w:val="003C76EE"/>
    <w:rsid w:val="003C7759"/>
    <w:rsid w:val="003C77D1"/>
    <w:rsid w:val="003C799C"/>
    <w:rsid w:val="003C7A31"/>
    <w:rsid w:val="003C7DB2"/>
    <w:rsid w:val="003C7F5F"/>
    <w:rsid w:val="003C7FAD"/>
    <w:rsid w:val="003D00D6"/>
    <w:rsid w:val="003D022C"/>
    <w:rsid w:val="003D03A6"/>
    <w:rsid w:val="003D073B"/>
    <w:rsid w:val="003D0770"/>
    <w:rsid w:val="003D0781"/>
    <w:rsid w:val="003D07F6"/>
    <w:rsid w:val="003D0C3E"/>
    <w:rsid w:val="003D0DC3"/>
    <w:rsid w:val="003D10F5"/>
    <w:rsid w:val="003D1288"/>
    <w:rsid w:val="003D129E"/>
    <w:rsid w:val="003D138E"/>
    <w:rsid w:val="003D15CA"/>
    <w:rsid w:val="003D15D7"/>
    <w:rsid w:val="003D1ACD"/>
    <w:rsid w:val="003D1AE4"/>
    <w:rsid w:val="003D1DEE"/>
    <w:rsid w:val="003D1E09"/>
    <w:rsid w:val="003D1EE3"/>
    <w:rsid w:val="003D2067"/>
    <w:rsid w:val="003D2296"/>
    <w:rsid w:val="003D2441"/>
    <w:rsid w:val="003D2500"/>
    <w:rsid w:val="003D2501"/>
    <w:rsid w:val="003D28CC"/>
    <w:rsid w:val="003D29F6"/>
    <w:rsid w:val="003D2B00"/>
    <w:rsid w:val="003D2CDB"/>
    <w:rsid w:val="003D2E2B"/>
    <w:rsid w:val="003D3321"/>
    <w:rsid w:val="003D34A7"/>
    <w:rsid w:val="003D34C4"/>
    <w:rsid w:val="003D355F"/>
    <w:rsid w:val="003D365D"/>
    <w:rsid w:val="003D38F4"/>
    <w:rsid w:val="003D3A3C"/>
    <w:rsid w:val="003D3B6A"/>
    <w:rsid w:val="003D3C42"/>
    <w:rsid w:val="003D3D3C"/>
    <w:rsid w:val="003D3E7E"/>
    <w:rsid w:val="003D4094"/>
    <w:rsid w:val="003D411D"/>
    <w:rsid w:val="003D41C0"/>
    <w:rsid w:val="003D42C1"/>
    <w:rsid w:val="003D42D7"/>
    <w:rsid w:val="003D4348"/>
    <w:rsid w:val="003D43D7"/>
    <w:rsid w:val="003D46FF"/>
    <w:rsid w:val="003D4740"/>
    <w:rsid w:val="003D48B1"/>
    <w:rsid w:val="003D4B97"/>
    <w:rsid w:val="003D4E2C"/>
    <w:rsid w:val="003D4E7B"/>
    <w:rsid w:val="003D4FA9"/>
    <w:rsid w:val="003D5156"/>
    <w:rsid w:val="003D516F"/>
    <w:rsid w:val="003D51DE"/>
    <w:rsid w:val="003D5265"/>
    <w:rsid w:val="003D5280"/>
    <w:rsid w:val="003D5409"/>
    <w:rsid w:val="003D54FE"/>
    <w:rsid w:val="003D5582"/>
    <w:rsid w:val="003D562F"/>
    <w:rsid w:val="003D5775"/>
    <w:rsid w:val="003D587F"/>
    <w:rsid w:val="003D5984"/>
    <w:rsid w:val="003D59BE"/>
    <w:rsid w:val="003D5D22"/>
    <w:rsid w:val="003D5D95"/>
    <w:rsid w:val="003D5DAA"/>
    <w:rsid w:val="003D5DE5"/>
    <w:rsid w:val="003D6027"/>
    <w:rsid w:val="003D62AB"/>
    <w:rsid w:val="003D6303"/>
    <w:rsid w:val="003D66E8"/>
    <w:rsid w:val="003D69D1"/>
    <w:rsid w:val="003D6A81"/>
    <w:rsid w:val="003D6C12"/>
    <w:rsid w:val="003D6C30"/>
    <w:rsid w:val="003D6DF3"/>
    <w:rsid w:val="003D6E38"/>
    <w:rsid w:val="003D6ED3"/>
    <w:rsid w:val="003D6FEE"/>
    <w:rsid w:val="003D7156"/>
    <w:rsid w:val="003D72AE"/>
    <w:rsid w:val="003D77A3"/>
    <w:rsid w:val="003D787F"/>
    <w:rsid w:val="003D7A04"/>
    <w:rsid w:val="003D7A72"/>
    <w:rsid w:val="003D7C40"/>
    <w:rsid w:val="003D7D4B"/>
    <w:rsid w:val="003D7E9D"/>
    <w:rsid w:val="003E0320"/>
    <w:rsid w:val="003E03C7"/>
    <w:rsid w:val="003E042D"/>
    <w:rsid w:val="003E045E"/>
    <w:rsid w:val="003E052E"/>
    <w:rsid w:val="003E0540"/>
    <w:rsid w:val="003E05ED"/>
    <w:rsid w:val="003E08D8"/>
    <w:rsid w:val="003E09AE"/>
    <w:rsid w:val="003E0AFB"/>
    <w:rsid w:val="003E0DEF"/>
    <w:rsid w:val="003E0F56"/>
    <w:rsid w:val="003E1350"/>
    <w:rsid w:val="003E1452"/>
    <w:rsid w:val="003E14A9"/>
    <w:rsid w:val="003E15D2"/>
    <w:rsid w:val="003E175C"/>
    <w:rsid w:val="003E1826"/>
    <w:rsid w:val="003E188F"/>
    <w:rsid w:val="003E190B"/>
    <w:rsid w:val="003E195C"/>
    <w:rsid w:val="003E1CD1"/>
    <w:rsid w:val="003E1D3F"/>
    <w:rsid w:val="003E1D8E"/>
    <w:rsid w:val="003E1E72"/>
    <w:rsid w:val="003E1EEA"/>
    <w:rsid w:val="003E1F6F"/>
    <w:rsid w:val="003E2155"/>
    <w:rsid w:val="003E2228"/>
    <w:rsid w:val="003E29D2"/>
    <w:rsid w:val="003E2C5B"/>
    <w:rsid w:val="003E2C6B"/>
    <w:rsid w:val="003E2E1B"/>
    <w:rsid w:val="003E2E78"/>
    <w:rsid w:val="003E3617"/>
    <w:rsid w:val="003E395C"/>
    <w:rsid w:val="003E3ADC"/>
    <w:rsid w:val="003E3B08"/>
    <w:rsid w:val="003E3C96"/>
    <w:rsid w:val="003E3E9F"/>
    <w:rsid w:val="003E41BC"/>
    <w:rsid w:val="003E430B"/>
    <w:rsid w:val="003E4357"/>
    <w:rsid w:val="003E4379"/>
    <w:rsid w:val="003E48C2"/>
    <w:rsid w:val="003E498F"/>
    <w:rsid w:val="003E49FB"/>
    <w:rsid w:val="003E4B0C"/>
    <w:rsid w:val="003E4DBE"/>
    <w:rsid w:val="003E4F34"/>
    <w:rsid w:val="003E4FE2"/>
    <w:rsid w:val="003E50AB"/>
    <w:rsid w:val="003E50BC"/>
    <w:rsid w:val="003E532F"/>
    <w:rsid w:val="003E5B08"/>
    <w:rsid w:val="003E5C71"/>
    <w:rsid w:val="003E5C78"/>
    <w:rsid w:val="003E5DCF"/>
    <w:rsid w:val="003E5E70"/>
    <w:rsid w:val="003E656E"/>
    <w:rsid w:val="003E65FE"/>
    <w:rsid w:val="003E679A"/>
    <w:rsid w:val="003E6931"/>
    <w:rsid w:val="003E6A2B"/>
    <w:rsid w:val="003E6A31"/>
    <w:rsid w:val="003E6A5B"/>
    <w:rsid w:val="003E6C8E"/>
    <w:rsid w:val="003E6CAD"/>
    <w:rsid w:val="003E701A"/>
    <w:rsid w:val="003E719C"/>
    <w:rsid w:val="003E72AE"/>
    <w:rsid w:val="003E736E"/>
    <w:rsid w:val="003E7415"/>
    <w:rsid w:val="003E7477"/>
    <w:rsid w:val="003E7558"/>
    <w:rsid w:val="003E768E"/>
    <w:rsid w:val="003E7976"/>
    <w:rsid w:val="003E7980"/>
    <w:rsid w:val="003E7AC0"/>
    <w:rsid w:val="003E7BF0"/>
    <w:rsid w:val="003E7C76"/>
    <w:rsid w:val="003E7D67"/>
    <w:rsid w:val="003E7E1B"/>
    <w:rsid w:val="003F01F9"/>
    <w:rsid w:val="003F03F3"/>
    <w:rsid w:val="003F0487"/>
    <w:rsid w:val="003F04A4"/>
    <w:rsid w:val="003F04F8"/>
    <w:rsid w:val="003F0791"/>
    <w:rsid w:val="003F094C"/>
    <w:rsid w:val="003F0951"/>
    <w:rsid w:val="003F0A33"/>
    <w:rsid w:val="003F0B59"/>
    <w:rsid w:val="003F0C3D"/>
    <w:rsid w:val="003F0D65"/>
    <w:rsid w:val="003F0F26"/>
    <w:rsid w:val="003F104F"/>
    <w:rsid w:val="003F1174"/>
    <w:rsid w:val="003F140C"/>
    <w:rsid w:val="003F15AF"/>
    <w:rsid w:val="003F15C9"/>
    <w:rsid w:val="003F1663"/>
    <w:rsid w:val="003F189D"/>
    <w:rsid w:val="003F1A6E"/>
    <w:rsid w:val="003F1FF3"/>
    <w:rsid w:val="003F2099"/>
    <w:rsid w:val="003F22E1"/>
    <w:rsid w:val="003F23B5"/>
    <w:rsid w:val="003F2527"/>
    <w:rsid w:val="003F25FF"/>
    <w:rsid w:val="003F269C"/>
    <w:rsid w:val="003F29B0"/>
    <w:rsid w:val="003F29E9"/>
    <w:rsid w:val="003F2CF9"/>
    <w:rsid w:val="003F2DC2"/>
    <w:rsid w:val="003F2E83"/>
    <w:rsid w:val="003F2FE1"/>
    <w:rsid w:val="003F32A0"/>
    <w:rsid w:val="003F348A"/>
    <w:rsid w:val="003F3512"/>
    <w:rsid w:val="003F361A"/>
    <w:rsid w:val="003F3E2F"/>
    <w:rsid w:val="003F3FE2"/>
    <w:rsid w:val="003F432E"/>
    <w:rsid w:val="003F43A4"/>
    <w:rsid w:val="003F45D6"/>
    <w:rsid w:val="003F464E"/>
    <w:rsid w:val="003F482C"/>
    <w:rsid w:val="003F4982"/>
    <w:rsid w:val="003F49F4"/>
    <w:rsid w:val="003F4D46"/>
    <w:rsid w:val="003F4ED4"/>
    <w:rsid w:val="003F5024"/>
    <w:rsid w:val="003F5084"/>
    <w:rsid w:val="003F5178"/>
    <w:rsid w:val="003F51BE"/>
    <w:rsid w:val="003F5597"/>
    <w:rsid w:val="003F55BB"/>
    <w:rsid w:val="003F561A"/>
    <w:rsid w:val="003F561B"/>
    <w:rsid w:val="003F5644"/>
    <w:rsid w:val="003F58AF"/>
    <w:rsid w:val="003F5A9C"/>
    <w:rsid w:val="003F5B13"/>
    <w:rsid w:val="003F5B41"/>
    <w:rsid w:val="003F5B6B"/>
    <w:rsid w:val="003F5CEA"/>
    <w:rsid w:val="003F5D01"/>
    <w:rsid w:val="003F5D2B"/>
    <w:rsid w:val="003F5E62"/>
    <w:rsid w:val="003F5E7C"/>
    <w:rsid w:val="003F5E82"/>
    <w:rsid w:val="003F6023"/>
    <w:rsid w:val="003F62FA"/>
    <w:rsid w:val="003F6643"/>
    <w:rsid w:val="003F66AE"/>
    <w:rsid w:val="003F690C"/>
    <w:rsid w:val="003F6D69"/>
    <w:rsid w:val="003F6D7B"/>
    <w:rsid w:val="003F6DE0"/>
    <w:rsid w:val="003F6E34"/>
    <w:rsid w:val="003F6E4E"/>
    <w:rsid w:val="003F6F0F"/>
    <w:rsid w:val="003F700C"/>
    <w:rsid w:val="003F7249"/>
    <w:rsid w:val="003F73C3"/>
    <w:rsid w:val="003F7401"/>
    <w:rsid w:val="003F742E"/>
    <w:rsid w:val="003F782F"/>
    <w:rsid w:val="003F7A10"/>
    <w:rsid w:val="003F7A21"/>
    <w:rsid w:val="003F7E1F"/>
    <w:rsid w:val="00400119"/>
    <w:rsid w:val="00400355"/>
    <w:rsid w:val="0040046F"/>
    <w:rsid w:val="00400654"/>
    <w:rsid w:val="00400761"/>
    <w:rsid w:val="004007B5"/>
    <w:rsid w:val="0040080A"/>
    <w:rsid w:val="00400C09"/>
    <w:rsid w:val="00400F32"/>
    <w:rsid w:val="00400F94"/>
    <w:rsid w:val="00401034"/>
    <w:rsid w:val="0040111F"/>
    <w:rsid w:val="00401191"/>
    <w:rsid w:val="004011E5"/>
    <w:rsid w:val="0040128C"/>
    <w:rsid w:val="00401361"/>
    <w:rsid w:val="0040159A"/>
    <w:rsid w:val="00401758"/>
    <w:rsid w:val="0040179A"/>
    <w:rsid w:val="0040183E"/>
    <w:rsid w:val="004019E9"/>
    <w:rsid w:val="00401A1D"/>
    <w:rsid w:val="00401B82"/>
    <w:rsid w:val="00401CB7"/>
    <w:rsid w:val="00402069"/>
    <w:rsid w:val="0040291D"/>
    <w:rsid w:val="00402A11"/>
    <w:rsid w:val="00402B30"/>
    <w:rsid w:val="00402C7C"/>
    <w:rsid w:val="00402FDD"/>
    <w:rsid w:val="0040319B"/>
    <w:rsid w:val="00403A04"/>
    <w:rsid w:val="00403AC2"/>
    <w:rsid w:val="00403AF9"/>
    <w:rsid w:val="00403CD3"/>
    <w:rsid w:val="00403FE9"/>
    <w:rsid w:val="004040BA"/>
    <w:rsid w:val="004040F7"/>
    <w:rsid w:val="0040419E"/>
    <w:rsid w:val="00404296"/>
    <w:rsid w:val="00404372"/>
    <w:rsid w:val="004043E4"/>
    <w:rsid w:val="0040449A"/>
    <w:rsid w:val="0040479B"/>
    <w:rsid w:val="004047B9"/>
    <w:rsid w:val="004047C6"/>
    <w:rsid w:val="00404866"/>
    <w:rsid w:val="004049BD"/>
    <w:rsid w:val="00404D3C"/>
    <w:rsid w:val="00404F2F"/>
    <w:rsid w:val="00405341"/>
    <w:rsid w:val="004054E0"/>
    <w:rsid w:val="0040552F"/>
    <w:rsid w:val="0040559B"/>
    <w:rsid w:val="00405686"/>
    <w:rsid w:val="004058D2"/>
    <w:rsid w:val="0040597D"/>
    <w:rsid w:val="00405A94"/>
    <w:rsid w:val="00405B0F"/>
    <w:rsid w:val="00405B64"/>
    <w:rsid w:val="00405B7A"/>
    <w:rsid w:val="00405DAC"/>
    <w:rsid w:val="00405EDD"/>
    <w:rsid w:val="00406434"/>
    <w:rsid w:val="0040661F"/>
    <w:rsid w:val="004066DA"/>
    <w:rsid w:val="00406D10"/>
    <w:rsid w:val="00406F00"/>
    <w:rsid w:val="00406F57"/>
    <w:rsid w:val="00406FF4"/>
    <w:rsid w:val="00407046"/>
    <w:rsid w:val="0040748C"/>
    <w:rsid w:val="00407713"/>
    <w:rsid w:val="004078C0"/>
    <w:rsid w:val="00407C66"/>
    <w:rsid w:val="00407D6C"/>
    <w:rsid w:val="00407DBB"/>
    <w:rsid w:val="00407E20"/>
    <w:rsid w:val="00407ED3"/>
    <w:rsid w:val="00410033"/>
    <w:rsid w:val="00410119"/>
    <w:rsid w:val="00410287"/>
    <w:rsid w:val="004105A5"/>
    <w:rsid w:val="00410812"/>
    <w:rsid w:val="00410858"/>
    <w:rsid w:val="00410C1C"/>
    <w:rsid w:val="00410E27"/>
    <w:rsid w:val="00410F5D"/>
    <w:rsid w:val="00411097"/>
    <w:rsid w:val="00411186"/>
    <w:rsid w:val="0041126C"/>
    <w:rsid w:val="00411283"/>
    <w:rsid w:val="004112F2"/>
    <w:rsid w:val="004116A2"/>
    <w:rsid w:val="00411816"/>
    <w:rsid w:val="00411C36"/>
    <w:rsid w:val="00411C93"/>
    <w:rsid w:val="00411EDE"/>
    <w:rsid w:val="00412083"/>
    <w:rsid w:val="00412381"/>
    <w:rsid w:val="004123EE"/>
    <w:rsid w:val="00412448"/>
    <w:rsid w:val="00412554"/>
    <w:rsid w:val="00412643"/>
    <w:rsid w:val="004126BD"/>
    <w:rsid w:val="00412CF3"/>
    <w:rsid w:val="00413105"/>
    <w:rsid w:val="00413190"/>
    <w:rsid w:val="004132ED"/>
    <w:rsid w:val="004133CD"/>
    <w:rsid w:val="00413796"/>
    <w:rsid w:val="004137EA"/>
    <w:rsid w:val="004138F0"/>
    <w:rsid w:val="00413A84"/>
    <w:rsid w:val="00413A9A"/>
    <w:rsid w:val="00413B7E"/>
    <w:rsid w:val="00413DCB"/>
    <w:rsid w:val="00413DE1"/>
    <w:rsid w:val="0041418A"/>
    <w:rsid w:val="004142C0"/>
    <w:rsid w:val="004146CA"/>
    <w:rsid w:val="004146E2"/>
    <w:rsid w:val="004147EB"/>
    <w:rsid w:val="00414837"/>
    <w:rsid w:val="00414A52"/>
    <w:rsid w:val="00414B90"/>
    <w:rsid w:val="00414B96"/>
    <w:rsid w:val="00414CA3"/>
    <w:rsid w:val="00414D5C"/>
    <w:rsid w:val="00414E37"/>
    <w:rsid w:val="00415484"/>
    <w:rsid w:val="004156B2"/>
    <w:rsid w:val="00415711"/>
    <w:rsid w:val="004158DD"/>
    <w:rsid w:val="0041592B"/>
    <w:rsid w:val="00415A0A"/>
    <w:rsid w:val="00415B0E"/>
    <w:rsid w:val="00415E0A"/>
    <w:rsid w:val="00415E73"/>
    <w:rsid w:val="00415F36"/>
    <w:rsid w:val="004161EC"/>
    <w:rsid w:val="00416325"/>
    <w:rsid w:val="0041643B"/>
    <w:rsid w:val="00416512"/>
    <w:rsid w:val="00416708"/>
    <w:rsid w:val="00416797"/>
    <w:rsid w:val="00416AA6"/>
    <w:rsid w:val="00416AB0"/>
    <w:rsid w:val="00416CBB"/>
    <w:rsid w:val="00416E1F"/>
    <w:rsid w:val="00416EA7"/>
    <w:rsid w:val="00416FEA"/>
    <w:rsid w:val="004170B9"/>
    <w:rsid w:val="00417184"/>
    <w:rsid w:val="004175C1"/>
    <w:rsid w:val="0041778D"/>
    <w:rsid w:val="004177E3"/>
    <w:rsid w:val="00417AAB"/>
    <w:rsid w:val="00417B65"/>
    <w:rsid w:val="00417BB2"/>
    <w:rsid w:val="00417C57"/>
    <w:rsid w:val="00417C9A"/>
    <w:rsid w:val="00417D88"/>
    <w:rsid w:val="0042038A"/>
    <w:rsid w:val="00420588"/>
    <w:rsid w:val="00420855"/>
    <w:rsid w:val="004208C3"/>
    <w:rsid w:val="00420BCB"/>
    <w:rsid w:val="00420CDC"/>
    <w:rsid w:val="00420D8F"/>
    <w:rsid w:val="00420D91"/>
    <w:rsid w:val="00421062"/>
    <w:rsid w:val="0042151F"/>
    <w:rsid w:val="0042156F"/>
    <w:rsid w:val="00421602"/>
    <w:rsid w:val="00421699"/>
    <w:rsid w:val="00421788"/>
    <w:rsid w:val="0042199B"/>
    <w:rsid w:val="004219C6"/>
    <w:rsid w:val="00421A79"/>
    <w:rsid w:val="00421B38"/>
    <w:rsid w:val="00421CCB"/>
    <w:rsid w:val="00422080"/>
    <w:rsid w:val="00422304"/>
    <w:rsid w:val="00422488"/>
    <w:rsid w:val="0042265E"/>
    <w:rsid w:val="00422B49"/>
    <w:rsid w:val="00422DAE"/>
    <w:rsid w:val="00422F57"/>
    <w:rsid w:val="0042309E"/>
    <w:rsid w:val="00423111"/>
    <w:rsid w:val="00423235"/>
    <w:rsid w:val="00423264"/>
    <w:rsid w:val="00423400"/>
    <w:rsid w:val="00423607"/>
    <w:rsid w:val="00423685"/>
    <w:rsid w:val="0042374D"/>
    <w:rsid w:val="00423893"/>
    <w:rsid w:val="00423913"/>
    <w:rsid w:val="00423A55"/>
    <w:rsid w:val="00423DC3"/>
    <w:rsid w:val="004241AB"/>
    <w:rsid w:val="004243BF"/>
    <w:rsid w:val="0042452B"/>
    <w:rsid w:val="0042453D"/>
    <w:rsid w:val="004245E3"/>
    <w:rsid w:val="00424ADA"/>
    <w:rsid w:val="00424DCC"/>
    <w:rsid w:val="00424DEE"/>
    <w:rsid w:val="00424F24"/>
    <w:rsid w:val="00424F45"/>
    <w:rsid w:val="00425060"/>
    <w:rsid w:val="0042511E"/>
    <w:rsid w:val="004251DE"/>
    <w:rsid w:val="004254A5"/>
    <w:rsid w:val="0042555C"/>
    <w:rsid w:val="0042556B"/>
    <w:rsid w:val="0042568C"/>
    <w:rsid w:val="0042570F"/>
    <w:rsid w:val="004257FF"/>
    <w:rsid w:val="0042582D"/>
    <w:rsid w:val="004258AB"/>
    <w:rsid w:val="00425970"/>
    <w:rsid w:val="00425F56"/>
    <w:rsid w:val="004264BA"/>
    <w:rsid w:val="00426595"/>
    <w:rsid w:val="004266AD"/>
    <w:rsid w:val="0042672D"/>
    <w:rsid w:val="00426856"/>
    <w:rsid w:val="004269CC"/>
    <w:rsid w:val="00426B2E"/>
    <w:rsid w:val="00426D5E"/>
    <w:rsid w:val="00426EDA"/>
    <w:rsid w:val="00426EF9"/>
    <w:rsid w:val="00426FDD"/>
    <w:rsid w:val="004270C4"/>
    <w:rsid w:val="004272D9"/>
    <w:rsid w:val="0042745B"/>
    <w:rsid w:val="004274BB"/>
    <w:rsid w:val="004275D7"/>
    <w:rsid w:val="0042761F"/>
    <w:rsid w:val="0042767A"/>
    <w:rsid w:val="00427E81"/>
    <w:rsid w:val="00430056"/>
    <w:rsid w:val="00430118"/>
    <w:rsid w:val="00430288"/>
    <w:rsid w:val="00430661"/>
    <w:rsid w:val="0043073B"/>
    <w:rsid w:val="00430A16"/>
    <w:rsid w:val="00430DB9"/>
    <w:rsid w:val="00431085"/>
    <w:rsid w:val="00431088"/>
    <w:rsid w:val="004310E5"/>
    <w:rsid w:val="00431312"/>
    <w:rsid w:val="00431358"/>
    <w:rsid w:val="004315D0"/>
    <w:rsid w:val="00431847"/>
    <w:rsid w:val="0043189D"/>
    <w:rsid w:val="00431C47"/>
    <w:rsid w:val="00431E3E"/>
    <w:rsid w:val="00431F6C"/>
    <w:rsid w:val="0043204D"/>
    <w:rsid w:val="00432348"/>
    <w:rsid w:val="0043257F"/>
    <w:rsid w:val="004325A7"/>
    <w:rsid w:val="00432765"/>
    <w:rsid w:val="0043291E"/>
    <w:rsid w:val="004329DC"/>
    <w:rsid w:val="00432A56"/>
    <w:rsid w:val="00432C9C"/>
    <w:rsid w:val="00432F98"/>
    <w:rsid w:val="00433068"/>
    <w:rsid w:val="004330AE"/>
    <w:rsid w:val="00433276"/>
    <w:rsid w:val="0043361A"/>
    <w:rsid w:val="0043361D"/>
    <w:rsid w:val="00433901"/>
    <w:rsid w:val="00433987"/>
    <w:rsid w:val="004339F0"/>
    <w:rsid w:val="00433AA1"/>
    <w:rsid w:val="00433ABA"/>
    <w:rsid w:val="00433C92"/>
    <w:rsid w:val="00433DFF"/>
    <w:rsid w:val="00433E1E"/>
    <w:rsid w:val="00433EB8"/>
    <w:rsid w:val="00433EF2"/>
    <w:rsid w:val="00433F1A"/>
    <w:rsid w:val="0043447D"/>
    <w:rsid w:val="00434548"/>
    <w:rsid w:val="00434651"/>
    <w:rsid w:val="00434750"/>
    <w:rsid w:val="004348AB"/>
    <w:rsid w:val="0043498B"/>
    <w:rsid w:val="00434CE5"/>
    <w:rsid w:val="004350F7"/>
    <w:rsid w:val="004351A7"/>
    <w:rsid w:val="00435272"/>
    <w:rsid w:val="00435426"/>
    <w:rsid w:val="0043545F"/>
    <w:rsid w:val="00435478"/>
    <w:rsid w:val="00435527"/>
    <w:rsid w:val="004359D2"/>
    <w:rsid w:val="00435BF9"/>
    <w:rsid w:val="00435F0C"/>
    <w:rsid w:val="00435FF8"/>
    <w:rsid w:val="0043601C"/>
    <w:rsid w:val="00436388"/>
    <w:rsid w:val="004364F7"/>
    <w:rsid w:val="004367A7"/>
    <w:rsid w:val="00436841"/>
    <w:rsid w:val="0043693B"/>
    <w:rsid w:val="00436B60"/>
    <w:rsid w:val="00436C99"/>
    <w:rsid w:val="00436EBB"/>
    <w:rsid w:val="00437015"/>
    <w:rsid w:val="0043717E"/>
    <w:rsid w:val="0043721A"/>
    <w:rsid w:val="00437304"/>
    <w:rsid w:val="0043740F"/>
    <w:rsid w:val="00437439"/>
    <w:rsid w:val="004375FE"/>
    <w:rsid w:val="004377CA"/>
    <w:rsid w:val="00437800"/>
    <w:rsid w:val="00437805"/>
    <w:rsid w:val="00437A32"/>
    <w:rsid w:val="00437E7B"/>
    <w:rsid w:val="00437FB4"/>
    <w:rsid w:val="0044002A"/>
    <w:rsid w:val="00440132"/>
    <w:rsid w:val="00440166"/>
    <w:rsid w:val="00440495"/>
    <w:rsid w:val="004404A2"/>
    <w:rsid w:val="004405B2"/>
    <w:rsid w:val="00440679"/>
    <w:rsid w:val="0044084B"/>
    <w:rsid w:val="00440AB0"/>
    <w:rsid w:val="00440BC5"/>
    <w:rsid w:val="00440DD4"/>
    <w:rsid w:val="00441216"/>
    <w:rsid w:val="00441282"/>
    <w:rsid w:val="004413F2"/>
    <w:rsid w:val="00441441"/>
    <w:rsid w:val="004414A1"/>
    <w:rsid w:val="004415A7"/>
    <w:rsid w:val="004416A1"/>
    <w:rsid w:val="00441713"/>
    <w:rsid w:val="00441B57"/>
    <w:rsid w:val="00441F88"/>
    <w:rsid w:val="0044210F"/>
    <w:rsid w:val="004422C0"/>
    <w:rsid w:val="004422FC"/>
    <w:rsid w:val="004428B1"/>
    <w:rsid w:val="00442C03"/>
    <w:rsid w:val="00442EC5"/>
    <w:rsid w:val="0044318D"/>
    <w:rsid w:val="004433B2"/>
    <w:rsid w:val="00443415"/>
    <w:rsid w:val="004434DD"/>
    <w:rsid w:val="0044351C"/>
    <w:rsid w:val="004439FB"/>
    <w:rsid w:val="00443D12"/>
    <w:rsid w:val="00443D40"/>
    <w:rsid w:val="00443D67"/>
    <w:rsid w:val="00443EF7"/>
    <w:rsid w:val="00443EFC"/>
    <w:rsid w:val="004440F0"/>
    <w:rsid w:val="00444155"/>
    <w:rsid w:val="0044429E"/>
    <w:rsid w:val="004442E9"/>
    <w:rsid w:val="00444808"/>
    <w:rsid w:val="00444AAC"/>
    <w:rsid w:val="00444BA9"/>
    <w:rsid w:val="00444DE4"/>
    <w:rsid w:val="00444F4D"/>
    <w:rsid w:val="004450A9"/>
    <w:rsid w:val="00445159"/>
    <w:rsid w:val="00445207"/>
    <w:rsid w:val="00445260"/>
    <w:rsid w:val="0044541A"/>
    <w:rsid w:val="00445571"/>
    <w:rsid w:val="0044569E"/>
    <w:rsid w:val="004458AF"/>
    <w:rsid w:val="00445A25"/>
    <w:rsid w:val="00445B10"/>
    <w:rsid w:val="00445C6C"/>
    <w:rsid w:val="00445E87"/>
    <w:rsid w:val="00445EFF"/>
    <w:rsid w:val="00445F7B"/>
    <w:rsid w:val="004460DE"/>
    <w:rsid w:val="004460E4"/>
    <w:rsid w:val="00446104"/>
    <w:rsid w:val="0044613A"/>
    <w:rsid w:val="0044624D"/>
    <w:rsid w:val="004463B1"/>
    <w:rsid w:val="004464FA"/>
    <w:rsid w:val="0044678B"/>
    <w:rsid w:val="004467C1"/>
    <w:rsid w:val="00446829"/>
    <w:rsid w:val="00446886"/>
    <w:rsid w:val="00446A3F"/>
    <w:rsid w:val="00446C41"/>
    <w:rsid w:val="00446D93"/>
    <w:rsid w:val="004474A6"/>
    <w:rsid w:val="004476E2"/>
    <w:rsid w:val="0044797C"/>
    <w:rsid w:val="00447A50"/>
    <w:rsid w:val="00447CFC"/>
    <w:rsid w:val="004502DB"/>
    <w:rsid w:val="0045089B"/>
    <w:rsid w:val="00450D7C"/>
    <w:rsid w:val="00450DA8"/>
    <w:rsid w:val="004511BD"/>
    <w:rsid w:val="00451206"/>
    <w:rsid w:val="00451292"/>
    <w:rsid w:val="004512EB"/>
    <w:rsid w:val="004514F8"/>
    <w:rsid w:val="004515BA"/>
    <w:rsid w:val="0045175E"/>
    <w:rsid w:val="004517AD"/>
    <w:rsid w:val="00451B2F"/>
    <w:rsid w:val="00451B7D"/>
    <w:rsid w:val="00451E0C"/>
    <w:rsid w:val="00451E45"/>
    <w:rsid w:val="00451FAB"/>
    <w:rsid w:val="00452017"/>
    <w:rsid w:val="004526F8"/>
    <w:rsid w:val="00452831"/>
    <w:rsid w:val="004529F0"/>
    <w:rsid w:val="00452B3B"/>
    <w:rsid w:val="00452E77"/>
    <w:rsid w:val="00452F61"/>
    <w:rsid w:val="0045308F"/>
    <w:rsid w:val="00453257"/>
    <w:rsid w:val="004534A7"/>
    <w:rsid w:val="00453505"/>
    <w:rsid w:val="00453798"/>
    <w:rsid w:val="0045379D"/>
    <w:rsid w:val="004540ED"/>
    <w:rsid w:val="004541E3"/>
    <w:rsid w:val="0045447C"/>
    <w:rsid w:val="00454498"/>
    <w:rsid w:val="004544EE"/>
    <w:rsid w:val="00454567"/>
    <w:rsid w:val="00454934"/>
    <w:rsid w:val="00454A40"/>
    <w:rsid w:val="00454E25"/>
    <w:rsid w:val="00454EFB"/>
    <w:rsid w:val="004550BD"/>
    <w:rsid w:val="00455268"/>
    <w:rsid w:val="00455390"/>
    <w:rsid w:val="004555ED"/>
    <w:rsid w:val="0045576B"/>
    <w:rsid w:val="0045582A"/>
    <w:rsid w:val="00455A05"/>
    <w:rsid w:val="00455A84"/>
    <w:rsid w:val="00455B57"/>
    <w:rsid w:val="00455C4A"/>
    <w:rsid w:val="00455E9F"/>
    <w:rsid w:val="004561EB"/>
    <w:rsid w:val="004562B5"/>
    <w:rsid w:val="0045634C"/>
    <w:rsid w:val="0045643B"/>
    <w:rsid w:val="004564F7"/>
    <w:rsid w:val="0045680E"/>
    <w:rsid w:val="00456B1C"/>
    <w:rsid w:val="00456B99"/>
    <w:rsid w:val="00456E21"/>
    <w:rsid w:val="00456F43"/>
    <w:rsid w:val="004570AA"/>
    <w:rsid w:val="004570B5"/>
    <w:rsid w:val="004570EB"/>
    <w:rsid w:val="00457126"/>
    <w:rsid w:val="00457271"/>
    <w:rsid w:val="004573FE"/>
    <w:rsid w:val="004574D9"/>
    <w:rsid w:val="00457691"/>
    <w:rsid w:val="004579D2"/>
    <w:rsid w:val="004579ED"/>
    <w:rsid w:val="00457AFA"/>
    <w:rsid w:val="00457D91"/>
    <w:rsid w:val="00457D97"/>
    <w:rsid w:val="00457EF8"/>
    <w:rsid w:val="00457FD3"/>
    <w:rsid w:val="004600B9"/>
    <w:rsid w:val="00460168"/>
    <w:rsid w:val="004601E4"/>
    <w:rsid w:val="00460492"/>
    <w:rsid w:val="00460959"/>
    <w:rsid w:val="004609A2"/>
    <w:rsid w:val="004609B2"/>
    <w:rsid w:val="00460BE7"/>
    <w:rsid w:val="00460D89"/>
    <w:rsid w:val="00460F0A"/>
    <w:rsid w:val="00460F28"/>
    <w:rsid w:val="00461070"/>
    <w:rsid w:val="00461140"/>
    <w:rsid w:val="00461197"/>
    <w:rsid w:val="004611E3"/>
    <w:rsid w:val="004615AC"/>
    <w:rsid w:val="004616CF"/>
    <w:rsid w:val="00461A17"/>
    <w:rsid w:val="00461A55"/>
    <w:rsid w:val="00461B59"/>
    <w:rsid w:val="00461BA8"/>
    <w:rsid w:val="00461CDF"/>
    <w:rsid w:val="00461D31"/>
    <w:rsid w:val="00461E4C"/>
    <w:rsid w:val="00462105"/>
    <w:rsid w:val="0046219B"/>
    <w:rsid w:val="004621CC"/>
    <w:rsid w:val="004621D8"/>
    <w:rsid w:val="00462587"/>
    <w:rsid w:val="004625BB"/>
    <w:rsid w:val="004628C2"/>
    <w:rsid w:val="00462A33"/>
    <w:rsid w:val="00462B0C"/>
    <w:rsid w:val="00462BE4"/>
    <w:rsid w:val="00462C60"/>
    <w:rsid w:val="00462EA5"/>
    <w:rsid w:val="004632FB"/>
    <w:rsid w:val="00463398"/>
    <w:rsid w:val="004634CF"/>
    <w:rsid w:val="00463572"/>
    <w:rsid w:val="00463770"/>
    <w:rsid w:val="004638F3"/>
    <w:rsid w:val="00463941"/>
    <w:rsid w:val="004639B9"/>
    <w:rsid w:val="00463A41"/>
    <w:rsid w:val="00463A73"/>
    <w:rsid w:val="00463BCA"/>
    <w:rsid w:val="00463FB1"/>
    <w:rsid w:val="004640C2"/>
    <w:rsid w:val="00464147"/>
    <w:rsid w:val="00464184"/>
    <w:rsid w:val="004641BB"/>
    <w:rsid w:val="004641E2"/>
    <w:rsid w:val="00464206"/>
    <w:rsid w:val="00464231"/>
    <w:rsid w:val="004644C1"/>
    <w:rsid w:val="004645D3"/>
    <w:rsid w:val="004646E8"/>
    <w:rsid w:val="004649CB"/>
    <w:rsid w:val="00464CCE"/>
    <w:rsid w:val="00464D2C"/>
    <w:rsid w:val="00464F33"/>
    <w:rsid w:val="00465198"/>
    <w:rsid w:val="004653B5"/>
    <w:rsid w:val="0046551B"/>
    <w:rsid w:val="00465525"/>
    <w:rsid w:val="004656EE"/>
    <w:rsid w:val="00465983"/>
    <w:rsid w:val="00465CBD"/>
    <w:rsid w:val="00465F9D"/>
    <w:rsid w:val="00466030"/>
    <w:rsid w:val="00466222"/>
    <w:rsid w:val="004663F0"/>
    <w:rsid w:val="0046643C"/>
    <w:rsid w:val="004664E5"/>
    <w:rsid w:val="00466522"/>
    <w:rsid w:val="00466583"/>
    <w:rsid w:val="004666C5"/>
    <w:rsid w:val="00466899"/>
    <w:rsid w:val="00466B06"/>
    <w:rsid w:val="00466E73"/>
    <w:rsid w:val="00466F77"/>
    <w:rsid w:val="00467031"/>
    <w:rsid w:val="00467059"/>
    <w:rsid w:val="00467260"/>
    <w:rsid w:val="004672BB"/>
    <w:rsid w:val="00467385"/>
    <w:rsid w:val="004673A4"/>
    <w:rsid w:val="004673BE"/>
    <w:rsid w:val="00467574"/>
    <w:rsid w:val="0046785E"/>
    <w:rsid w:val="00467F81"/>
    <w:rsid w:val="00468930"/>
    <w:rsid w:val="00470493"/>
    <w:rsid w:val="004706AB"/>
    <w:rsid w:val="004707FF"/>
    <w:rsid w:val="00470950"/>
    <w:rsid w:val="00470AD6"/>
    <w:rsid w:val="00470B37"/>
    <w:rsid w:val="00470F11"/>
    <w:rsid w:val="00470F63"/>
    <w:rsid w:val="004710FB"/>
    <w:rsid w:val="00471335"/>
    <w:rsid w:val="00471657"/>
    <w:rsid w:val="0047181C"/>
    <w:rsid w:val="0047188F"/>
    <w:rsid w:val="0047195E"/>
    <w:rsid w:val="00471A78"/>
    <w:rsid w:val="00471B0C"/>
    <w:rsid w:val="00471C35"/>
    <w:rsid w:val="00471ED6"/>
    <w:rsid w:val="00472009"/>
    <w:rsid w:val="00472057"/>
    <w:rsid w:val="00472129"/>
    <w:rsid w:val="00472174"/>
    <w:rsid w:val="00472661"/>
    <w:rsid w:val="00472AD6"/>
    <w:rsid w:val="00472BAC"/>
    <w:rsid w:val="00472CC1"/>
    <w:rsid w:val="00472DE3"/>
    <w:rsid w:val="00472F1B"/>
    <w:rsid w:val="004731A8"/>
    <w:rsid w:val="00473204"/>
    <w:rsid w:val="0047333E"/>
    <w:rsid w:val="00473406"/>
    <w:rsid w:val="0047357D"/>
    <w:rsid w:val="004739A7"/>
    <w:rsid w:val="00473CBC"/>
    <w:rsid w:val="00473DCB"/>
    <w:rsid w:val="0047416A"/>
    <w:rsid w:val="0047427B"/>
    <w:rsid w:val="004745B0"/>
    <w:rsid w:val="004747D2"/>
    <w:rsid w:val="004748B7"/>
    <w:rsid w:val="004749D2"/>
    <w:rsid w:val="00474B39"/>
    <w:rsid w:val="00474BF4"/>
    <w:rsid w:val="00474DCC"/>
    <w:rsid w:val="00475200"/>
    <w:rsid w:val="004752FF"/>
    <w:rsid w:val="00475507"/>
    <w:rsid w:val="00475775"/>
    <w:rsid w:val="004757B0"/>
    <w:rsid w:val="0047583A"/>
    <w:rsid w:val="00475989"/>
    <w:rsid w:val="00475A94"/>
    <w:rsid w:val="00475AAB"/>
    <w:rsid w:val="00475DC1"/>
    <w:rsid w:val="00475DE5"/>
    <w:rsid w:val="00475F20"/>
    <w:rsid w:val="00475FC8"/>
    <w:rsid w:val="0047618E"/>
    <w:rsid w:val="00476298"/>
    <w:rsid w:val="00476334"/>
    <w:rsid w:val="00476373"/>
    <w:rsid w:val="00476431"/>
    <w:rsid w:val="0047644B"/>
    <w:rsid w:val="004764F7"/>
    <w:rsid w:val="0047650D"/>
    <w:rsid w:val="00476558"/>
    <w:rsid w:val="0047655D"/>
    <w:rsid w:val="004766AF"/>
    <w:rsid w:val="00476892"/>
    <w:rsid w:val="004768D1"/>
    <w:rsid w:val="0047696F"/>
    <w:rsid w:val="00476BED"/>
    <w:rsid w:val="00476C9D"/>
    <w:rsid w:val="00477066"/>
    <w:rsid w:val="00477159"/>
    <w:rsid w:val="004771A6"/>
    <w:rsid w:val="00477730"/>
    <w:rsid w:val="00477752"/>
    <w:rsid w:val="004777A4"/>
    <w:rsid w:val="004777D3"/>
    <w:rsid w:val="00477AA7"/>
    <w:rsid w:val="00477BC8"/>
    <w:rsid w:val="00477BE1"/>
    <w:rsid w:val="00477D77"/>
    <w:rsid w:val="00477EE4"/>
    <w:rsid w:val="00477FBF"/>
    <w:rsid w:val="00480116"/>
    <w:rsid w:val="00480360"/>
    <w:rsid w:val="004805EA"/>
    <w:rsid w:val="00480626"/>
    <w:rsid w:val="00480819"/>
    <w:rsid w:val="00480B7B"/>
    <w:rsid w:val="00480B8C"/>
    <w:rsid w:val="00480E65"/>
    <w:rsid w:val="00480F15"/>
    <w:rsid w:val="0048125E"/>
    <w:rsid w:val="004812E1"/>
    <w:rsid w:val="0048141A"/>
    <w:rsid w:val="00481486"/>
    <w:rsid w:val="00481720"/>
    <w:rsid w:val="0048197C"/>
    <w:rsid w:val="00481B75"/>
    <w:rsid w:val="00481DCF"/>
    <w:rsid w:val="00482018"/>
    <w:rsid w:val="0048215D"/>
    <w:rsid w:val="004823A7"/>
    <w:rsid w:val="004826F9"/>
    <w:rsid w:val="00482721"/>
    <w:rsid w:val="00482782"/>
    <w:rsid w:val="00482C9C"/>
    <w:rsid w:val="00482CCC"/>
    <w:rsid w:val="00482F44"/>
    <w:rsid w:val="00482F86"/>
    <w:rsid w:val="00482F93"/>
    <w:rsid w:val="004831C9"/>
    <w:rsid w:val="004832E1"/>
    <w:rsid w:val="004832EC"/>
    <w:rsid w:val="0048334E"/>
    <w:rsid w:val="00483433"/>
    <w:rsid w:val="00483454"/>
    <w:rsid w:val="004835D3"/>
    <w:rsid w:val="00483893"/>
    <w:rsid w:val="004839C9"/>
    <w:rsid w:val="00483A2F"/>
    <w:rsid w:val="00483A59"/>
    <w:rsid w:val="00483F68"/>
    <w:rsid w:val="00484118"/>
    <w:rsid w:val="004841F0"/>
    <w:rsid w:val="0048431E"/>
    <w:rsid w:val="00484448"/>
    <w:rsid w:val="00484501"/>
    <w:rsid w:val="00484604"/>
    <w:rsid w:val="00484703"/>
    <w:rsid w:val="0048471D"/>
    <w:rsid w:val="0048478A"/>
    <w:rsid w:val="00484BCF"/>
    <w:rsid w:val="00484E6E"/>
    <w:rsid w:val="00484F7A"/>
    <w:rsid w:val="00484FD0"/>
    <w:rsid w:val="00485102"/>
    <w:rsid w:val="00485222"/>
    <w:rsid w:val="0048544E"/>
    <w:rsid w:val="004854D3"/>
    <w:rsid w:val="00485624"/>
    <w:rsid w:val="00485711"/>
    <w:rsid w:val="004858A2"/>
    <w:rsid w:val="00485A88"/>
    <w:rsid w:val="00485C0C"/>
    <w:rsid w:val="00485F7C"/>
    <w:rsid w:val="00486083"/>
    <w:rsid w:val="004860D8"/>
    <w:rsid w:val="004860DA"/>
    <w:rsid w:val="004862FE"/>
    <w:rsid w:val="00486311"/>
    <w:rsid w:val="0048632F"/>
    <w:rsid w:val="00486350"/>
    <w:rsid w:val="0048641E"/>
    <w:rsid w:val="004865CD"/>
    <w:rsid w:val="00486822"/>
    <w:rsid w:val="00486D65"/>
    <w:rsid w:val="00486DB4"/>
    <w:rsid w:val="00486EAA"/>
    <w:rsid w:val="00486FCA"/>
    <w:rsid w:val="0048735A"/>
    <w:rsid w:val="00487383"/>
    <w:rsid w:val="004874B0"/>
    <w:rsid w:val="004877E3"/>
    <w:rsid w:val="0048784C"/>
    <w:rsid w:val="004879F8"/>
    <w:rsid w:val="00487A4C"/>
    <w:rsid w:val="00487B39"/>
    <w:rsid w:val="00487B4B"/>
    <w:rsid w:val="00487C0D"/>
    <w:rsid w:val="00487CC8"/>
    <w:rsid w:val="00487CFB"/>
    <w:rsid w:val="00487D3C"/>
    <w:rsid w:val="00487E05"/>
    <w:rsid w:val="00487E56"/>
    <w:rsid w:val="00487ECB"/>
    <w:rsid w:val="0049006D"/>
    <w:rsid w:val="004900EB"/>
    <w:rsid w:val="00490382"/>
    <w:rsid w:val="00490647"/>
    <w:rsid w:val="00490ABC"/>
    <w:rsid w:val="00490CC6"/>
    <w:rsid w:val="00490DD4"/>
    <w:rsid w:val="004911D3"/>
    <w:rsid w:val="0049121F"/>
    <w:rsid w:val="00491352"/>
    <w:rsid w:val="00491450"/>
    <w:rsid w:val="004914C2"/>
    <w:rsid w:val="0049154B"/>
    <w:rsid w:val="00491635"/>
    <w:rsid w:val="0049167C"/>
    <w:rsid w:val="00491813"/>
    <w:rsid w:val="0049194D"/>
    <w:rsid w:val="004919A1"/>
    <w:rsid w:val="00491A54"/>
    <w:rsid w:val="00491B7B"/>
    <w:rsid w:val="00491D86"/>
    <w:rsid w:val="00491F45"/>
    <w:rsid w:val="00492101"/>
    <w:rsid w:val="00492133"/>
    <w:rsid w:val="0049217F"/>
    <w:rsid w:val="004923C8"/>
    <w:rsid w:val="00492862"/>
    <w:rsid w:val="004929E4"/>
    <w:rsid w:val="00492E07"/>
    <w:rsid w:val="00492EA5"/>
    <w:rsid w:val="004930AF"/>
    <w:rsid w:val="004931C5"/>
    <w:rsid w:val="00493321"/>
    <w:rsid w:val="004935D7"/>
    <w:rsid w:val="00493896"/>
    <w:rsid w:val="004939F9"/>
    <w:rsid w:val="00493AB2"/>
    <w:rsid w:val="00493B64"/>
    <w:rsid w:val="00493E86"/>
    <w:rsid w:val="00493F10"/>
    <w:rsid w:val="00494322"/>
    <w:rsid w:val="00494460"/>
    <w:rsid w:val="004945B8"/>
    <w:rsid w:val="004945D5"/>
    <w:rsid w:val="00494804"/>
    <w:rsid w:val="00494808"/>
    <w:rsid w:val="00494BCC"/>
    <w:rsid w:val="00494CBA"/>
    <w:rsid w:val="00494CDD"/>
    <w:rsid w:val="00494EE4"/>
    <w:rsid w:val="0049521A"/>
    <w:rsid w:val="00495563"/>
    <w:rsid w:val="004955E1"/>
    <w:rsid w:val="004957CF"/>
    <w:rsid w:val="0049586A"/>
    <w:rsid w:val="00495877"/>
    <w:rsid w:val="00495ADA"/>
    <w:rsid w:val="00495BB1"/>
    <w:rsid w:val="00495CB6"/>
    <w:rsid w:val="00495D2B"/>
    <w:rsid w:val="00495F05"/>
    <w:rsid w:val="00495F08"/>
    <w:rsid w:val="00495FE9"/>
    <w:rsid w:val="00496000"/>
    <w:rsid w:val="00496129"/>
    <w:rsid w:val="00496241"/>
    <w:rsid w:val="004962D1"/>
    <w:rsid w:val="00496391"/>
    <w:rsid w:val="00496473"/>
    <w:rsid w:val="004965C0"/>
    <w:rsid w:val="00496757"/>
    <w:rsid w:val="00496821"/>
    <w:rsid w:val="00496988"/>
    <w:rsid w:val="00496B31"/>
    <w:rsid w:val="00496B4C"/>
    <w:rsid w:val="00496CC3"/>
    <w:rsid w:val="00496D26"/>
    <w:rsid w:val="00497081"/>
    <w:rsid w:val="004970E7"/>
    <w:rsid w:val="0049753A"/>
    <w:rsid w:val="004975C1"/>
    <w:rsid w:val="004976F6"/>
    <w:rsid w:val="0049771E"/>
    <w:rsid w:val="00497A1E"/>
    <w:rsid w:val="00497A8E"/>
    <w:rsid w:val="00497B1E"/>
    <w:rsid w:val="00497D52"/>
    <w:rsid w:val="00497DA4"/>
    <w:rsid w:val="00497E87"/>
    <w:rsid w:val="004A0362"/>
    <w:rsid w:val="004A03C3"/>
    <w:rsid w:val="004A0406"/>
    <w:rsid w:val="004A0542"/>
    <w:rsid w:val="004A08AE"/>
    <w:rsid w:val="004A0CDC"/>
    <w:rsid w:val="004A0DCB"/>
    <w:rsid w:val="004A0DEA"/>
    <w:rsid w:val="004A0EAC"/>
    <w:rsid w:val="004A0EDF"/>
    <w:rsid w:val="004A0F51"/>
    <w:rsid w:val="004A1358"/>
    <w:rsid w:val="004A16E7"/>
    <w:rsid w:val="004A199A"/>
    <w:rsid w:val="004A1B8C"/>
    <w:rsid w:val="004A1C9E"/>
    <w:rsid w:val="004A2255"/>
    <w:rsid w:val="004A23BE"/>
    <w:rsid w:val="004A246C"/>
    <w:rsid w:val="004A253A"/>
    <w:rsid w:val="004A262D"/>
    <w:rsid w:val="004A2774"/>
    <w:rsid w:val="004A279A"/>
    <w:rsid w:val="004A27C3"/>
    <w:rsid w:val="004A2851"/>
    <w:rsid w:val="004A28D1"/>
    <w:rsid w:val="004A297D"/>
    <w:rsid w:val="004A29FA"/>
    <w:rsid w:val="004A2A4E"/>
    <w:rsid w:val="004A2BD1"/>
    <w:rsid w:val="004A2C58"/>
    <w:rsid w:val="004A2FAB"/>
    <w:rsid w:val="004A324A"/>
    <w:rsid w:val="004A335E"/>
    <w:rsid w:val="004A35BB"/>
    <w:rsid w:val="004A35E1"/>
    <w:rsid w:val="004A3774"/>
    <w:rsid w:val="004A3A5F"/>
    <w:rsid w:val="004A3BAA"/>
    <w:rsid w:val="004A3C8D"/>
    <w:rsid w:val="004A3CD9"/>
    <w:rsid w:val="004A3DDF"/>
    <w:rsid w:val="004A405D"/>
    <w:rsid w:val="004A41C0"/>
    <w:rsid w:val="004A42BD"/>
    <w:rsid w:val="004A4506"/>
    <w:rsid w:val="004A455C"/>
    <w:rsid w:val="004A464A"/>
    <w:rsid w:val="004A469C"/>
    <w:rsid w:val="004A4838"/>
    <w:rsid w:val="004A4B75"/>
    <w:rsid w:val="004A4C1C"/>
    <w:rsid w:val="004A4D16"/>
    <w:rsid w:val="004A4DA5"/>
    <w:rsid w:val="004A5077"/>
    <w:rsid w:val="004A508A"/>
    <w:rsid w:val="004A516D"/>
    <w:rsid w:val="004A558C"/>
    <w:rsid w:val="004A560D"/>
    <w:rsid w:val="004A5732"/>
    <w:rsid w:val="004A5B32"/>
    <w:rsid w:val="004A5E65"/>
    <w:rsid w:val="004A60B9"/>
    <w:rsid w:val="004A60DE"/>
    <w:rsid w:val="004A64F9"/>
    <w:rsid w:val="004A683C"/>
    <w:rsid w:val="004A6A76"/>
    <w:rsid w:val="004A6B93"/>
    <w:rsid w:val="004A6BDD"/>
    <w:rsid w:val="004A6C76"/>
    <w:rsid w:val="004A6CDD"/>
    <w:rsid w:val="004A6D02"/>
    <w:rsid w:val="004A6D62"/>
    <w:rsid w:val="004A7033"/>
    <w:rsid w:val="004A719C"/>
    <w:rsid w:val="004A724B"/>
    <w:rsid w:val="004A728D"/>
    <w:rsid w:val="004A73EF"/>
    <w:rsid w:val="004A756D"/>
    <w:rsid w:val="004A771A"/>
    <w:rsid w:val="004A7883"/>
    <w:rsid w:val="004A7893"/>
    <w:rsid w:val="004A78AC"/>
    <w:rsid w:val="004A78DF"/>
    <w:rsid w:val="004A7A67"/>
    <w:rsid w:val="004A7BEC"/>
    <w:rsid w:val="004A7DD9"/>
    <w:rsid w:val="004A7F63"/>
    <w:rsid w:val="004B006F"/>
    <w:rsid w:val="004B00BB"/>
    <w:rsid w:val="004B0217"/>
    <w:rsid w:val="004B028C"/>
    <w:rsid w:val="004B02CB"/>
    <w:rsid w:val="004B036D"/>
    <w:rsid w:val="004B08B7"/>
    <w:rsid w:val="004B08CA"/>
    <w:rsid w:val="004B08F8"/>
    <w:rsid w:val="004B0EA0"/>
    <w:rsid w:val="004B10B8"/>
    <w:rsid w:val="004B1105"/>
    <w:rsid w:val="004B1205"/>
    <w:rsid w:val="004B1241"/>
    <w:rsid w:val="004B12C3"/>
    <w:rsid w:val="004B171C"/>
    <w:rsid w:val="004B1813"/>
    <w:rsid w:val="004B1818"/>
    <w:rsid w:val="004B182C"/>
    <w:rsid w:val="004B1866"/>
    <w:rsid w:val="004B18E1"/>
    <w:rsid w:val="004B19E1"/>
    <w:rsid w:val="004B19FE"/>
    <w:rsid w:val="004B1ED4"/>
    <w:rsid w:val="004B201A"/>
    <w:rsid w:val="004B2256"/>
    <w:rsid w:val="004B22BC"/>
    <w:rsid w:val="004B2328"/>
    <w:rsid w:val="004B25C3"/>
    <w:rsid w:val="004B25EE"/>
    <w:rsid w:val="004B27AA"/>
    <w:rsid w:val="004B28AB"/>
    <w:rsid w:val="004B292F"/>
    <w:rsid w:val="004B296B"/>
    <w:rsid w:val="004B2C99"/>
    <w:rsid w:val="004B35CD"/>
    <w:rsid w:val="004B362E"/>
    <w:rsid w:val="004B37D4"/>
    <w:rsid w:val="004B3A1E"/>
    <w:rsid w:val="004B3EC3"/>
    <w:rsid w:val="004B43FA"/>
    <w:rsid w:val="004B448F"/>
    <w:rsid w:val="004B4503"/>
    <w:rsid w:val="004B4554"/>
    <w:rsid w:val="004B4683"/>
    <w:rsid w:val="004B478B"/>
    <w:rsid w:val="004B47A6"/>
    <w:rsid w:val="004B4855"/>
    <w:rsid w:val="004B4A5D"/>
    <w:rsid w:val="004B4AD2"/>
    <w:rsid w:val="004B4AD5"/>
    <w:rsid w:val="004B4B60"/>
    <w:rsid w:val="004B4D26"/>
    <w:rsid w:val="004B4D45"/>
    <w:rsid w:val="004B4D90"/>
    <w:rsid w:val="004B4EE2"/>
    <w:rsid w:val="004B4F99"/>
    <w:rsid w:val="004B4FF6"/>
    <w:rsid w:val="004B513E"/>
    <w:rsid w:val="004B5183"/>
    <w:rsid w:val="004B52BC"/>
    <w:rsid w:val="004B52E4"/>
    <w:rsid w:val="004B5441"/>
    <w:rsid w:val="004B5614"/>
    <w:rsid w:val="004B5727"/>
    <w:rsid w:val="004B574C"/>
    <w:rsid w:val="004B5797"/>
    <w:rsid w:val="004B5932"/>
    <w:rsid w:val="004B5A77"/>
    <w:rsid w:val="004B5BF1"/>
    <w:rsid w:val="004B5C02"/>
    <w:rsid w:val="004B5C75"/>
    <w:rsid w:val="004B5DCE"/>
    <w:rsid w:val="004B5F5D"/>
    <w:rsid w:val="004B5F92"/>
    <w:rsid w:val="004B606E"/>
    <w:rsid w:val="004B63D9"/>
    <w:rsid w:val="004B63EB"/>
    <w:rsid w:val="004B641D"/>
    <w:rsid w:val="004B6517"/>
    <w:rsid w:val="004B65DB"/>
    <w:rsid w:val="004B66D1"/>
    <w:rsid w:val="004B68EE"/>
    <w:rsid w:val="004B6ABC"/>
    <w:rsid w:val="004B6D8B"/>
    <w:rsid w:val="004B70E6"/>
    <w:rsid w:val="004B7103"/>
    <w:rsid w:val="004B7198"/>
    <w:rsid w:val="004B7236"/>
    <w:rsid w:val="004B72DB"/>
    <w:rsid w:val="004B7383"/>
    <w:rsid w:val="004B7593"/>
    <w:rsid w:val="004B771B"/>
    <w:rsid w:val="004B7766"/>
    <w:rsid w:val="004B78A9"/>
    <w:rsid w:val="004B7987"/>
    <w:rsid w:val="004B7A37"/>
    <w:rsid w:val="004B7B89"/>
    <w:rsid w:val="004B7B95"/>
    <w:rsid w:val="004B7F2B"/>
    <w:rsid w:val="004C00B7"/>
    <w:rsid w:val="004C0748"/>
    <w:rsid w:val="004C07B3"/>
    <w:rsid w:val="004C0872"/>
    <w:rsid w:val="004C0B26"/>
    <w:rsid w:val="004C0C85"/>
    <w:rsid w:val="004C0E76"/>
    <w:rsid w:val="004C0FD6"/>
    <w:rsid w:val="004C140C"/>
    <w:rsid w:val="004C146F"/>
    <w:rsid w:val="004C1560"/>
    <w:rsid w:val="004C17E2"/>
    <w:rsid w:val="004C1A27"/>
    <w:rsid w:val="004C1DF0"/>
    <w:rsid w:val="004C1EBD"/>
    <w:rsid w:val="004C1F53"/>
    <w:rsid w:val="004C206C"/>
    <w:rsid w:val="004C2311"/>
    <w:rsid w:val="004C2365"/>
    <w:rsid w:val="004C2731"/>
    <w:rsid w:val="004C2B52"/>
    <w:rsid w:val="004C2E3D"/>
    <w:rsid w:val="004C300D"/>
    <w:rsid w:val="004C30FC"/>
    <w:rsid w:val="004C339D"/>
    <w:rsid w:val="004C33A2"/>
    <w:rsid w:val="004C3446"/>
    <w:rsid w:val="004C35C1"/>
    <w:rsid w:val="004C3627"/>
    <w:rsid w:val="004C37DC"/>
    <w:rsid w:val="004C3AE0"/>
    <w:rsid w:val="004C3E41"/>
    <w:rsid w:val="004C3EB8"/>
    <w:rsid w:val="004C3FD2"/>
    <w:rsid w:val="004C4452"/>
    <w:rsid w:val="004C45DA"/>
    <w:rsid w:val="004C4A5E"/>
    <w:rsid w:val="004C4B9B"/>
    <w:rsid w:val="004C4DD4"/>
    <w:rsid w:val="004C4EA0"/>
    <w:rsid w:val="004C4EEB"/>
    <w:rsid w:val="004C500D"/>
    <w:rsid w:val="004C5129"/>
    <w:rsid w:val="004C5335"/>
    <w:rsid w:val="004C53F9"/>
    <w:rsid w:val="004C5523"/>
    <w:rsid w:val="004C5592"/>
    <w:rsid w:val="004C56F4"/>
    <w:rsid w:val="004C5811"/>
    <w:rsid w:val="004C5A4E"/>
    <w:rsid w:val="004C5BEF"/>
    <w:rsid w:val="004C5EF6"/>
    <w:rsid w:val="004C6100"/>
    <w:rsid w:val="004C62C1"/>
    <w:rsid w:val="004C63CE"/>
    <w:rsid w:val="004C64AA"/>
    <w:rsid w:val="004C6560"/>
    <w:rsid w:val="004C6624"/>
    <w:rsid w:val="004C67EC"/>
    <w:rsid w:val="004C683C"/>
    <w:rsid w:val="004C699F"/>
    <w:rsid w:val="004C6B7C"/>
    <w:rsid w:val="004C6BB0"/>
    <w:rsid w:val="004C6BD9"/>
    <w:rsid w:val="004C6C7F"/>
    <w:rsid w:val="004C6CC2"/>
    <w:rsid w:val="004C70CF"/>
    <w:rsid w:val="004C7166"/>
    <w:rsid w:val="004C7251"/>
    <w:rsid w:val="004C7499"/>
    <w:rsid w:val="004C7590"/>
    <w:rsid w:val="004C76EB"/>
    <w:rsid w:val="004C7C1E"/>
    <w:rsid w:val="004C7C51"/>
    <w:rsid w:val="004C7C8A"/>
    <w:rsid w:val="004C7CAA"/>
    <w:rsid w:val="004C7CCE"/>
    <w:rsid w:val="004C7DE8"/>
    <w:rsid w:val="004C7E1D"/>
    <w:rsid w:val="004D03D3"/>
    <w:rsid w:val="004D04EE"/>
    <w:rsid w:val="004D0553"/>
    <w:rsid w:val="004D056D"/>
    <w:rsid w:val="004D05ED"/>
    <w:rsid w:val="004D0715"/>
    <w:rsid w:val="004D08EF"/>
    <w:rsid w:val="004D0B34"/>
    <w:rsid w:val="004D0BE3"/>
    <w:rsid w:val="004D0E59"/>
    <w:rsid w:val="004D11D7"/>
    <w:rsid w:val="004D12F5"/>
    <w:rsid w:val="004D1462"/>
    <w:rsid w:val="004D17E4"/>
    <w:rsid w:val="004D18A5"/>
    <w:rsid w:val="004D19BB"/>
    <w:rsid w:val="004D1A56"/>
    <w:rsid w:val="004D1A7B"/>
    <w:rsid w:val="004D1B13"/>
    <w:rsid w:val="004D1CAD"/>
    <w:rsid w:val="004D1EA9"/>
    <w:rsid w:val="004D2285"/>
    <w:rsid w:val="004D22CE"/>
    <w:rsid w:val="004D236F"/>
    <w:rsid w:val="004D25A0"/>
    <w:rsid w:val="004D2603"/>
    <w:rsid w:val="004D2696"/>
    <w:rsid w:val="004D2803"/>
    <w:rsid w:val="004D281A"/>
    <w:rsid w:val="004D2A96"/>
    <w:rsid w:val="004D2D3D"/>
    <w:rsid w:val="004D2E45"/>
    <w:rsid w:val="004D2ED7"/>
    <w:rsid w:val="004D303C"/>
    <w:rsid w:val="004D314E"/>
    <w:rsid w:val="004D3151"/>
    <w:rsid w:val="004D31B6"/>
    <w:rsid w:val="004D324D"/>
    <w:rsid w:val="004D3272"/>
    <w:rsid w:val="004D32FE"/>
    <w:rsid w:val="004D3305"/>
    <w:rsid w:val="004D3386"/>
    <w:rsid w:val="004D346B"/>
    <w:rsid w:val="004D3480"/>
    <w:rsid w:val="004D35CF"/>
    <w:rsid w:val="004D36EC"/>
    <w:rsid w:val="004D377A"/>
    <w:rsid w:val="004D3A6B"/>
    <w:rsid w:val="004D3B7A"/>
    <w:rsid w:val="004D3C83"/>
    <w:rsid w:val="004D3D2F"/>
    <w:rsid w:val="004D3D56"/>
    <w:rsid w:val="004D3D86"/>
    <w:rsid w:val="004D3F09"/>
    <w:rsid w:val="004D40D1"/>
    <w:rsid w:val="004D417A"/>
    <w:rsid w:val="004D41A5"/>
    <w:rsid w:val="004D41EA"/>
    <w:rsid w:val="004D42C7"/>
    <w:rsid w:val="004D4441"/>
    <w:rsid w:val="004D45F5"/>
    <w:rsid w:val="004D46B5"/>
    <w:rsid w:val="004D4715"/>
    <w:rsid w:val="004D47BB"/>
    <w:rsid w:val="004D47EA"/>
    <w:rsid w:val="004D4A3A"/>
    <w:rsid w:val="004D4AD7"/>
    <w:rsid w:val="004D4B3A"/>
    <w:rsid w:val="004D4CA7"/>
    <w:rsid w:val="004D4D38"/>
    <w:rsid w:val="004D4D81"/>
    <w:rsid w:val="004D4DC7"/>
    <w:rsid w:val="004D4FF6"/>
    <w:rsid w:val="004D519C"/>
    <w:rsid w:val="004D51D7"/>
    <w:rsid w:val="004D5338"/>
    <w:rsid w:val="004D5367"/>
    <w:rsid w:val="004D53CA"/>
    <w:rsid w:val="004D565B"/>
    <w:rsid w:val="004D589B"/>
    <w:rsid w:val="004D5965"/>
    <w:rsid w:val="004D5AF7"/>
    <w:rsid w:val="004D5B22"/>
    <w:rsid w:val="004D5D5B"/>
    <w:rsid w:val="004D5E0D"/>
    <w:rsid w:val="004D5F2C"/>
    <w:rsid w:val="004D6197"/>
    <w:rsid w:val="004D624C"/>
    <w:rsid w:val="004D629A"/>
    <w:rsid w:val="004D6356"/>
    <w:rsid w:val="004D684B"/>
    <w:rsid w:val="004D6BE6"/>
    <w:rsid w:val="004D6CC6"/>
    <w:rsid w:val="004D6D32"/>
    <w:rsid w:val="004D6DE8"/>
    <w:rsid w:val="004D6E3D"/>
    <w:rsid w:val="004D7108"/>
    <w:rsid w:val="004D71A0"/>
    <w:rsid w:val="004D7289"/>
    <w:rsid w:val="004D7320"/>
    <w:rsid w:val="004D7373"/>
    <w:rsid w:val="004D750D"/>
    <w:rsid w:val="004D754C"/>
    <w:rsid w:val="004D770D"/>
    <w:rsid w:val="004D7733"/>
    <w:rsid w:val="004D7780"/>
    <w:rsid w:val="004D7800"/>
    <w:rsid w:val="004D7829"/>
    <w:rsid w:val="004D7A4B"/>
    <w:rsid w:val="004D7A5E"/>
    <w:rsid w:val="004D7D4E"/>
    <w:rsid w:val="004D7E0C"/>
    <w:rsid w:val="004D7E85"/>
    <w:rsid w:val="004D7EB2"/>
    <w:rsid w:val="004E002B"/>
    <w:rsid w:val="004E02C6"/>
    <w:rsid w:val="004E046F"/>
    <w:rsid w:val="004E0623"/>
    <w:rsid w:val="004E08A7"/>
    <w:rsid w:val="004E0918"/>
    <w:rsid w:val="004E0948"/>
    <w:rsid w:val="004E0CA2"/>
    <w:rsid w:val="004E0CF4"/>
    <w:rsid w:val="004E0EC2"/>
    <w:rsid w:val="004E0F17"/>
    <w:rsid w:val="004E0F3D"/>
    <w:rsid w:val="004E0FCE"/>
    <w:rsid w:val="004E104F"/>
    <w:rsid w:val="004E105C"/>
    <w:rsid w:val="004E10D7"/>
    <w:rsid w:val="004E145F"/>
    <w:rsid w:val="004E157A"/>
    <w:rsid w:val="004E17A1"/>
    <w:rsid w:val="004E185F"/>
    <w:rsid w:val="004E1B4A"/>
    <w:rsid w:val="004E1C16"/>
    <w:rsid w:val="004E1DCC"/>
    <w:rsid w:val="004E1FD3"/>
    <w:rsid w:val="004E1FE3"/>
    <w:rsid w:val="004E219A"/>
    <w:rsid w:val="004E2228"/>
    <w:rsid w:val="004E2597"/>
    <w:rsid w:val="004E25F1"/>
    <w:rsid w:val="004E27A6"/>
    <w:rsid w:val="004E2A3D"/>
    <w:rsid w:val="004E2CF7"/>
    <w:rsid w:val="004E3012"/>
    <w:rsid w:val="004E3109"/>
    <w:rsid w:val="004E3392"/>
    <w:rsid w:val="004E3512"/>
    <w:rsid w:val="004E35C3"/>
    <w:rsid w:val="004E368E"/>
    <w:rsid w:val="004E36A1"/>
    <w:rsid w:val="004E3725"/>
    <w:rsid w:val="004E37BD"/>
    <w:rsid w:val="004E384A"/>
    <w:rsid w:val="004E387D"/>
    <w:rsid w:val="004E38D7"/>
    <w:rsid w:val="004E392D"/>
    <w:rsid w:val="004E3B57"/>
    <w:rsid w:val="004E3D67"/>
    <w:rsid w:val="004E3F9F"/>
    <w:rsid w:val="004E4025"/>
    <w:rsid w:val="004E42FE"/>
    <w:rsid w:val="004E43B0"/>
    <w:rsid w:val="004E45E5"/>
    <w:rsid w:val="004E45ED"/>
    <w:rsid w:val="004E4925"/>
    <w:rsid w:val="004E4A06"/>
    <w:rsid w:val="004E4C85"/>
    <w:rsid w:val="004E4CC1"/>
    <w:rsid w:val="004E4FB4"/>
    <w:rsid w:val="004E5181"/>
    <w:rsid w:val="004E528B"/>
    <w:rsid w:val="004E5679"/>
    <w:rsid w:val="004E59E7"/>
    <w:rsid w:val="004E5AB8"/>
    <w:rsid w:val="004E5B68"/>
    <w:rsid w:val="004E5CAC"/>
    <w:rsid w:val="004E5EC6"/>
    <w:rsid w:val="004E6181"/>
    <w:rsid w:val="004E6214"/>
    <w:rsid w:val="004E6225"/>
    <w:rsid w:val="004E6352"/>
    <w:rsid w:val="004E639D"/>
    <w:rsid w:val="004E663D"/>
    <w:rsid w:val="004E666F"/>
    <w:rsid w:val="004E6A4F"/>
    <w:rsid w:val="004E6B72"/>
    <w:rsid w:val="004E6C70"/>
    <w:rsid w:val="004E6E1B"/>
    <w:rsid w:val="004E6E87"/>
    <w:rsid w:val="004E7075"/>
    <w:rsid w:val="004E707F"/>
    <w:rsid w:val="004E70CB"/>
    <w:rsid w:val="004E7451"/>
    <w:rsid w:val="004E74AC"/>
    <w:rsid w:val="004E78AA"/>
    <w:rsid w:val="004E7AE0"/>
    <w:rsid w:val="004E7B28"/>
    <w:rsid w:val="004E7D53"/>
    <w:rsid w:val="004E7F1E"/>
    <w:rsid w:val="004E7F5C"/>
    <w:rsid w:val="004F0762"/>
    <w:rsid w:val="004F079F"/>
    <w:rsid w:val="004F07B0"/>
    <w:rsid w:val="004F07D6"/>
    <w:rsid w:val="004F0807"/>
    <w:rsid w:val="004F09DA"/>
    <w:rsid w:val="004F0B12"/>
    <w:rsid w:val="004F0BDA"/>
    <w:rsid w:val="004F0C27"/>
    <w:rsid w:val="004F0CA1"/>
    <w:rsid w:val="004F0D3F"/>
    <w:rsid w:val="004F0F59"/>
    <w:rsid w:val="004F108B"/>
    <w:rsid w:val="004F10EE"/>
    <w:rsid w:val="004F114F"/>
    <w:rsid w:val="004F12CB"/>
    <w:rsid w:val="004F12EE"/>
    <w:rsid w:val="004F1314"/>
    <w:rsid w:val="004F188B"/>
    <w:rsid w:val="004F1A2E"/>
    <w:rsid w:val="004F1B5F"/>
    <w:rsid w:val="004F1CD0"/>
    <w:rsid w:val="004F1E6D"/>
    <w:rsid w:val="004F1F64"/>
    <w:rsid w:val="004F1FB6"/>
    <w:rsid w:val="004F233E"/>
    <w:rsid w:val="004F250D"/>
    <w:rsid w:val="004F2528"/>
    <w:rsid w:val="004F25C2"/>
    <w:rsid w:val="004F26A1"/>
    <w:rsid w:val="004F2804"/>
    <w:rsid w:val="004F2E76"/>
    <w:rsid w:val="004F30E6"/>
    <w:rsid w:val="004F3121"/>
    <w:rsid w:val="004F3428"/>
    <w:rsid w:val="004F34A7"/>
    <w:rsid w:val="004F34B4"/>
    <w:rsid w:val="004F36AC"/>
    <w:rsid w:val="004F36E6"/>
    <w:rsid w:val="004F3796"/>
    <w:rsid w:val="004F37FD"/>
    <w:rsid w:val="004F39CD"/>
    <w:rsid w:val="004F3A55"/>
    <w:rsid w:val="004F3B16"/>
    <w:rsid w:val="004F3B99"/>
    <w:rsid w:val="004F405E"/>
    <w:rsid w:val="004F409B"/>
    <w:rsid w:val="004F40CD"/>
    <w:rsid w:val="004F4248"/>
    <w:rsid w:val="004F4277"/>
    <w:rsid w:val="004F43A0"/>
    <w:rsid w:val="004F4406"/>
    <w:rsid w:val="004F44E0"/>
    <w:rsid w:val="004F467B"/>
    <w:rsid w:val="004F47F5"/>
    <w:rsid w:val="004F4857"/>
    <w:rsid w:val="004F4877"/>
    <w:rsid w:val="004F489F"/>
    <w:rsid w:val="004F49F0"/>
    <w:rsid w:val="004F4B1B"/>
    <w:rsid w:val="004F4EBC"/>
    <w:rsid w:val="004F50F2"/>
    <w:rsid w:val="004F51D8"/>
    <w:rsid w:val="004F523A"/>
    <w:rsid w:val="004F52C4"/>
    <w:rsid w:val="004F54B1"/>
    <w:rsid w:val="004F5601"/>
    <w:rsid w:val="004F5649"/>
    <w:rsid w:val="004F566E"/>
    <w:rsid w:val="004F596E"/>
    <w:rsid w:val="004F5A97"/>
    <w:rsid w:val="004F5B25"/>
    <w:rsid w:val="004F5C03"/>
    <w:rsid w:val="004F5D29"/>
    <w:rsid w:val="004F5FC3"/>
    <w:rsid w:val="004F6059"/>
    <w:rsid w:val="004F619A"/>
    <w:rsid w:val="004F6279"/>
    <w:rsid w:val="004F6401"/>
    <w:rsid w:val="004F6793"/>
    <w:rsid w:val="004F688E"/>
    <w:rsid w:val="004F68BA"/>
    <w:rsid w:val="004F6B59"/>
    <w:rsid w:val="004F6BCB"/>
    <w:rsid w:val="004F6E17"/>
    <w:rsid w:val="004F6F2C"/>
    <w:rsid w:val="004F6F4A"/>
    <w:rsid w:val="004F6F9E"/>
    <w:rsid w:val="004F7002"/>
    <w:rsid w:val="004F7071"/>
    <w:rsid w:val="004F7279"/>
    <w:rsid w:val="004F74AB"/>
    <w:rsid w:val="004F74D0"/>
    <w:rsid w:val="004F7586"/>
    <w:rsid w:val="004F76CC"/>
    <w:rsid w:val="004F784D"/>
    <w:rsid w:val="004F7BAE"/>
    <w:rsid w:val="004F7D0E"/>
    <w:rsid w:val="004F7D47"/>
    <w:rsid w:val="004F7D8B"/>
    <w:rsid w:val="004F7DB9"/>
    <w:rsid w:val="004F7DCA"/>
    <w:rsid w:val="0050008C"/>
    <w:rsid w:val="0050011C"/>
    <w:rsid w:val="005002AC"/>
    <w:rsid w:val="005003C2"/>
    <w:rsid w:val="00500448"/>
    <w:rsid w:val="00500614"/>
    <w:rsid w:val="0050085C"/>
    <w:rsid w:val="00500BE3"/>
    <w:rsid w:val="00501089"/>
    <w:rsid w:val="00501256"/>
    <w:rsid w:val="00501287"/>
    <w:rsid w:val="0050164E"/>
    <w:rsid w:val="005016CE"/>
    <w:rsid w:val="005016D7"/>
    <w:rsid w:val="00501875"/>
    <w:rsid w:val="00501965"/>
    <w:rsid w:val="00501F75"/>
    <w:rsid w:val="005020F2"/>
    <w:rsid w:val="00502193"/>
    <w:rsid w:val="0050233D"/>
    <w:rsid w:val="0050239D"/>
    <w:rsid w:val="00502437"/>
    <w:rsid w:val="00502508"/>
    <w:rsid w:val="005025EF"/>
    <w:rsid w:val="005027AA"/>
    <w:rsid w:val="005028EC"/>
    <w:rsid w:val="005029D9"/>
    <w:rsid w:val="00502CE7"/>
    <w:rsid w:val="00502DC8"/>
    <w:rsid w:val="00502F49"/>
    <w:rsid w:val="00502F89"/>
    <w:rsid w:val="00503195"/>
    <w:rsid w:val="005031C8"/>
    <w:rsid w:val="005036A8"/>
    <w:rsid w:val="005039BD"/>
    <w:rsid w:val="00503AED"/>
    <w:rsid w:val="00503C5E"/>
    <w:rsid w:val="00503C95"/>
    <w:rsid w:val="00503D1B"/>
    <w:rsid w:val="00503E08"/>
    <w:rsid w:val="00503E50"/>
    <w:rsid w:val="00503F98"/>
    <w:rsid w:val="0050408A"/>
    <w:rsid w:val="00504095"/>
    <w:rsid w:val="005044B1"/>
    <w:rsid w:val="00504542"/>
    <w:rsid w:val="00504719"/>
    <w:rsid w:val="00504805"/>
    <w:rsid w:val="0050487E"/>
    <w:rsid w:val="00504977"/>
    <w:rsid w:val="005049A2"/>
    <w:rsid w:val="00504A86"/>
    <w:rsid w:val="00504B3A"/>
    <w:rsid w:val="00504C3D"/>
    <w:rsid w:val="00504CE3"/>
    <w:rsid w:val="00504F63"/>
    <w:rsid w:val="00504FE8"/>
    <w:rsid w:val="005051AF"/>
    <w:rsid w:val="005051B4"/>
    <w:rsid w:val="005052B8"/>
    <w:rsid w:val="0050547E"/>
    <w:rsid w:val="0050585E"/>
    <w:rsid w:val="00505ACB"/>
    <w:rsid w:val="00505BE9"/>
    <w:rsid w:val="00505E57"/>
    <w:rsid w:val="00505F75"/>
    <w:rsid w:val="00506042"/>
    <w:rsid w:val="0050619D"/>
    <w:rsid w:val="00506390"/>
    <w:rsid w:val="00506437"/>
    <w:rsid w:val="00506499"/>
    <w:rsid w:val="005065B1"/>
    <w:rsid w:val="005066C4"/>
    <w:rsid w:val="005069E9"/>
    <w:rsid w:val="00506A00"/>
    <w:rsid w:val="00506AC9"/>
    <w:rsid w:val="00506C2D"/>
    <w:rsid w:val="00506CA2"/>
    <w:rsid w:val="00506D8C"/>
    <w:rsid w:val="00506E5A"/>
    <w:rsid w:val="00506ED5"/>
    <w:rsid w:val="00506F45"/>
    <w:rsid w:val="00506F80"/>
    <w:rsid w:val="00507104"/>
    <w:rsid w:val="00507371"/>
    <w:rsid w:val="00507479"/>
    <w:rsid w:val="0050748F"/>
    <w:rsid w:val="005074FE"/>
    <w:rsid w:val="00507557"/>
    <w:rsid w:val="00507592"/>
    <w:rsid w:val="005078FF"/>
    <w:rsid w:val="00507DAB"/>
    <w:rsid w:val="00507DC6"/>
    <w:rsid w:val="005100E8"/>
    <w:rsid w:val="0051010B"/>
    <w:rsid w:val="0051040B"/>
    <w:rsid w:val="005108E7"/>
    <w:rsid w:val="00510B6E"/>
    <w:rsid w:val="00510BCC"/>
    <w:rsid w:val="00510D65"/>
    <w:rsid w:val="00510E4A"/>
    <w:rsid w:val="00510F9D"/>
    <w:rsid w:val="00510FB9"/>
    <w:rsid w:val="00511139"/>
    <w:rsid w:val="005112FE"/>
    <w:rsid w:val="005113F5"/>
    <w:rsid w:val="0051142A"/>
    <w:rsid w:val="00511476"/>
    <w:rsid w:val="005114F3"/>
    <w:rsid w:val="0051159D"/>
    <w:rsid w:val="0051170B"/>
    <w:rsid w:val="0051177E"/>
    <w:rsid w:val="00511953"/>
    <w:rsid w:val="00511D7E"/>
    <w:rsid w:val="00511EB1"/>
    <w:rsid w:val="005120D5"/>
    <w:rsid w:val="0051210D"/>
    <w:rsid w:val="005121AD"/>
    <w:rsid w:val="005121B0"/>
    <w:rsid w:val="005123FD"/>
    <w:rsid w:val="00512C53"/>
    <w:rsid w:val="00512CD2"/>
    <w:rsid w:val="00512D58"/>
    <w:rsid w:val="00512FE2"/>
    <w:rsid w:val="00513072"/>
    <w:rsid w:val="00513203"/>
    <w:rsid w:val="00513387"/>
    <w:rsid w:val="00513653"/>
    <w:rsid w:val="005136B4"/>
    <w:rsid w:val="00513703"/>
    <w:rsid w:val="00513731"/>
    <w:rsid w:val="005138E8"/>
    <w:rsid w:val="0051393B"/>
    <w:rsid w:val="00513B7E"/>
    <w:rsid w:val="00513CF6"/>
    <w:rsid w:val="00513D6F"/>
    <w:rsid w:val="00513DCD"/>
    <w:rsid w:val="00513FB0"/>
    <w:rsid w:val="005140D5"/>
    <w:rsid w:val="005141C3"/>
    <w:rsid w:val="005143A2"/>
    <w:rsid w:val="005144DC"/>
    <w:rsid w:val="00514A1E"/>
    <w:rsid w:val="00514A64"/>
    <w:rsid w:val="00514CC6"/>
    <w:rsid w:val="00514ED8"/>
    <w:rsid w:val="00515095"/>
    <w:rsid w:val="005150B7"/>
    <w:rsid w:val="00515209"/>
    <w:rsid w:val="005152A1"/>
    <w:rsid w:val="005153EF"/>
    <w:rsid w:val="00515443"/>
    <w:rsid w:val="0051595E"/>
    <w:rsid w:val="00515C59"/>
    <w:rsid w:val="00515E6D"/>
    <w:rsid w:val="00515FEB"/>
    <w:rsid w:val="00516135"/>
    <w:rsid w:val="00516327"/>
    <w:rsid w:val="0051659F"/>
    <w:rsid w:val="005165DF"/>
    <w:rsid w:val="00516878"/>
    <w:rsid w:val="005168AD"/>
    <w:rsid w:val="00516A98"/>
    <w:rsid w:val="00516AFC"/>
    <w:rsid w:val="00516D96"/>
    <w:rsid w:val="0051702C"/>
    <w:rsid w:val="00517244"/>
    <w:rsid w:val="0051740F"/>
    <w:rsid w:val="005178C0"/>
    <w:rsid w:val="005178E4"/>
    <w:rsid w:val="00517A3E"/>
    <w:rsid w:val="00517A65"/>
    <w:rsid w:val="00517B18"/>
    <w:rsid w:val="0052022D"/>
    <w:rsid w:val="005202DB"/>
    <w:rsid w:val="0052035B"/>
    <w:rsid w:val="005205A2"/>
    <w:rsid w:val="005207C1"/>
    <w:rsid w:val="005210E7"/>
    <w:rsid w:val="00521133"/>
    <w:rsid w:val="0052115A"/>
    <w:rsid w:val="0052136D"/>
    <w:rsid w:val="005213E4"/>
    <w:rsid w:val="00521410"/>
    <w:rsid w:val="005215E0"/>
    <w:rsid w:val="0052161C"/>
    <w:rsid w:val="00521927"/>
    <w:rsid w:val="0052198A"/>
    <w:rsid w:val="00521B59"/>
    <w:rsid w:val="00521C63"/>
    <w:rsid w:val="00521D98"/>
    <w:rsid w:val="00522128"/>
    <w:rsid w:val="005221BD"/>
    <w:rsid w:val="00522474"/>
    <w:rsid w:val="0052252F"/>
    <w:rsid w:val="005227F5"/>
    <w:rsid w:val="00522E37"/>
    <w:rsid w:val="00522ECD"/>
    <w:rsid w:val="00523372"/>
    <w:rsid w:val="00523423"/>
    <w:rsid w:val="00523458"/>
    <w:rsid w:val="005235B4"/>
    <w:rsid w:val="0052375C"/>
    <w:rsid w:val="005238C3"/>
    <w:rsid w:val="00523CFB"/>
    <w:rsid w:val="00523DFD"/>
    <w:rsid w:val="00524004"/>
    <w:rsid w:val="00524111"/>
    <w:rsid w:val="00524113"/>
    <w:rsid w:val="0052419A"/>
    <w:rsid w:val="00524241"/>
    <w:rsid w:val="005243E3"/>
    <w:rsid w:val="00524479"/>
    <w:rsid w:val="00524756"/>
    <w:rsid w:val="005248F0"/>
    <w:rsid w:val="00524BAB"/>
    <w:rsid w:val="00524C31"/>
    <w:rsid w:val="00524E3F"/>
    <w:rsid w:val="00524F1C"/>
    <w:rsid w:val="0052502E"/>
    <w:rsid w:val="005250BE"/>
    <w:rsid w:val="005250F2"/>
    <w:rsid w:val="005253E2"/>
    <w:rsid w:val="00525590"/>
    <w:rsid w:val="005257BA"/>
    <w:rsid w:val="005257DB"/>
    <w:rsid w:val="00525BD2"/>
    <w:rsid w:val="00525D02"/>
    <w:rsid w:val="00525D16"/>
    <w:rsid w:val="00525D96"/>
    <w:rsid w:val="00525FB8"/>
    <w:rsid w:val="0052601B"/>
    <w:rsid w:val="005260F4"/>
    <w:rsid w:val="00526196"/>
    <w:rsid w:val="005261CB"/>
    <w:rsid w:val="00526532"/>
    <w:rsid w:val="005266F8"/>
    <w:rsid w:val="00526B09"/>
    <w:rsid w:val="00526C6C"/>
    <w:rsid w:val="00526E1B"/>
    <w:rsid w:val="00526E2B"/>
    <w:rsid w:val="0052700E"/>
    <w:rsid w:val="00527179"/>
    <w:rsid w:val="005271D9"/>
    <w:rsid w:val="005272AA"/>
    <w:rsid w:val="0052734A"/>
    <w:rsid w:val="00527445"/>
    <w:rsid w:val="00527482"/>
    <w:rsid w:val="005275AB"/>
    <w:rsid w:val="0052766F"/>
    <w:rsid w:val="00527732"/>
    <w:rsid w:val="005278D7"/>
    <w:rsid w:val="00527A1F"/>
    <w:rsid w:val="00527A6E"/>
    <w:rsid w:val="00527B21"/>
    <w:rsid w:val="00527BA1"/>
    <w:rsid w:val="00527CE9"/>
    <w:rsid w:val="00527E07"/>
    <w:rsid w:val="00527E90"/>
    <w:rsid w:val="00527EB4"/>
    <w:rsid w:val="005300A9"/>
    <w:rsid w:val="00530134"/>
    <w:rsid w:val="00530247"/>
    <w:rsid w:val="005304C3"/>
    <w:rsid w:val="00530741"/>
    <w:rsid w:val="0053083B"/>
    <w:rsid w:val="00530B19"/>
    <w:rsid w:val="00530B8D"/>
    <w:rsid w:val="00530CB6"/>
    <w:rsid w:val="00530CBD"/>
    <w:rsid w:val="00530D4A"/>
    <w:rsid w:val="00530E85"/>
    <w:rsid w:val="00530F15"/>
    <w:rsid w:val="00530FCD"/>
    <w:rsid w:val="0053103F"/>
    <w:rsid w:val="00531063"/>
    <w:rsid w:val="0053117F"/>
    <w:rsid w:val="00531A82"/>
    <w:rsid w:val="00531C32"/>
    <w:rsid w:val="00531E1F"/>
    <w:rsid w:val="00531EAD"/>
    <w:rsid w:val="00531FEE"/>
    <w:rsid w:val="0053200C"/>
    <w:rsid w:val="005320BF"/>
    <w:rsid w:val="0053215A"/>
    <w:rsid w:val="005321E4"/>
    <w:rsid w:val="0053228A"/>
    <w:rsid w:val="005322FA"/>
    <w:rsid w:val="0053256F"/>
    <w:rsid w:val="005329B0"/>
    <w:rsid w:val="00532B1E"/>
    <w:rsid w:val="00532C4C"/>
    <w:rsid w:val="00532D73"/>
    <w:rsid w:val="00532F77"/>
    <w:rsid w:val="00532FB0"/>
    <w:rsid w:val="00533166"/>
    <w:rsid w:val="005334F7"/>
    <w:rsid w:val="0053358B"/>
    <w:rsid w:val="005335CA"/>
    <w:rsid w:val="005336CC"/>
    <w:rsid w:val="00533747"/>
    <w:rsid w:val="005338BF"/>
    <w:rsid w:val="005338C5"/>
    <w:rsid w:val="00533A1D"/>
    <w:rsid w:val="00533AE3"/>
    <w:rsid w:val="00533B69"/>
    <w:rsid w:val="00534048"/>
    <w:rsid w:val="00534195"/>
    <w:rsid w:val="005341E3"/>
    <w:rsid w:val="00534226"/>
    <w:rsid w:val="00534626"/>
    <w:rsid w:val="00534933"/>
    <w:rsid w:val="005349B8"/>
    <w:rsid w:val="00534A62"/>
    <w:rsid w:val="00534BCF"/>
    <w:rsid w:val="00534C78"/>
    <w:rsid w:val="00534DB5"/>
    <w:rsid w:val="00534E7E"/>
    <w:rsid w:val="00534FCB"/>
    <w:rsid w:val="00535120"/>
    <w:rsid w:val="00535149"/>
    <w:rsid w:val="0053560D"/>
    <w:rsid w:val="00535761"/>
    <w:rsid w:val="00535A08"/>
    <w:rsid w:val="00535DE4"/>
    <w:rsid w:val="0053606C"/>
    <w:rsid w:val="00536073"/>
    <w:rsid w:val="00536141"/>
    <w:rsid w:val="005361BF"/>
    <w:rsid w:val="005361D1"/>
    <w:rsid w:val="00536237"/>
    <w:rsid w:val="005362AA"/>
    <w:rsid w:val="0053630A"/>
    <w:rsid w:val="005366D8"/>
    <w:rsid w:val="005366E3"/>
    <w:rsid w:val="00536838"/>
    <w:rsid w:val="0053687A"/>
    <w:rsid w:val="00536936"/>
    <w:rsid w:val="00536972"/>
    <w:rsid w:val="00536986"/>
    <w:rsid w:val="00536BF8"/>
    <w:rsid w:val="00536D61"/>
    <w:rsid w:val="00536E58"/>
    <w:rsid w:val="005370E9"/>
    <w:rsid w:val="005371FE"/>
    <w:rsid w:val="00537281"/>
    <w:rsid w:val="005372FB"/>
    <w:rsid w:val="005374D2"/>
    <w:rsid w:val="00537558"/>
    <w:rsid w:val="005376A7"/>
    <w:rsid w:val="005377A0"/>
    <w:rsid w:val="005377EB"/>
    <w:rsid w:val="0053786D"/>
    <w:rsid w:val="00537ACC"/>
    <w:rsid w:val="00537E87"/>
    <w:rsid w:val="00537EFC"/>
    <w:rsid w:val="005400F7"/>
    <w:rsid w:val="0054027D"/>
    <w:rsid w:val="00540352"/>
    <w:rsid w:val="005404FC"/>
    <w:rsid w:val="00540739"/>
    <w:rsid w:val="00540753"/>
    <w:rsid w:val="00540B35"/>
    <w:rsid w:val="00540FB2"/>
    <w:rsid w:val="00541132"/>
    <w:rsid w:val="00541172"/>
    <w:rsid w:val="005411B4"/>
    <w:rsid w:val="00541525"/>
    <w:rsid w:val="00541C1E"/>
    <w:rsid w:val="00541D30"/>
    <w:rsid w:val="00541DE6"/>
    <w:rsid w:val="00541FD5"/>
    <w:rsid w:val="00542159"/>
    <w:rsid w:val="00542336"/>
    <w:rsid w:val="00542355"/>
    <w:rsid w:val="00542675"/>
    <w:rsid w:val="005426A1"/>
    <w:rsid w:val="005426A4"/>
    <w:rsid w:val="0054294D"/>
    <w:rsid w:val="00542B07"/>
    <w:rsid w:val="00542BA5"/>
    <w:rsid w:val="00542CE8"/>
    <w:rsid w:val="005431D5"/>
    <w:rsid w:val="005433AB"/>
    <w:rsid w:val="0054370F"/>
    <w:rsid w:val="00543752"/>
    <w:rsid w:val="00543980"/>
    <w:rsid w:val="00543B58"/>
    <w:rsid w:val="00543B73"/>
    <w:rsid w:val="00543D1A"/>
    <w:rsid w:val="00543EF1"/>
    <w:rsid w:val="005442F9"/>
    <w:rsid w:val="0054455A"/>
    <w:rsid w:val="00544570"/>
    <w:rsid w:val="005445D0"/>
    <w:rsid w:val="00544741"/>
    <w:rsid w:val="005449B6"/>
    <w:rsid w:val="00544B1E"/>
    <w:rsid w:val="00544C4E"/>
    <w:rsid w:val="00544C7F"/>
    <w:rsid w:val="00544CE2"/>
    <w:rsid w:val="00544E1B"/>
    <w:rsid w:val="00544EC7"/>
    <w:rsid w:val="0054504F"/>
    <w:rsid w:val="00545302"/>
    <w:rsid w:val="0054533A"/>
    <w:rsid w:val="0054547B"/>
    <w:rsid w:val="0054552E"/>
    <w:rsid w:val="0054562E"/>
    <w:rsid w:val="00545718"/>
    <w:rsid w:val="005457F2"/>
    <w:rsid w:val="005458E1"/>
    <w:rsid w:val="005459E7"/>
    <w:rsid w:val="00545C04"/>
    <w:rsid w:val="00545C07"/>
    <w:rsid w:val="00545E21"/>
    <w:rsid w:val="00545E44"/>
    <w:rsid w:val="00546093"/>
    <w:rsid w:val="0054620F"/>
    <w:rsid w:val="00546397"/>
    <w:rsid w:val="00546892"/>
    <w:rsid w:val="00546961"/>
    <w:rsid w:val="00546B01"/>
    <w:rsid w:val="00546D02"/>
    <w:rsid w:val="00546F4A"/>
    <w:rsid w:val="00547059"/>
    <w:rsid w:val="0054721E"/>
    <w:rsid w:val="0054722F"/>
    <w:rsid w:val="00547485"/>
    <w:rsid w:val="00547647"/>
    <w:rsid w:val="00547665"/>
    <w:rsid w:val="00547684"/>
    <w:rsid w:val="005476DA"/>
    <w:rsid w:val="00547762"/>
    <w:rsid w:val="00547834"/>
    <w:rsid w:val="0054794B"/>
    <w:rsid w:val="00547B3D"/>
    <w:rsid w:val="00547BC9"/>
    <w:rsid w:val="00547DFD"/>
    <w:rsid w:val="00547E21"/>
    <w:rsid w:val="00547E6A"/>
    <w:rsid w:val="00550257"/>
    <w:rsid w:val="00550402"/>
    <w:rsid w:val="00550427"/>
    <w:rsid w:val="005504E1"/>
    <w:rsid w:val="00550833"/>
    <w:rsid w:val="00550936"/>
    <w:rsid w:val="00550B26"/>
    <w:rsid w:val="00550D66"/>
    <w:rsid w:val="00550F9C"/>
    <w:rsid w:val="005513B8"/>
    <w:rsid w:val="00551542"/>
    <w:rsid w:val="005516C6"/>
    <w:rsid w:val="005516D8"/>
    <w:rsid w:val="005519D4"/>
    <w:rsid w:val="00551A84"/>
    <w:rsid w:val="00551BBF"/>
    <w:rsid w:val="00551C86"/>
    <w:rsid w:val="00551D37"/>
    <w:rsid w:val="00551F49"/>
    <w:rsid w:val="005521B9"/>
    <w:rsid w:val="00552268"/>
    <w:rsid w:val="00552269"/>
    <w:rsid w:val="005522CA"/>
    <w:rsid w:val="005522D9"/>
    <w:rsid w:val="005523A1"/>
    <w:rsid w:val="0055242F"/>
    <w:rsid w:val="005524E0"/>
    <w:rsid w:val="00552684"/>
    <w:rsid w:val="005526E8"/>
    <w:rsid w:val="005527EE"/>
    <w:rsid w:val="00552874"/>
    <w:rsid w:val="00552BB7"/>
    <w:rsid w:val="00552BE4"/>
    <w:rsid w:val="00552C3C"/>
    <w:rsid w:val="00552E07"/>
    <w:rsid w:val="00552EE9"/>
    <w:rsid w:val="00552F2C"/>
    <w:rsid w:val="005530AE"/>
    <w:rsid w:val="005532E5"/>
    <w:rsid w:val="0055345E"/>
    <w:rsid w:val="00553838"/>
    <w:rsid w:val="00553A69"/>
    <w:rsid w:val="00553ACA"/>
    <w:rsid w:val="00553C59"/>
    <w:rsid w:val="00553CCF"/>
    <w:rsid w:val="00553D14"/>
    <w:rsid w:val="00553EAD"/>
    <w:rsid w:val="00553F5E"/>
    <w:rsid w:val="005540DC"/>
    <w:rsid w:val="00554277"/>
    <w:rsid w:val="0055486D"/>
    <w:rsid w:val="00554A43"/>
    <w:rsid w:val="00554A44"/>
    <w:rsid w:val="00554ECB"/>
    <w:rsid w:val="00554F21"/>
    <w:rsid w:val="005552AC"/>
    <w:rsid w:val="005554DD"/>
    <w:rsid w:val="00555512"/>
    <w:rsid w:val="0055551A"/>
    <w:rsid w:val="005555E3"/>
    <w:rsid w:val="00555677"/>
    <w:rsid w:val="005557AD"/>
    <w:rsid w:val="005558BC"/>
    <w:rsid w:val="00555BB5"/>
    <w:rsid w:val="00555DF4"/>
    <w:rsid w:val="00555E31"/>
    <w:rsid w:val="00555F02"/>
    <w:rsid w:val="00555F1B"/>
    <w:rsid w:val="005563BF"/>
    <w:rsid w:val="0055641E"/>
    <w:rsid w:val="00556787"/>
    <w:rsid w:val="00556AE3"/>
    <w:rsid w:val="00556C93"/>
    <w:rsid w:val="00556DD3"/>
    <w:rsid w:val="00556ED0"/>
    <w:rsid w:val="00556EED"/>
    <w:rsid w:val="005570D4"/>
    <w:rsid w:val="0055719F"/>
    <w:rsid w:val="005571AC"/>
    <w:rsid w:val="00557229"/>
    <w:rsid w:val="0055751D"/>
    <w:rsid w:val="00557888"/>
    <w:rsid w:val="005579AA"/>
    <w:rsid w:val="00557A3A"/>
    <w:rsid w:val="00557CDA"/>
    <w:rsid w:val="00557F29"/>
    <w:rsid w:val="0056002E"/>
    <w:rsid w:val="0056006D"/>
    <w:rsid w:val="005600F8"/>
    <w:rsid w:val="0056013B"/>
    <w:rsid w:val="0056018A"/>
    <w:rsid w:val="00560337"/>
    <w:rsid w:val="005604A5"/>
    <w:rsid w:val="00560761"/>
    <w:rsid w:val="00560A56"/>
    <w:rsid w:val="00560AA8"/>
    <w:rsid w:val="00560B74"/>
    <w:rsid w:val="00560C2B"/>
    <w:rsid w:val="005610FE"/>
    <w:rsid w:val="0056120C"/>
    <w:rsid w:val="00561341"/>
    <w:rsid w:val="005613CC"/>
    <w:rsid w:val="00561473"/>
    <w:rsid w:val="005614D0"/>
    <w:rsid w:val="00561566"/>
    <w:rsid w:val="00561640"/>
    <w:rsid w:val="00561827"/>
    <w:rsid w:val="00561CDC"/>
    <w:rsid w:val="00561F74"/>
    <w:rsid w:val="00561FEA"/>
    <w:rsid w:val="005621FA"/>
    <w:rsid w:val="005622B7"/>
    <w:rsid w:val="00562362"/>
    <w:rsid w:val="00562481"/>
    <w:rsid w:val="005625CD"/>
    <w:rsid w:val="005626F7"/>
    <w:rsid w:val="00562701"/>
    <w:rsid w:val="00562A74"/>
    <w:rsid w:val="00562C7F"/>
    <w:rsid w:val="00562EAA"/>
    <w:rsid w:val="00562F29"/>
    <w:rsid w:val="00562FB3"/>
    <w:rsid w:val="00563315"/>
    <w:rsid w:val="0056341C"/>
    <w:rsid w:val="0056379E"/>
    <w:rsid w:val="00563A7B"/>
    <w:rsid w:val="00563B51"/>
    <w:rsid w:val="00563BC3"/>
    <w:rsid w:val="00563E50"/>
    <w:rsid w:val="00563EEF"/>
    <w:rsid w:val="00563F1B"/>
    <w:rsid w:val="00564121"/>
    <w:rsid w:val="00564134"/>
    <w:rsid w:val="00564142"/>
    <w:rsid w:val="0056419C"/>
    <w:rsid w:val="0056424E"/>
    <w:rsid w:val="005643C3"/>
    <w:rsid w:val="0056443D"/>
    <w:rsid w:val="00564548"/>
    <w:rsid w:val="00564859"/>
    <w:rsid w:val="00564DA9"/>
    <w:rsid w:val="00564DDE"/>
    <w:rsid w:val="0056501B"/>
    <w:rsid w:val="005650FC"/>
    <w:rsid w:val="0056515F"/>
    <w:rsid w:val="005651FA"/>
    <w:rsid w:val="00565218"/>
    <w:rsid w:val="00565341"/>
    <w:rsid w:val="005653C9"/>
    <w:rsid w:val="0056544D"/>
    <w:rsid w:val="005656E3"/>
    <w:rsid w:val="00565A4E"/>
    <w:rsid w:val="00565BAF"/>
    <w:rsid w:val="00565DB5"/>
    <w:rsid w:val="00565E9F"/>
    <w:rsid w:val="0056615E"/>
    <w:rsid w:val="00566267"/>
    <w:rsid w:val="00566303"/>
    <w:rsid w:val="0056641D"/>
    <w:rsid w:val="005665B7"/>
    <w:rsid w:val="00566657"/>
    <w:rsid w:val="00566C16"/>
    <w:rsid w:val="00567101"/>
    <w:rsid w:val="005671B4"/>
    <w:rsid w:val="005673FC"/>
    <w:rsid w:val="0056763E"/>
    <w:rsid w:val="005676A1"/>
    <w:rsid w:val="005678A4"/>
    <w:rsid w:val="00567955"/>
    <w:rsid w:val="00567958"/>
    <w:rsid w:val="005679D4"/>
    <w:rsid w:val="0056F582"/>
    <w:rsid w:val="00570142"/>
    <w:rsid w:val="00570204"/>
    <w:rsid w:val="005702FD"/>
    <w:rsid w:val="00570600"/>
    <w:rsid w:val="00570950"/>
    <w:rsid w:val="00570974"/>
    <w:rsid w:val="005709E0"/>
    <w:rsid w:val="00570C29"/>
    <w:rsid w:val="00570DE5"/>
    <w:rsid w:val="00570E78"/>
    <w:rsid w:val="00570F68"/>
    <w:rsid w:val="00570F87"/>
    <w:rsid w:val="00570FBC"/>
    <w:rsid w:val="00570FD5"/>
    <w:rsid w:val="00571327"/>
    <w:rsid w:val="0057173B"/>
    <w:rsid w:val="00571751"/>
    <w:rsid w:val="00571854"/>
    <w:rsid w:val="0057186C"/>
    <w:rsid w:val="00571CD1"/>
    <w:rsid w:val="00571D28"/>
    <w:rsid w:val="00571DC2"/>
    <w:rsid w:val="00571F1D"/>
    <w:rsid w:val="00571FEE"/>
    <w:rsid w:val="00572056"/>
    <w:rsid w:val="0057207B"/>
    <w:rsid w:val="005720AA"/>
    <w:rsid w:val="0057218A"/>
    <w:rsid w:val="00572199"/>
    <w:rsid w:val="005721A9"/>
    <w:rsid w:val="00572464"/>
    <w:rsid w:val="0057263F"/>
    <w:rsid w:val="0057266E"/>
    <w:rsid w:val="005727BC"/>
    <w:rsid w:val="0057283D"/>
    <w:rsid w:val="005728EB"/>
    <w:rsid w:val="00572966"/>
    <w:rsid w:val="005729C0"/>
    <w:rsid w:val="00572ACB"/>
    <w:rsid w:val="00572BAE"/>
    <w:rsid w:val="00572F6D"/>
    <w:rsid w:val="00572FA7"/>
    <w:rsid w:val="0057304E"/>
    <w:rsid w:val="005730E0"/>
    <w:rsid w:val="00573276"/>
    <w:rsid w:val="0057340F"/>
    <w:rsid w:val="00573664"/>
    <w:rsid w:val="005736C5"/>
    <w:rsid w:val="005738FD"/>
    <w:rsid w:val="00573AAD"/>
    <w:rsid w:val="00573C65"/>
    <w:rsid w:val="00573DF1"/>
    <w:rsid w:val="00573E10"/>
    <w:rsid w:val="00573F26"/>
    <w:rsid w:val="0057400A"/>
    <w:rsid w:val="00574023"/>
    <w:rsid w:val="00574077"/>
    <w:rsid w:val="00574090"/>
    <w:rsid w:val="00574105"/>
    <w:rsid w:val="005742A4"/>
    <w:rsid w:val="00574318"/>
    <w:rsid w:val="00574366"/>
    <w:rsid w:val="005743FD"/>
    <w:rsid w:val="00574410"/>
    <w:rsid w:val="00574764"/>
    <w:rsid w:val="00574A11"/>
    <w:rsid w:val="00574A8A"/>
    <w:rsid w:val="00574AF0"/>
    <w:rsid w:val="00574B65"/>
    <w:rsid w:val="00574DE8"/>
    <w:rsid w:val="00574FCD"/>
    <w:rsid w:val="0057531D"/>
    <w:rsid w:val="0057543F"/>
    <w:rsid w:val="0057547F"/>
    <w:rsid w:val="005754CE"/>
    <w:rsid w:val="005757F6"/>
    <w:rsid w:val="0057588E"/>
    <w:rsid w:val="00575A80"/>
    <w:rsid w:val="00575AC6"/>
    <w:rsid w:val="00575BD2"/>
    <w:rsid w:val="00575CAD"/>
    <w:rsid w:val="00575E39"/>
    <w:rsid w:val="00575F03"/>
    <w:rsid w:val="00575F2C"/>
    <w:rsid w:val="005760C4"/>
    <w:rsid w:val="00576193"/>
    <w:rsid w:val="005761FE"/>
    <w:rsid w:val="005763B5"/>
    <w:rsid w:val="005764AD"/>
    <w:rsid w:val="00576589"/>
    <w:rsid w:val="00576AE2"/>
    <w:rsid w:val="00576B4E"/>
    <w:rsid w:val="00576B8B"/>
    <w:rsid w:val="00576FDD"/>
    <w:rsid w:val="005771A8"/>
    <w:rsid w:val="005771D9"/>
    <w:rsid w:val="0057720E"/>
    <w:rsid w:val="00577854"/>
    <w:rsid w:val="00577A69"/>
    <w:rsid w:val="00577B97"/>
    <w:rsid w:val="00577BB8"/>
    <w:rsid w:val="00577F91"/>
    <w:rsid w:val="0057B0E6"/>
    <w:rsid w:val="0058070A"/>
    <w:rsid w:val="00580747"/>
    <w:rsid w:val="00580769"/>
    <w:rsid w:val="005807AF"/>
    <w:rsid w:val="00580ABF"/>
    <w:rsid w:val="00580ACB"/>
    <w:rsid w:val="00580D40"/>
    <w:rsid w:val="00580EF8"/>
    <w:rsid w:val="00580F76"/>
    <w:rsid w:val="00580FEB"/>
    <w:rsid w:val="00581036"/>
    <w:rsid w:val="005811F7"/>
    <w:rsid w:val="00581224"/>
    <w:rsid w:val="00581286"/>
    <w:rsid w:val="00581569"/>
    <w:rsid w:val="005815F0"/>
    <w:rsid w:val="005818AC"/>
    <w:rsid w:val="005818E5"/>
    <w:rsid w:val="005818EE"/>
    <w:rsid w:val="005819A0"/>
    <w:rsid w:val="00581A01"/>
    <w:rsid w:val="00581B8B"/>
    <w:rsid w:val="00581E79"/>
    <w:rsid w:val="005820C6"/>
    <w:rsid w:val="0058212B"/>
    <w:rsid w:val="00582217"/>
    <w:rsid w:val="0058222F"/>
    <w:rsid w:val="005824BE"/>
    <w:rsid w:val="0058273D"/>
    <w:rsid w:val="00582905"/>
    <w:rsid w:val="0058293E"/>
    <w:rsid w:val="005829A1"/>
    <w:rsid w:val="00582BA8"/>
    <w:rsid w:val="00582CF3"/>
    <w:rsid w:val="00582DA1"/>
    <w:rsid w:val="00582F53"/>
    <w:rsid w:val="00583005"/>
    <w:rsid w:val="0058339F"/>
    <w:rsid w:val="0058344E"/>
    <w:rsid w:val="0058351A"/>
    <w:rsid w:val="005835E1"/>
    <w:rsid w:val="00583768"/>
    <w:rsid w:val="00583A73"/>
    <w:rsid w:val="00583B56"/>
    <w:rsid w:val="00583DBC"/>
    <w:rsid w:val="00584094"/>
    <w:rsid w:val="0058410C"/>
    <w:rsid w:val="00584333"/>
    <w:rsid w:val="00584463"/>
    <w:rsid w:val="0058457D"/>
    <w:rsid w:val="00584699"/>
    <w:rsid w:val="005846FD"/>
    <w:rsid w:val="005847EB"/>
    <w:rsid w:val="0058490F"/>
    <w:rsid w:val="005849FB"/>
    <w:rsid w:val="00584B96"/>
    <w:rsid w:val="00584BF0"/>
    <w:rsid w:val="00584CCB"/>
    <w:rsid w:val="00584D11"/>
    <w:rsid w:val="00584D66"/>
    <w:rsid w:val="00584D82"/>
    <w:rsid w:val="00584EA3"/>
    <w:rsid w:val="00584F02"/>
    <w:rsid w:val="00584F06"/>
    <w:rsid w:val="00584F16"/>
    <w:rsid w:val="00584F5F"/>
    <w:rsid w:val="005850DE"/>
    <w:rsid w:val="00585204"/>
    <w:rsid w:val="00585253"/>
    <w:rsid w:val="005852CA"/>
    <w:rsid w:val="00585361"/>
    <w:rsid w:val="005853BE"/>
    <w:rsid w:val="00585717"/>
    <w:rsid w:val="005858DB"/>
    <w:rsid w:val="0058591B"/>
    <w:rsid w:val="00585AEE"/>
    <w:rsid w:val="00585CE4"/>
    <w:rsid w:val="00585E9B"/>
    <w:rsid w:val="00585EF5"/>
    <w:rsid w:val="00585FA3"/>
    <w:rsid w:val="00586044"/>
    <w:rsid w:val="0058617B"/>
    <w:rsid w:val="00586241"/>
    <w:rsid w:val="005862B7"/>
    <w:rsid w:val="005864A4"/>
    <w:rsid w:val="0058682F"/>
    <w:rsid w:val="00586D3F"/>
    <w:rsid w:val="00586F7F"/>
    <w:rsid w:val="00587049"/>
    <w:rsid w:val="0058729E"/>
    <w:rsid w:val="005872A7"/>
    <w:rsid w:val="0058760C"/>
    <w:rsid w:val="0058764D"/>
    <w:rsid w:val="00587971"/>
    <w:rsid w:val="00587A8A"/>
    <w:rsid w:val="00587ACF"/>
    <w:rsid w:val="00587BC4"/>
    <w:rsid w:val="00587C10"/>
    <w:rsid w:val="00587CCB"/>
    <w:rsid w:val="00587F26"/>
    <w:rsid w:val="005901D9"/>
    <w:rsid w:val="005901E6"/>
    <w:rsid w:val="005904D7"/>
    <w:rsid w:val="005905F4"/>
    <w:rsid w:val="00590703"/>
    <w:rsid w:val="00590894"/>
    <w:rsid w:val="00590BE3"/>
    <w:rsid w:val="00590C51"/>
    <w:rsid w:val="00590DDD"/>
    <w:rsid w:val="00590DFB"/>
    <w:rsid w:val="00590F69"/>
    <w:rsid w:val="00591076"/>
    <w:rsid w:val="00591319"/>
    <w:rsid w:val="005913CF"/>
    <w:rsid w:val="005913ED"/>
    <w:rsid w:val="00591590"/>
    <w:rsid w:val="00591675"/>
    <w:rsid w:val="005918AB"/>
    <w:rsid w:val="005918EA"/>
    <w:rsid w:val="0059194E"/>
    <w:rsid w:val="005919D5"/>
    <w:rsid w:val="00591C74"/>
    <w:rsid w:val="00591D15"/>
    <w:rsid w:val="00591E7D"/>
    <w:rsid w:val="0059200E"/>
    <w:rsid w:val="005921BD"/>
    <w:rsid w:val="0059220B"/>
    <w:rsid w:val="0059239F"/>
    <w:rsid w:val="00592472"/>
    <w:rsid w:val="005924E7"/>
    <w:rsid w:val="005925FA"/>
    <w:rsid w:val="00592D0F"/>
    <w:rsid w:val="005932E5"/>
    <w:rsid w:val="00593586"/>
    <w:rsid w:val="00593A48"/>
    <w:rsid w:val="00593A5B"/>
    <w:rsid w:val="00593AA5"/>
    <w:rsid w:val="00593B5A"/>
    <w:rsid w:val="0059401B"/>
    <w:rsid w:val="0059401E"/>
    <w:rsid w:val="00594035"/>
    <w:rsid w:val="0059428F"/>
    <w:rsid w:val="005942EB"/>
    <w:rsid w:val="0059472D"/>
    <w:rsid w:val="00594848"/>
    <w:rsid w:val="00594A97"/>
    <w:rsid w:val="00594B89"/>
    <w:rsid w:val="00594CD7"/>
    <w:rsid w:val="00594E5D"/>
    <w:rsid w:val="00594F58"/>
    <w:rsid w:val="00595020"/>
    <w:rsid w:val="005951D6"/>
    <w:rsid w:val="00595285"/>
    <w:rsid w:val="005952BC"/>
    <w:rsid w:val="00595786"/>
    <w:rsid w:val="00595880"/>
    <w:rsid w:val="00595971"/>
    <w:rsid w:val="005959A6"/>
    <w:rsid w:val="005959D7"/>
    <w:rsid w:val="00595AFF"/>
    <w:rsid w:val="00595D31"/>
    <w:rsid w:val="00595D5D"/>
    <w:rsid w:val="00595DAA"/>
    <w:rsid w:val="00595EFE"/>
    <w:rsid w:val="00595F0A"/>
    <w:rsid w:val="00595F5C"/>
    <w:rsid w:val="00596271"/>
    <w:rsid w:val="005962E1"/>
    <w:rsid w:val="005964E6"/>
    <w:rsid w:val="00596CB2"/>
    <w:rsid w:val="00596D39"/>
    <w:rsid w:val="00596DC2"/>
    <w:rsid w:val="0059707A"/>
    <w:rsid w:val="005970DC"/>
    <w:rsid w:val="00597224"/>
    <w:rsid w:val="0059733F"/>
    <w:rsid w:val="0059738E"/>
    <w:rsid w:val="005974B1"/>
    <w:rsid w:val="00597552"/>
    <w:rsid w:val="0059758F"/>
    <w:rsid w:val="00597707"/>
    <w:rsid w:val="005979A0"/>
    <w:rsid w:val="00597B58"/>
    <w:rsid w:val="00597B75"/>
    <w:rsid w:val="00597B80"/>
    <w:rsid w:val="00597C71"/>
    <w:rsid w:val="00597DA3"/>
    <w:rsid w:val="005A008A"/>
    <w:rsid w:val="005A02F0"/>
    <w:rsid w:val="005A0498"/>
    <w:rsid w:val="005A04E9"/>
    <w:rsid w:val="005A05E7"/>
    <w:rsid w:val="005A0755"/>
    <w:rsid w:val="005A07B2"/>
    <w:rsid w:val="005A07DC"/>
    <w:rsid w:val="005A0B49"/>
    <w:rsid w:val="005A0E0D"/>
    <w:rsid w:val="005A0FD2"/>
    <w:rsid w:val="005A0FFC"/>
    <w:rsid w:val="005A118D"/>
    <w:rsid w:val="005A1241"/>
    <w:rsid w:val="005A1278"/>
    <w:rsid w:val="005A13EC"/>
    <w:rsid w:val="005A17A4"/>
    <w:rsid w:val="005A18B3"/>
    <w:rsid w:val="005A1BFF"/>
    <w:rsid w:val="005A1D62"/>
    <w:rsid w:val="005A1DAD"/>
    <w:rsid w:val="005A1DF6"/>
    <w:rsid w:val="005A1EAE"/>
    <w:rsid w:val="005A1F67"/>
    <w:rsid w:val="005A20BF"/>
    <w:rsid w:val="005A2262"/>
    <w:rsid w:val="005A253E"/>
    <w:rsid w:val="005A2543"/>
    <w:rsid w:val="005A26CA"/>
    <w:rsid w:val="005A26DB"/>
    <w:rsid w:val="005A2771"/>
    <w:rsid w:val="005A27D4"/>
    <w:rsid w:val="005A2893"/>
    <w:rsid w:val="005A2975"/>
    <w:rsid w:val="005A2B36"/>
    <w:rsid w:val="005A2DDC"/>
    <w:rsid w:val="005A2F9E"/>
    <w:rsid w:val="005A3113"/>
    <w:rsid w:val="005A355E"/>
    <w:rsid w:val="005A3674"/>
    <w:rsid w:val="005A36A8"/>
    <w:rsid w:val="005A3906"/>
    <w:rsid w:val="005A39C3"/>
    <w:rsid w:val="005A3B90"/>
    <w:rsid w:val="005A3BBA"/>
    <w:rsid w:val="005A3CE8"/>
    <w:rsid w:val="005A3E03"/>
    <w:rsid w:val="005A418C"/>
    <w:rsid w:val="005A44DE"/>
    <w:rsid w:val="005A4609"/>
    <w:rsid w:val="005A48EA"/>
    <w:rsid w:val="005A491A"/>
    <w:rsid w:val="005A4A8A"/>
    <w:rsid w:val="005A4ADE"/>
    <w:rsid w:val="005A4AF8"/>
    <w:rsid w:val="005A4C07"/>
    <w:rsid w:val="005A4C0A"/>
    <w:rsid w:val="005A4DBA"/>
    <w:rsid w:val="005A4DE3"/>
    <w:rsid w:val="005A4E30"/>
    <w:rsid w:val="005A4EB1"/>
    <w:rsid w:val="005A5278"/>
    <w:rsid w:val="005A52A0"/>
    <w:rsid w:val="005A5445"/>
    <w:rsid w:val="005A5516"/>
    <w:rsid w:val="005A55E9"/>
    <w:rsid w:val="005A5903"/>
    <w:rsid w:val="005A5937"/>
    <w:rsid w:val="005A5960"/>
    <w:rsid w:val="005A5A6B"/>
    <w:rsid w:val="005A5D90"/>
    <w:rsid w:val="005A5EE2"/>
    <w:rsid w:val="005A5EF3"/>
    <w:rsid w:val="005A5F60"/>
    <w:rsid w:val="005A61D5"/>
    <w:rsid w:val="005A62C9"/>
    <w:rsid w:val="005A63ED"/>
    <w:rsid w:val="005A655C"/>
    <w:rsid w:val="005A669A"/>
    <w:rsid w:val="005A6934"/>
    <w:rsid w:val="005A6A00"/>
    <w:rsid w:val="005A6A68"/>
    <w:rsid w:val="005A6D19"/>
    <w:rsid w:val="005A6D71"/>
    <w:rsid w:val="005A7000"/>
    <w:rsid w:val="005A71AA"/>
    <w:rsid w:val="005A740C"/>
    <w:rsid w:val="005A7595"/>
    <w:rsid w:val="005A7763"/>
    <w:rsid w:val="005A77CD"/>
    <w:rsid w:val="005A77F9"/>
    <w:rsid w:val="005A782F"/>
    <w:rsid w:val="005A7858"/>
    <w:rsid w:val="005A7916"/>
    <w:rsid w:val="005A7AA4"/>
    <w:rsid w:val="005A7B4A"/>
    <w:rsid w:val="005B00AF"/>
    <w:rsid w:val="005B01AE"/>
    <w:rsid w:val="005B02AF"/>
    <w:rsid w:val="005B02CC"/>
    <w:rsid w:val="005B0507"/>
    <w:rsid w:val="005B0A94"/>
    <w:rsid w:val="005B0DAA"/>
    <w:rsid w:val="005B0EC4"/>
    <w:rsid w:val="005B128E"/>
    <w:rsid w:val="005B12CA"/>
    <w:rsid w:val="005B192C"/>
    <w:rsid w:val="005B1AE4"/>
    <w:rsid w:val="005B1E7B"/>
    <w:rsid w:val="005B1F82"/>
    <w:rsid w:val="005B2072"/>
    <w:rsid w:val="005B2305"/>
    <w:rsid w:val="005B24F5"/>
    <w:rsid w:val="005B26A0"/>
    <w:rsid w:val="005B2720"/>
    <w:rsid w:val="005B273C"/>
    <w:rsid w:val="005B29FA"/>
    <w:rsid w:val="005B2A82"/>
    <w:rsid w:val="005B2B4E"/>
    <w:rsid w:val="005B2F30"/>
    <w:rsid w:val="005B2F44"/>
    <w:rsid w:val="005B3146"/>
    <w:rsid w:val="005B3356"/>
    <w:rsid w:val="005B349C"/>
    <w:rsid w:val="005B35F6"/>
    <w:rsid w:val="005B37F6"/>
    <w:rsid w:val="005B38BF"/>
    <w:rsid w:val="005B38D0"/>
    <w:rsid w:val="005B3B5D"/>
    <w:rsid w:val="005B3B63"/>
    <w:rsid w:val="005B3CAB"/>
    <w:rsid w:val="005B4293"/>
    <w:rsid w:val="005B4303"/>
    <w:rsid w:val="005B4432"/>
    <w:rsid w:val="005B466C"/>
    <w:rsid w:val="005B46C8"/>
    <w:rsid w:val="005B47DB"/>
    <w:rsid w:val="005B47EF"/>
    <w:rsid w:val="005B481C"/>
    <w:rsid w:val="005B48A0"/>
    <w:rsid w:val="005B48D4"/>
    <w:rsid w:val="005B4972"/>
    <w:rsid w:val="005B4AE1"/>
    <w:rsid w:val="005B4EB0"/>
    <w:rsid w:val="005B4F05"/>
    <w:rsid w:val="005B502C"/>
    <w:rsid w:val="005B51AB"/>
    <w:rsid w:val="005B51F6"/>
    <w:rsid w:val="005B555D"/>
    <w:rsid w:val="005B5F94"/>
    <w:rsid w:val="005B651D"/>
    <w:rsid w:val="005B65C3"/>
    <w:rsid w:val="005B65D0"/>
    <w:rsid w:val="005B67A7"/>
    <w:rsid w:val="005B6801"/>
    <w:rsid w:val="005B6AFD"/>
    <w:rsid w:val="005B6CF2"/>
    <w:rsid w:val="005B713F"/>
    <w:rsid w:val="005B7207"/>
    <w:rsid w:val="005B7288"/>
    <w:rsid w:val="005B748E"/>
    <w:rsid w:val="005B7623"/>
    <w:rsid w:val="005B77BA"/>
    <w:rsid w:val="005B780B"/>
    <w:rsid w:val="005B7835"/>
    <w:rsid w:val="005B7A04"/>
    <w:rsid w:val="005C008E"/>
    <w:rsid w:val="005C009C"/>
    <w:rsid w:val="005C02C4"/>
    <w:rsid w:val="005C0344"/>
    <w:rsid w:val="005C0347"/>
    <w:rsid w:val="005C046B"/>
    <w:rsid w:val="005C04F2"/>
    <w:rsid w:val="005C0590"/>
    <w:rsid w:val="005C0647"/>
    <w:rsid w:val="005C0733"/>
    <w:rsid w:val="005C085D"/>
    <w:rsid w:val="005C08E2"/>
    <w:rsid w:val="005C0916"/>
    <w:rsid w:val="005C0B22"/>
    <w:rsid w:val="005C0B5C"/>
    <w:rsid w:val="005C0BDB"/>
    <w:rsid w:val="005C0C12"/>
    <w:rsid w:val="005C0EFA"/>
    <w:rsid w:val="005C1070"/>
    <w:rsid w:val="005C11B6"/>
    <w:rsid w:val="005C13C2"/>
    <w:rsid w:val="005C1619"/>
    <w:rsid w:val="005C182F"/>
    <w:rsid w:val="005C18B3"/>
    <w:rsid w:val="005C18C5"/>
    <w:rsid w:val="005C18F2"/>
    <w:rsid w:val="005C1E5E"/>
    <w:rsid w:val="005C1E77"/>
    <w:rsid w:val="005C2054"/>
    <w:rsid w:val="005C20CC"/>
    <w:rsid w:val="005C2581"/>
    <w:rsid w:val="005C29E6"/>
    <w:rsid w:val="005C2D54"/>
    <w:rsid w:val="005C3164"/>
    <w:rsid w:val="005C318F"/>
    <w:rsid w:val="005C31DD"/>
    <w:rsid w:val="005C3383"/>
    <w:rsid w:val="005C33BE"/>
    <w:rsid w:val="005C3477"/>
    <w:rsid w:val="005C34BC"/>
    <w:rsid w:val="005C34FA"/>
    <w:rsid w:val="005C36E4"/>
    <w:rsid w:val="005C3742"/>
    <w:rsid w:val="005C384E"/>
    <w:rsid w:val="005C39BF"/>
    <w:rsid w:val="005C3AA2"/>
    <w:rsid w:val="005C3AC5"/>
    <w:rsid w:val="005C3B35"/>
    <w:rsid w:val="005C3B3D"/>
    <w:rsid w:val="005C3B9E"/>
    <w:rsid w:val="005C3CEC"/>
    <w:rsid w:val="005C3EC2"/>
    <w:rsid w:val="005C42B1"/>
    <w:rsid w:val="005C432B"/>
    <w:rsid w:val="005C4338"/>
    <w:rsid w:val="005C44C1"/>
    <w:rsid w:val="005C450F"/>
    <w:rsid w:val="005C4537"/>
    <w:rsid w:val="005C4751"/>
    <w:rsid w:val="005C476B"/>
    <w:rsid w:val="005C4924"/>
    <w:rsid w:val="005C493D"/>
    <w:rsid w:val="005C49CA"/>
    <w:rsid w:val="005C4B47"/>
    <w:rsid w:val="005C4BBE"/>
    <w:rsid w:val="005C4D90"/>
    <w:rsid w:val="005C4FEC"/>
    <w:rsid w:val="005C4FFB"/>
    <w:rsid w:val="005C50BE"/>
    <w:rsid w:val="005C5120"/>
    <w:rsid w:val="005C51B1"/>
    <w:rsid w:val="005C5399"/>
    <w:rsid w:val="005C55E6"/>
    <w:rsid w:val="005C563E"/>
    <w:rsid w:val="005C5696"/>
    <w:rsid w:val="005C5887"/>
    <w:rsid w:val="005C5C87"/>
    <w:rsid w:val="005C5C9F"/>
    <w:rsid w:val="005C5CE7"/>
    <w:rsid w:val="005C5D46"/>
    <w:rsid w:val="005C5DD1"/>
    <w:rsid w:val="005C5E3A"/>
    <w:rsid w:val="005C6259"/>
    <w:rsid w:val="005C65F5"/>
    <w:rsid w:val="005C6938"/>
    <w:rsid w:val="005C6A07"/>
    <w:rsid w:val="005C6B94"/>
    <w:rsid w:val="005C6C67"/>
    <w:rsid w:val="005C6C6F"/>
    <w:rsid w:val="005C6CBF"/>
    <w:rsid w:val="005C6D65"/>
    <w:rsid w:val="005C6DBE"/>
    <w:rsid w:val="005C7014"/>
    <w:rsid w:val="005C7193"/>
    <w:rsid w:val="005C71CC"/>
    <w:rsid w:val="005C7343"/>
    <w:rsid w:val="005C753D"/>
    <w:rsid w:val="005C75B3"/>
    <w:rsid w:val="005C7634"/>
    <w:rsid w:val="005C7682"/>
    <w:rsid w:val="005C787B"/>
    <w:rsid w:val="005C78FA"/>
    <w:rsid w:val="005C7940"/>
    <w:rsid w:val="005C7BD8"/>
    <w:rsid w:val="005C7C16"/>
    <w:rsid w:val="005C7DA5"/>
    <w:rsid w:val="005C7E50"/>
    <w:rsid w:val="005C7EBB"/>
    <w:rsid w:val="005D034B"/>
    <w:rsid w:val="005D03B8"/>
    <w:rsid w:val="005D0434"/>
    <w:rsid w:val="005D0442"/>
    <w:rsid w:val="005D044A"/>
    <w:rsid w:val="005D0492"/>
    <w:rsid w:val="005D06BF"/>
    <w:rsid w:val="005D076D"/>
    <w:rsid w:val="005D0962"/>
    <w:rsid w:val="005D0A18"/>
    <w:rsid w:val="005D0AAB"/>
    <w:rsid w:val="005D0B24"/>
    <w:rsid w:val="005D0B34"/>
    <w:rsid w:val="005D0BBA"/>
    <w:rsid w:val="005D0BD1"/>
    <w:rsid w:val="005D0C09"/>
    <w:rsid w:val="005D0DCB"/>
    <w:rsid w:val="005D0F06"/>
    <w:rsid w:val="005D1003"/>
    <w:rsid w:val="005D1309"/>
    <w:rsid w:val="005D14D0"/>
    <w:rsid w:val="005D14F0"/>
    <w:rsid w:val="005D1517"/>
    <w:rsid w:val="005D15ED"/>
    <w:rsid w:val="005D166A"/>
    <w:rsid w:val="005D1696"/>
    <w:rsid w:val="005D1797"/>
    <w:rsid w:val="005D17E9"/>
    <w:rsid w:val="005D18C6"/>
    <w:rsid w:val="005D18D5"/>
    <w:rsid w:val="005D2002"/>
    <w:rsid w:val="005D202B"/>
    <w:rsid w:val="005D2090"/>
    <w:rsid w:val="005D210D"/>
    <w:rsid w:val="005D230F"/>
    <w:rsid w:val="005D2359"/>
    <w:rsid w:val="005D2361"/>
    <w:rsid w:val="005D236F"/>
    <w:rsid w:val="005D2576"/>
    <w:rsid w:val="005D25A6"/>
    <w:rsid w:val="005D2755"/>
    <w:rsid w:val="005D282A"/>
    <w:rsid w:val="005D2B82"/>
    <w:rsid w:val="005D2C37"/>
    <w:rsid w:val="005D2D33"/>
    <w:rsid w:val="005D2EE6"/>
    <w:rsid w:val="005D2FF9"/>
    <w:rsid w:val="005D3028"/>
    <w:rsid w:val="005D334E"/>
    <w:rsid w:val="005D33C6"/>
    <w:rsid w:val="005D3423"/>
    <w:rsid w:val="005D34FC"/>
    <w:rsid w:val="005D3560"/>
    <w:rsid w:val="005D35AB"/>
    <w:rsid w:val="005D365B"/>
    <w:rsid w:val="005D36AA"/>
    <w:rsid w:val="005D3786"/>
    <w:rsid w:val="005D3B46"/>
    <w:rsid w:val="005D3B75"/>
    <w:rsid w:val="005D3C10"/>
    <w:rsid w:val="005D3CDD"/>
    <w:rsid w:val="005D3CEB"/>
    <w:rsid w:val="005D3D4C"/>
    <w:rsid w:val="005D4793"/>
    <w:rsid w:val="005D4989"/>
    <w:rsid w:val="005D4A71"/>
    <w:rsid w:val="005D4A76"/>
    <w:rsid w:val="005D4AA9"/>
    <w:rsid w:val="005D4ACD"/>
    <w:rsid w:val="005D4BAD"/>
    <w:rsid w:val="005D530D"/>
    <w:rsid w:val="005D5639"/>
    <w:rsid w:val="005D566F"/>
    <w:rsid w:val="005D570C"/>
    <w:rsid w:val="005D57B4"/>
    <w:rsid w:val="005D585D"/>
    <w:rsid w:val="005D5936"/>
    <w:rsid w:val="005D5ACF"/>
    <w:rsid w:val="005D5C00"/>
    <w:rsid w:val="005D5CA5"/>
    <w:rsid w:val="005D5D48"/>
    <w:rsid w:val="005D5E89"/>
    <w:rsid w:val="005D6077"/>
    <w:rsid w:val="005D60AD"/>
    <w:rsid w:val="005D6142"/>
    <w:rsid w:val="005D622A"/>
    <w:rsid w:val="005D64AE"/>
    <w:rsid w:val="005D6540"/>
    <w:rsid w:val="005D6656"/>
    <w:rsid w:val="005D66D0"/>
    <w:rsid w:val="005D67F2"/>
    <w:rsid w:val="005D68AD"/>
    <w:rsid w:val="005D6B8D"/>
    <w:rsid w:val="005D6EEB"/>
    <w:rsid w:val="005D6F92"/>
    <w:rsid w:val="005D7145"/>
    <w:rsid w:val="005D72EF"/>
    <w:rsid w:val="005D731E"/>
    <w:rsid w:val="005D74F4"/>
    <w:rsid w:val="005D757A"/>
    <w:rsid w:val="005D76F8"/>
    <w:rsid w:val="005D7760"/>
    <w:rsid w:val="005D77D8"/>
    <w:rsid w:val="005D77E4"/>
    <w:rsid w:val="005D7A23"/>
    <w:rsid w:val="005D7AE0"/>
    <w:rsid w:val="005D7D03"/>
    <w:rsid w:val="005E02D7"/>
    <w:rsid w:val="005E05F0"/>
    <w:rsid w:val="005E0830"/>
    <w:rsid w:val="005E086D"/>
    <w:rsid w:val="005E0891"/>
    <w:rsid w:val="005E0C90"/>
    <w:rsid w:val="005E0D9B"/>
    <w:rsid w:val="005E0FDE"/>
    <w:rsid w:val="005E0FE2"/>
    <w:rsid w:val="005E138C"/>
    <w:rsid w:val="005E14D2"/>
    <w:rsid w:val="005E1520"/>
    <w:rsid w:val="005E185A"/>
    <w:rsid w:val="005E1876"/>
    <w:rsid w:val="005E18CB"/>
    <w:rsid w:val="005E1995"/>
    <w:rsid w:val="005E19E2"/>
    <w:rsid w:val="005E19EC"/>
    <w:rsid w:val="005E1B7E"/>
    <w:rsid w:val="005E1B94"/>
    <w:rsid w:val="005E1BE4"/>
    <w:rsid w:val="005E1D56"/>
    <w:rsid w:val="005E1D7B"/>
    <w:rsid w:val="005E2066"/>
    <w:rsid w:val="005E20F6"/>
    <w:rsid w:val="005E2175"/>
    <w:rsid w:val="005E22A6"/>
    <w:rsid w:val="005E256B"/>
    <w:rsid w:val="005E269D"/>
    <w:rsid w:val="005E27DA"/>
    <w:rsid w:val="005E2844"/>
    <w:rsid w:val="005E2D2F"/>
    <w:rsid w:val="005E2E2B"/>
    <w:rsid w:val="005E2EB8"/>
    <w:rsid w:val="005E2FD9"/>
    <w:rsid w:val="005E338B"/>
    <w:rsid w:val="005E339A"/>
    <w:rsid w:val="005E33E1"/>
    <w:rsid w:val="005E3770"/>
    <w:rsid w:val="005E3821"/>
    <w:rsid w:val="005E387F"/>
    <w:rsid w:val="005E3AF6"/>
    <w:rsid w:val="005E3B2A"/>
    <w:rsid w:val="005E3C48"/>
    <w:rsid w:val="005E3C87"/>
    <w:rsid w:val="005E3DD7"/>
    <w:rsid w:val="005E3EA4"/>
    <w:rsid w:val="005E3F75"/>
    <w:rsid w:val="005E4244"/>
    <w:rsid w:val="005E43BE"/>
    <w:rsid w:val="005E43EF"/>
    <w:rsid w:val="005E4627"/>
    <w:rsid w:val="005E477E"/>
    <w:rsid w:val="005E4A9E"/>
    <w:rsid w:val="005E4C4A"/>
    <w:rsid w:val="005E4DE1"/>
    <w:rsid w:val="005E4E7C"/>
    <w:rsid w:val="005E51D0"/>
    <w:rsid w:val="005E52EB"/>
    <w:rsid w:val="005E54F0"/>
    <w:rsid w:val="005E5550"/>
    <w:rsid w:val="005E560A"/>
    <w:rsid w:val="005E5636"/>
    <w:rsid w:val="005E5663"/>
    <w:rsid w:val="005E56D7"/>
    <w:rsid w:val="005E5A1A"/>
    <w:rsid w:val="005E5A35"/>
    <w:rsid w:val="005E5C07"/>
    <w:rsid w:val="005E5D07"/>
    <w:rsid w:val="005E5DA2"/>
    <w:rsid w:val="005E5F41"/>
    <w:rsid w:val="005E5F47"/>
    <w:rsid w:val="005E629A"/>
    <w:rsid w:val="005E63E1"/>
    <w:rsid w:val="005E6538"/>
    <w:rsid w:val="005E6607"/>
    <w:rsid w:val="005E664A"/>
    <w:rsid w:val="005E6834"/>
    <w:rsid w:val="005E6A5C"/>
    <w:rsid w:val="005E6AFC"/>
    <w:rsid w:val="005E6D93"/>
    <w:rsid w:val="005E6DF6"/>
    <w:rsid w:val="005E72D5"/>
    <w:rsid w:val="005E739C"/>
    <w:rsid w:val="005E7449"/>
    <w:rsid w:val="005E74C7"/>
    <w:rsid w:val="005E74DD"/>
    <w:rsid w:val="005E7AF0"/>
    <w:rsid w:val="005E7B73"/>
    <w:rsid w:val="005E7D7F"/>
    <w:rsid w:val="005E7DC8"/>
    <w:rsid w:val="005E7E95"/>
    <w:rsid w:val="005E7EEA"/>
    <w:rsid w:val="005F02A8"/>
    <w:rsid w:val="005F02CB"/>
    <w:rsid w:val="005F0323"/>
    <w:rsid w:val="005F03B8"/>
    <w:rsid w:val="005F071F"/>
    <w:rsid w:val="005F0992"/>
    <w:rsid w:val="005F0D53"/>
    <w:rsid w:val="005F14BF"/>
    <w:rsid w:val="005F166F"/>
    <w:rsid w:val="005F1687"/>
    <w:rsid w:val="005F175F"/>
    <w:rsid w:val="005F1874"/>
    <w:rsid w:val="005F18FF"/>
    <w:rsid w:val="005F1AB1"/>
    <w:rsid w:val="005F1B9F"/>
    <w:rsid w:val="005F1CBC"/>
    <w:rsid w:val="005F2000"/>
    <w:rsid w:val="005F2490"/>
    <w:rsid w:val="005F25A4"/>
    <w:rsid w:val="005F2687"/>
    <w:rsid w:val="005F271A"/>
    <w:rsid w:val="005F28AD"/>
    <w:rsid w:val="005F297B"/>
    <w:rsid w:val="005F2B28"/>
    <w:rsid w:val="005F2B5F"/>
    <w:rsid w:val="005F2B78"/>
    <w:rsid w:val="005F2D10"/>
    <w:rsid w:val="005F2E2C"/>
    <w:rsid w:val="005F2EB8"/>
    <w:rsid w:val="005F3245"/>
    <w:rsid w:val="005F33F3"/>
    <w:rsid w:val="005F34F3"/>
    <w:rsid w:val="005F3A38"/>
    <w:rsid w:val="005F3A8A"/>
    <w:rsid w:val="005F3AB8"/>
    <w:rsid w:val="005F3C72"/>
    <w:rsid w:val="005F3C91"/>
    <w:rsid w:val="005F4192"/>
    <w:rsid w:val="005F42D4"/>
    <w:rsid w:val="005F45E4"/>
    <w:rsid w:val="005F4651"/>
    <w:rsid w:val="005F4717"/>
    <w:rsid w:val="005F4768"/>
    <w:rsid w:val="005F4828"/>
    <w:rsid w:val="005F4912"/>
    <w:rsid w:val="005F4A48"/>
    <w:rsid w:val="005F4E45"/>
    <w:rsid w:val="005F50A1"/>
    <w:rsid w:val="005F5120"/>
    <w:rsid w:val="005F5183"/>
    <w:rsid w:val="005F52A0"/>
    <w:rsid w:val="005F52C6"/>
    <w:rsid w:val="005F562E"/>
    <w:rsid w:val="005F57B6"/>
    <w:rsid w:val="005F57FD"/>
    <w:rsid w:val="005F58E1"/>
    <w:rsid w:val="005F59CF"/>
    <w:rsid w:val="005F5A06"/>
    <w:rsid w:val="005F5AFE"/>
    <w:rsid w:val="005F5B60"/>
    <w:rsid w:val="005F5DE1"/>
    <w:rsid w:val="005F5F15"/>
    <w:rsid w:val="005F5FA6"/>
    <w:rsid w:val="005F5FA7"/>
    <w:rsid w:val="005F5FC8"/>
    <w:rsid w:val="005F60DB"/>
    <w:rsid w:val="005F66D7"/>
    <w:rsid w:val="005F6815"/>
    <w:rsid w:val="005F68DC"/>
    <w:rsid w:val="005F693A"/>
    <w:rsid w:val="005F6A14"/>
    <w:rsid w:val="005F6AF2"/>
    <w:rsid w:val="005F6B21"/>
    <w:rsid w:val="005F6C4C"/>
    <w:rsid w:val="005F6CC4"/>
    <w:rsid w:val="005F6CEC"/>
    <w:rsid w:val="005F6E1A"/>
    <w:rsid w:val="005F707A"/>
    <w:rsid w:val="005F7103"/>
    <w:rsid w:val="005F7428"/>
    <w:rsid w:val="005F7457"/>
    <w:rsid w:val="005F786C"/>
    <w:rsid w:val="005F79E5"/>
    <w:rsid w:val="005F7AFA"/>
    <w:rsid w:val="005F7CD0"/>
    <w:rsid w:val="005F7CDA"/>
    <w:rsid w:val="005F7CE0"/>
    <w:rsid w:val="005F7CFD"/>
    <w:rsid w:val="005F7EF4"/>
    <w:rsid w:val="0060037A"/>
    <w:rsid w:val="0060058D"/>
    <w:rsid w:val="006005F1"/>
    <w:rsid w:val="00600610"/>
    <w:rsid w:val="0060065A"/>
    <w:rsid w:val="006006CC"/>
    <w:rsid w:val="00600931"/>
    <w:rsid w:val="00600943"/>
    <w:rsid w:val="00600D60"/>
    <w:rsid w:val="00600D71"/>
    <w:rsid w:val="00600F9A"/>
    <w:rsid w:val="00601028"/>
    <w:rsid w:val="0060121F"/>
    <w:rsid w:val="006012C5"/>
    <w:rsid w:val="006015F5"/>
    <w:rsid w:val="006016A3"/>
    <w:rsid w:val="0060179F"/>
    <w:rsid w:val="00601879"/>
    <w:rsid w:val="0060196A"/>
    <w:rsid w:val="00601A2B"/>
    <w:rsid w:val="00601B9A"/>
    <w:rsid w:val="00601BE5"/>
    <w:rsid w:val="00601C13"/>
    <w:rsid w:val="00601C36"/>
    <w:rsid w:val="00601D81"/>
    <w:rsid w:val="00601E5C"/>
    <w:rsid w:val="00601E60"/>
    <w:rsid w:val="00601EA2"/>
    <w:rsid w:val="00602125"/>
    <w:rsid w:val="006023D3"/>
    <w:rsid w:val="006026FB"/>
    <w:rsid w:val="0060271B"/>
    <w:rsid w:val="0060275F"/>
    <w:rsid w:val="00602955"/>
    <w:rsid w:val="00602AB9"/>
    <w:rsid w:val="00602B0A"/>
    <w:rsid w:val="00602BC7"/>
    <w:rsid w:val="00602BEA"/>
    <w:rsid w:val="00602D04"/>
    <w:rsid w:val="00602D3B"/>
    <w:rsid w:val="006032EE"/>
    <w:rsid w:val="0060347E"/>
    <w:rsid w:val="0060350C"/>
    <w:rsid w:val="006036C0"/>
    <w:rsid w:val="006038CD"/>
    <w:rsid w:val="00603912"/>
    <w:rsid w:val="006039F3"/>
    <w:rsid w:val="00603A32"/>
    <w:rsid w:val="00603C62"/>
    <w:rsid w:val="00603CA6"/>
    <w:rsid w:val="006041C9"/>
    <w:rsid w:val="0060424F"/>
    <w:rsid w:val="00604759"/>
    <w:rsid w:val="00604826"/>
    <w:rsid w:val="006049C4"/>
    <w:rsid w:val="006049F1"/>
    <w:rsid w:val="00604A11"/>
    <w:rsid w:val="00604ACB"/>
    <w:rsid w:val="00604B9D"/>
    <w:rsid w:val="00604E33"/>
    <w:rsid w:val="0060538E"/>
    <w:rsid w:val="006054CA"/>
    <w:rsid w:val="006055DD"/>
    <w:rsid w:val="006058AD"/>
    <w:rsid w:val="00605ACE"/>
    <w:rsid w:val="00605B53"/>
    <w:rsid w:val="00605D81"/>
    <w:rsid w:val="00605DD1"/>
    <w:rsid w:val="00605E01"/>
    <w:rsid w:val="00605E8C"/>
    <w:rsid w:val="00605F09"/>
    <w:rsid w:val="00605FF7"/>
    <w:rsid w:val="006063A2"/>
    <w:rsid w:val="00606770"/>
    <w:rsid w:val="006069B0"/>
    <w:rsid w:val="00606BC7"/>
    <w:rsid w:val="00606CBD"/>
    <w:rsid w:val="00607102"/>
    <w:rsid w:val="00607389"/>
    <w:rsid w:val="0060749B"/>
    <w:rsid w:val="00607874"/>
    <w:rsid w:val="006079D3"/>
    <w:rsid w:val="00607B3E"/>
    <w:rsid w:val="00607C5F"/>
    <w:rsid w:val="0061005C"/>
    <w:rsid w:val="00610097"/>
    <w:rsid w:val="006100D0"/>
    <w:rsid w:val="00610255"/>
    <w:rsid w:val="0061035F"/>
    <w:rsid w:val="00610466"/>
    <w:rsid w:val="0061046A"/>
    <w:rsid w:val="0061058C"/>
    <w:rsid w:val="0061080A"/>
    <w:rsid w:val="00610848"/>
    <w:rsid w:val="00610AA5"/>
    <w:rsid w:val="00610B3A"/>
    <w:rsid w:val="00610BEE"/>
    <w:rsid w:val="00610C15"/>
    <w:rsid w:val="00610CB6"/>
    <w:rsid w:val="00610D30"/>
    <w:rsid w:val="00610E70"/>
    <w:rsid w:val="00610FA4"/>
    <w:rsid w:val="006111BE"/>
    <w:rsid w:val="006114D8"/>
    <w:rsid w:val="00611595"/>
    <w:rsid w:val="0061159C"/>
    <w:rsid w:val="00611851"/>
    <w:rsid w:val="006118D6"/>
    <w:rsid w:val="0061195C"/>
    <w:rsid w:val="00611A7B"/>
    <w:rsid w:val="00611E8E"/>
    <w:rsid w:val="00611F0F"/>
    <w:rsid w:val="00611FE1"/>
    <w:rsid w:val="006122F7"/>
    <w:rsid w:val="006123DB"/>
    <w:rsid w:val="006124A7"/>
    <w:rsid w:val="006127BF"/>
    <w:rsid w:val="006129F7"/>
    <w:rsid w:val="00612A31"/>
    <w:rsid w:val="00612AE6"/>
    <w:rsid w:val="00612D89"/>
    <w:rsid w:val="00612E4E"/>
    <w:rsid w:val="00612F5F"/>
    <w:rsid w:val="00612F70"/>
    <w:rsid w:val="006130FF"/>
    <w:rsid w:val="006131A9"/>
    <w:rsid w:val="0061324A"/>
    <w:rsid w:val="006134C4"/>
    <w:rsid w:val="0061364F"/>
    <w:rsid w:val="006137E8"/>
    <w:rsid w:val="00613B72"/>
    <w:rsid w:val="00613DA3"/>
    <w:rsid w:val="00613E00"/>
    <w:rsid w:val="00613E17"/>
    <w:rsid w:val="00613E49"/>
    <w:rsid w:val="00613E8D"/>
    <w:rsid w:val="00613EDF"/>
    <w:rsid w:val="00614011"/>
    <w:rsid w:val="00614025"/>
    <w:rsid w:val="0061430D"/>
    <w:rsid w:val="00614516"/>
    <w:rsid w:val="00614517"/>
    <w:rsid w:val="006145F9"/>
    <w:rsid w:val="00614799"/>
    <w:rsid w:val="0061479A"/>
    <w:rsid w:val="0061497E"/>
    <w:rsid w:val="00614997"/>
    <w:rsid w:val="006149E8"/>
    <w:rsid w:val="00614CE6"/>
    <w:rsid w:val="00614D45"/>
    <w:rsid w:val="00614E75"/>
    <w:rsid w:val="00614FFE"/>
    <w:rsid w:val="00615120"/>
    <w:rsid w:val="00615422"/>
    <w:rsid w:val="006154CE"/>
    <w:rsid w:val="006154EC"/>
    <w:rsid w:val="00615506"/>
    <w:rsid w:val="0061551F"/>
    <w:rsid w:val="00615540"/>
    <w:rsid w:val="0061564E"/>
    <w:rsid w:val="0061568C"/>
    <w:rsid w:val="00615A09"/>
    <w:rsid w:val="00615DF7"/>
    <w:rsid w:val="006161A8"/>
    <w:rsid w:val="0061627C"/>
    <w:rsid w:val="006164D3"/>
    <w:rsid w:val="006165BA"/>
    <w:rsid w:val="006167B3"/>
    <w:rsid w:val="00616935"/>
    <w:rsid w:val="00616961"/>
    <w:rsid w:val="0061699D"/>
    <w:rsid w:val="00616CFA"/>
    <w:rsid w:val="00616DB1"/>
    <w:rsid w:val="00616F61"/>
    <w:rsid w:val="006172C9"/>
    <w:rsid w:val="00617306"/>
    <w:rsid w:val="006174DD"/>
    <w:rsid w:val="006175E6"/>
    <w:rsid w:val="0061760B"/>
    <w:rsid w:val="00617892"/>
    <w:rsid w:val="00617945"/>
    <w:rsid w:val="00617AD4"/>
    <w:rsid w:val="00617ADE"/>
    <w:rsid w:val="00617C20"/>
    <w:rsid w:val="00617E66"/>
    <w:rsid w:val="0062005B"/>
    <w:rsid w:val="00620133"/>
    <w:rsid w:val="006201BF"/>
    <w:rsid w:val="006201DE"/>
    <w:rsid w:val="00620482"/>
    <w:rsid w:val="0062059A"/>
    <w:rsid w:val="006205A2"/>
    <w:rsid w:val="006205E1"/>
    <w:rsid w:val="00620C1A"/>
    <w:rsid w:val="00620CFA"/>
    <w:rsid w:val="00620D3C"/>
    <w:rsid w:val="00620D63"/>
    <w:rsid w:val="00620FFF"/>
    <w:rsid w:val="0062112D"/>
    <w:rsid w:val="00621217"/>
    <w:rsid w:val="00621447"/>
    <w:rsid w:val="006214AE"/>
    <w:rsid w:val="006214C8"/>
    <w:rsid w:val="006214F1"/>
    <w:rsid w:val="006215D0"/>
    <w:rsid w:val="00621644"/>
    <w:rsid w:val="00621913"/>
    <w:rsid w:val="00621B23"/>
    <w:rsid w:val="00621BA0"/>
    <w:rsid w:val="00621BA1"/>
    <w:rsid w:val="00621BDD"/>
    <w:rsid w:val="00621C3C"/>
    <w:rsid w:val="00621CDC"/>
    <w:rsid w:val="00621D00"/>
    <w:rsid w:val="006221B6"/>
    <w:rsid w:val="006225C6"/>
    <w:rsid w:val="00622741"/>
    <w:rsid w:val="00622B0A"/>
    <w:rsid w:val="00622C37"/>
    <w:rsid w:val="00622F0F"/>
    <w:rsid w:val="00623273"/>
    <w:rsid w:val="00623597"/>
    <w:rsid w:val="006235CF"/>
    <w:rsid w:val="006236C7"/>
    <w:rsid w:val="00623756"/>
    <w:rsid w:val="006237A4"/>
    <w:rsid w:val="006237FD"/>
    <w:rsid w:val="006238A3"/>
    <w:rsid w:val="006238AB"/>
    <w:rsid w:val="00623B9D"/>
    <w:rsid w:val="00623BF8"/>
    <w:rsid w:val="00623D8A"/>
    <w:rsid w:val="00623D9D"/>
    <w:rsid w:val="00623E29"/>
    <w:rsid w:val="00623F66"/>
    <w:rsid w:val="00624216"/>
    <w:rsid w:val="00624409"/>
    <w:rsid w:val="006244B5"/>
    <w:rsid w:val="00624538"/>
    <w:rsid w:val="0062472E"/>
    <w:rsid w:val="00624733"/>
    <w:rsid w:val="0062484B"/>
    <w:rsid w:val="006248CA"/>
    <w:rsid w:val="00624A9C"/>
    <w:rsid w:val="00624AF7"/>
    <w:rsid w:val="00624BF8"/>
    <w:rsid w:val="00624E53"/>
    <w:rsid w:val="00624F92"/>
    <w:rsid w:val="00625247"/>
    <w:rsid w:val="006253FB"/>
    <w:rsid w:val="006257B9"/>
    <w:rsid w:val="0062580E"/>
    <w:rsid w:val="0062581A"/>
    <w:rsid w:val="00625A69"/>
    <w:rsid w:val="00625AA1"/>
    <w:rsid w:val="00625E06"/>
    <w:rsid w:val="00625ED5"/>
    <w:rsid w:val="00625F7B"/>
    <w:rsid w:val="00626179"/>
    <w:rsid w:val="006263A4"/>
    <w:rsid w:val="00626447"/>
    <w:rsid w:val="00626455"/>
    <w:rsid w:val="00626578"/>
    <w:rsid w:val="00626795"/>
    <w:rsid w:val="00626847"/>
    <w:rsid w:val="006268DB"/>
    <w:rsid w:val="00626AE6"/>
    <w:rsid w:val="00626C27"/>
    <w:rsid w:val="00626CF6"/>
    <w:rsid w:val="00626D28"/>
    <w:rsid w:val="00626E6F"/>
    <w:rsid w:val="00626EEF"/>
    <w:rsid w:val="006272D8"/>
    <w:rsid w:val="0062737C"/>
    <w:rsid w:val="00627510"/>
    <w:rsid w:val="00627558"/>
    <w:rsid w:val="006275CE"/>
    <w:rsid w:val="0062768C"/>
    <w:rsid w:val="00627AFF"/>
    <w:rsid w:val="00627D9F"/>
    <w:rsid w:val="00627F07"/>
    <w:rsid w:val="00627FDA"/>
    <w:rsid w:val="00627FE9"/>
    <w:rsid w:val="006300A0"/>
    <w:rsid w:val="006302B0"/>
    <w:rsid w:val="0063039F"/>
    <w:rsid w:val="006306DC"/>
    <w:rsid w:val="00630990"/>
    <w:rsid w:val="00630ABC"/>
    <w:rsid w:val="00630C05"/>
    <w:rsid w:val="00630C41"/>
    <w:rsid w:val="00630CA8"/>
    <w:rsid w:val="00630D22"/>
    <w:rsid w:val="00630EBB"/>
    <w:rsid w:val="00630F37"/>
    <w:rsid w:val="006311E8"/>
    <w:rsid w:val="00631416"/>
    <w:rsid w:val="006314A9"/>
    <w:rsid w:val="006314CA"/>
    <w:rsid w:val="006314EE"/>
    <w:rsid w:val="0063151A"/>
    <w:rsid w:val="006315A6"/>
    <w:rsid w:val="00631A11"/>
    <w:rsid w:val="00631ABD"/>
    <w:rsid w:val="00631BB4"/>
    <w:rsid w:val="00631BE0"/>
    <w:rsid w:val="00631CDF"/>
    <w:rsid w:val="00631D07"/>
    <w:rsid w:val="00631E4D"/>
    <w:rsid w:val="00632175"/>
    <w:rsid w:val="006321AC"/>
    <w:rsid w:val="00632340"/>
    <w:rsid w:val="006325A3"/>
    <w:rsid w:val="00632AA2"/>
    <w:rsid w:val="00632BC2"/>
    <w:rsid w:val="00632C20"/>
    <w:rsid w:val="00632CB5"/>
    <w:rsid w:val="00632DBD"/>
    <w:rsid w:val="00632EA4"/>
    <w:rsid w:val="00633196"/>
    <w:rsid w:val="0063360A"/>
    <w:rsid w:val="0063368B"/>
    <w:rsid w:val="006336B9"/>
    <w:rsid w:val="00633849"/>
    <w:rsid w:val="00633853"/>
    <w:rsid w:val="00633922"/>
    <w:rsid w:val="00633A31"/>
    <w:rsid w:val="00633BAA"/>
    <w:rsid w:val="00633C88"/>
    <w:rsid w:val="00633CB8"/>
    <w:rsid w:val="00633DA8"/>
    <w:rsid w:val="00633E1A"/>
    <w:rsid w:val="00633E2B"/>
    <w:rsid w:val="00633EB7"/>
    <w:rsid w:val="00633F39"/>
    <w:rsid w:val="006342D4"/>
    <w:rsid w:val="0063456E"/>
    <w:rsid w:val="0063457C"/>
    <w:rsid w:val="006347C2"/>
    <w:rsid w:val="00634878"/>
    <w:rsid w:val="00634CE7"/>
    <w:rsid w:val="00634DA1"/>
    <w:rsid w:val="00635261"/>
    <w:rsid w:val="0063555E"/>
    <w:rsid w:val="006355B0"/>
    <w:rsid w:val="006356B4"/>
    <w:rsid w:val="00635AAA"/>
    <w:rsid w:val="00635B36"/>
    <w:rsid w:val="00635C19"/>
    <w:rsid w:val="00635C85"/>
    <w:rsid w:val="006360FA"/>
    <w:rsid w:val="006363B5"/>
    <w:rsid w:val="0063665C"/>
    <w:rsid w:val="0063675B"/>
    <w:rsid w:val="0063687B"/>
    <w:rsid w:val="00636AEE"/>
    <w:rsid w:val="00636B53"/>
    <w:rsid w:val="00636B7D"/>
    <w:rsid w:val="00636CF4"/>
    <w:rsid w:val="00636D1A"/>
    <w:rsid w:val="006373A2"/>
    <w:rsid w:val="00637474"/>
    <w:rsid w:val="0063752A"/>
    <w:rsid w:val="0063757A"/>
    <w:rsid w:val="006375B8"/>
    <w:rsid w:val="006375E9"/>
    <w:rsid w:val="00637636"/>
    <w:rsid w:val="00637684"/>
    <w:rsid w:val="00637691"/>
    <w:rsid w:val="006376D1"/>
    <w:rsid w:val="006379C5"/>
    <w:rsid w:val="006379ED"/>
    <w:rsid w:val="00637AE0"/>
    <w:rsid w:val="00637BBF"/>
    <w:rsid w:val="00637DE4"/>
    <w:rsid w:val="00637E9E"/>
    <w:rsid w:val="00637F3C"/>
    <w:rsid w:val="00640218"/>
    <w:rsid w:val="006402A7"/>
    <w:rsid w:val="006402C3"/>
    <w:rsid w:val="006405B7"/>
    <w:rsid w:val="00640627"/>
    <w:rsid w:val="006408B2"/>
    <w:rsid w:val="00640BEA"/>
    <w:rsid w:val="00640CB1"/>
    <w:rsid w:val="00640D24"/>
    <w:rsid w:val="00640DBE"/>
    <w:rsid w:val="00640E5C"/>
    <w:rsid w:val="006411F8"/>
    <w:rsid w:val="0064132B"/>
    <w:rsid w:val="006413FA"/>
    <w:rsid w:val="006414BD"/>
    <w:rsid w:val="00641552"/>
    <w:rsid w:val="00641577"/>
    <w:rsid w:val="00641684"/>
    <w:rsid w:val="006417D9"/>
    <w:rsid w:val="00641B37"/>
    <w:rsid w:val="00641DAA"/>
    <w:rsid w:val="00641E5D"/>
    <w:rsid w:val="006423E1"/>
    <w:rsid w:val="006424AD"/>
    <w:rsid w:val="0064263E"/>
    <w:rsid w:val="00642738"/>
    <w:rsid w:val="00642C2D"/>
    <w:rsid w:val="00642FD1"/>
    <w:rsid w:val="00643287"/>
    <w:rsid w:val="0064338E"/>
    <w:rsid w:val="00643601"/>
    <w:rsid w:val="00643721"/>
    <w:rsid w:val="00643747"/>
    <w:rsid w:val="0064398B"/>
    <w:rsid w:val="00643B57"/>
    <w:rsid w:val="00643C51"/>
    <w:rsid w:val="00643CD6"/>
    <w:rsid w:val="00643E35"/>
    <w:rsid w:val="006440C8"/>
    <w:rsid w:val="006440D0"/>
    <w:rsid w:val="006440F1"/>
    <w:rsid w:val="0064429A"/>
    <w:rsid w:val="00644364"/>
    <w:rsid w:val="006445A4"/>
    <w:rsid w:val="00644808"/>
    <w:rsid w:val="00644833"/>
    <w:rsid w:val="006449A5"/>
    <w:rsid w:val="00644A23"/>
    <w:rsid w:val="00644B2E"/>
    <w:rsid w:val="00644EC8"/>
    <w:rsid w:val="006452C8"/>
    <w:rsid w:val="006456C9"/>
    <w:rsid w:val="0064583C"/>
    <w:rsid w:val="00645959"/>
    <w:rsid w:val="00645A25"/>
    <w:rsid w:val="00645B16"/>
    <w:rsid w:val="00645B2E"/>
    <w:rsid w:val="00645E03"/>
    <w:rsid w:val="0064623B"/>
    <w:rsid w:val="0064674F"/>
    <w:rsid w:val="00646A23"/>
    <w:rsid w:val="00646B7A"/>
    <w:rsid w:val="00646E1C"/>
    <w:rsid w:val="00647091"/>
    <w:rsid w:val="0064719F"/>
    <w:rsid w:val="00647657"/>
    <w:rsid w:val="00647688"/>
    <w:rsid w:val="006477ED"/>
    <w:rsid w:val="00647B1B"/>
    <w:rsid w:val="00647B36"/>
    <w:rsid w:val="00647DCB"/>
    <w:rsid w:val="00647F2F"/>
    <w:rsid w:val="00650114"/>
    <w:rsid w:val="00650117"/>
    <w:rsid w:val="00650334"/>
    <w:rsid w:val="00650658"/>
    <w:rsid w:val="006506F1"/>
    <w:rsid w:val="0065075B"/>
    <w:rsid w:val="006507A1"/>
    <w:rsid w:val="0065084F"/>
    <w:rsid w:val="006508AA"/>
    <w:rsid w:val="00650912"/>
    <w:rsid w:val="006509EF"/>
    <w:rsid w:val="00650A7A"/>
    <w:rsid w:val="00650CBE"/>
    <w:rsid w:val="00650F25"/>
    <w:rsid w:val="00650F39"/>
    <w:rsid w:val="006510EE"/>
    <w:rsid w:val="006513E8"/>
    <w:rsid w:val="006514A1"/>
    <w:rsid w:val="006515DB"/>
    <w:rsid w:val="0065181B"/>
    <w:rsid w:val="00651C9F"/>
    <w:rsid w:val="00651E0F"/>
    <w:rsid w:val="00651EAA"/>
    <w:rsid w:val="00651F4D"/>
    <w:rsid w:val="00652315"/>
    <w:rsid w:val="0065262A"/>
    <w:rsid w:val="006526CA"/>
    <w:rsid w:val="006526F8"/>
    <w:rsid w:val="0065296A"/>
    <w:rsid w:val="00652988"/>
    <w:rsid w:val="00652994"/>
    <w:rsid w:val="00652A49"/>
    <w:rsid w:val="00652D39"/>
    <w:rsid w:val="00652E5A"/>
    <w:rsid w:val="0065303D"/>
    <w:rsid w:val="006531CE"/>
    <w:rsid w:val="0065331A"/>
    <w:rsid w:val="0065341F"/>
    <w:rsid w:val="00653534"/>
    <w:rsid w:val="0065365C"/>
    <w:rsid w:val="00653683"/>
    <w:rsid w:val="00653729"/>
    <w:rsid w:val="006538CF"/>
    <w:rsid w:val="00653EC3"/>
    <w:rsid w:val="0065413C"/>
    <w:rsid w:val="00654141"/>
    <w:rsid w:val="006541DC"/>
    <w:rsid w:val="0065490C"/>
    <w:rsid w:val="006549E3"/>
    <w:rsid w:val="00654B67"/>
    <w:rsid w:val="00654C6B"/>
    <w:rsid w:val="00654D7E"/>
    <w:rsid w:val="00654E02"/>
    <w:rsid w:val="00655121"/>
    <w:rsid w:val="00655217"/>
    <w:rsid w:val="00655383"/>
    <w:rsid w:val="006554BF"/>
    <w:rsid w:val="006557A5"/>
    <w:rsid w:val="006557D3"/>
    <w:rsid w:val="00655865"/>
    <w:rsid w:val="006558A3"/>
    <w:rsid w:val="006559DF"/>
    <w:rsid w:val="00655AA6"/>
    <w:rsid w:val="00655CE5"/>
    <w:rsid w:val="00655ECF"/>
    <w:rsid w:val="00655F38"/>
    <w:rsid w:val="00655F45"/>
    <w:rsid w:val="00655F90"/>
    <w:rsid w:val="0065610E"/>
    <w:rsid w:val="00656137"/>
    <w:rsid w:val="00656214"/>
    <w:rsid w:val="006563E6"/>
    <w:rsid w:val="0065640B"/>
    <w:rsid w:val="006564C9"/>
    <w:rsid w:val="0065652C"/>
    <w:rsid w:val="006565DC"/>
    <w:rsid w:val="00656708"/>
    <w:rsid w:val="006567E6"/>
    <w:rsid w:val="00656890"/>
    <w:rsid w:val="00656937"/>
    <w:rsid w:val="00656AB4"/>
    <w:rsid w:val="00656BDF"/>
    <w:rsid w:val="00656E12"/>
    <w:rsid w:val="00656FD0"/>
    <w:rsid w:val="00657043"/>
    <w:rsid w:val="006570A4"/>
    <w:rsid w:val="006570F2"/>
    <w:rsid w:val="00657247"/>
    <w:rsid w:val="00657267"/>
    <w:rsid w:val="00657292"/>
    <w:rsid w:val="00657299"/>
    <w:rsid w:val="00657330"/>
    <w:rsid w:val="0065767B"/>
    <w:rsid w:val="006576F1"/>
    <w:rsid w:val="00657B00"/>
    <w:rsid w:val="00657B6B"/>
    <w:rsid w:val="00657DCE"/>
    <w:rsid w:val="00657DE3"/>
    <w:rsid w:val="00657E8D"/>
    <w:rsid w:val="0066019D"/>
    <w:rsid w:val="006601D6"/>
    <w:rsid w:val="00660595"/>
    <w:rsid w:val="006605C8"/>
    <w:rsid w:val="0066089E"/>
    <w:rsid w:val="00660A9A"/>
    <w:rsid w:val="00660C7F"/>
    <w:rsid w:val="00660E74"/>
    <w:rsid w:val="00660F8A"/>
    <w:rsid w:val="00661013"/>
    <w:rsid w:val="006611F8"/>
    <w:rsid w:val="00661316"/>
    <w:rsid w:val="0066152D"/>
    <w:rsid w:val="006615C5"/>
    <w:rsid w:val="006615EB"/>
    <w:rsid w:val="006621A0"/>
    <w:rsid w:val="0066242B"/>
    <w:rsid w:val="0066249A"/>
    <w:rsid w:val="006625CF"/>
    <w:rsid w:val="006627DC"/>
    <w:rsid w:val="0066291D"/>
    <w:rsid w:val="00662A83"/>
    <w:rsid w:val="00662BED"/>
    <w:rsid w:val="00662E6E"/>
    <w:rsid w:val="00662FBB"/>
    <w:rsid w:val="0066315F"/>
    <w:rsid w:val="00663280"/>
    <w:rsid w:val="00663459"/>
    <w:rsid w:val="0066348B"/>
    <w:rsid w:val="0066352C"/>
    <w:rsid w:val="0066357F"/>
    <w:rsid w:val="006635FF"/>
    <w:rsid w:val="006636D5"/>
    <w:rsid w:val="00663B37"/>
    <w:rsid w:val="00664136"/>
    <w:rsid w:val="0066415D"/>
    <w:rsid w:val="006643FD"/>
    <w:rsid w:val="006644E2"/>
    <w:rsid w:val="0066459E"/>
    <w:rsid w:val="006647A5"/>
    <w:rsid w:val="006647F8"/>
    <w:rsid w:val="00664857"/>
    <w:rsid w:val="00664AB7"/>
    <w:rsid w:val="00664B27"/>
    <w:rsid w:val="00664C17"/>
    <w:rsid w:val="00664CC9"/>
    <w:rsid w:val="00664CCB"/>
    <w:rsid w:val="00664E10"/>
    <w:rsid w:val="00664EC9"/>
    <w:rsid w:val="0066565A"/>
    <w:rsid w:val="006658B3"/>
    <w:rsid w:val="006659A6"/>
    <w:rsid w:val="00665D9C"/>
    <w:rsid w:val="00665DE4"/>
    <w:rsid w:val="00665F63"/>
    <w:rsid w:val="00665FDC"/>
    <w:rsid w:val="00666480"/>
    <w:rsid w:val="006664C0"/>
    <w:rsid w:val="00666971"/>
    <w:rsid w:val="00666AD3"/>
    <w:rsid w:val="00666ADB"/>
    <w:rsid w:val="00666B44"/>
    <w:rsid w:val="00666C92"/>
    <w:rsid w:val="00666CC7"/>
    <w:rsid w:val="00666D57"/>
    <w:rsid w:val="00666EB2"/>
    <w:rsid w:val="00666EBF"/>
    <w:rsid w:val="00666F23"/>
    <w:rsid w:val="00666F81"/>
    <w:rsid w:val="00666F82"/>
    <w:rsid w:val="00667346"/>
    <w:rsid w:val="00667474"/>
    <w:rsid w:val="00667489"/>
    <w:rsid w:val="00667634"/>
    <w:rsid w:val="0066766F"/>
    <w:rsid w:val="006677A7"/>
    <w:rsid w:val="00667CC1"/>
    <w:rsid w:val="00667CC8"/>
    <w:rsid w:val="00667DDE"/>
    <w:rsid w:val="00667EF2"/>
    <w:rsid w:val="00667F3C"/>
    <w:rsid w:val="006700EB"/>
    <w:rsid w:val="006702F6"/>
    <w:rsid w:val="0067035A"/>
    <w:rsid w:val="00670421"/>
    <w:rsid w:val="00670514"/>
    <w:rsid w:val="006706D6"/>
    <w:rsid w:val="00670717"/>
    <w:rsid w:val="0067073D"/>
    <w:rsid w:val="00670766"/>
    <w:rsid w:val="0067086F"/>
    <w:rsid w:val="00670939"/>
    <w:rsid w:val="00670AFD"/>
    <w:rsid w:val="00670B33"/>
    <w:rsid w:val="00670D99"/>
    <w:rsid w:val="00670F0D"/>
    <w:rsid w:val="00670F74"/>
    <w:rsid w:val="00670FDD"/>
    <w:rsid w:val="00671096"/>
    <w:rsid w:val="006710CF"/>
    <w:rsid w:val="0067117C"/>
    <w:rsid w:val="006712C2"/>
    <w:rsid w:val="00671439"/>
    <w:rsid w:val="006714FF"/>
    <w:rsid w:val="006716AC"/>
    <w:rsid w:val="00671701"/>
    <w:rsid w:val="00671734"/>
    <w:rsid w:val="006717FA"/>
    <w:rsid w:val="00671808"/>
    <w:rsid w:val="00671863"/>
    <w:rsid w:val="006718A8"/>
    <w:rsid w:val="00671998"/>
    <w:rsid w:val="00671A35"/>
    <w:rsid w:val="00671A41"/>
    <w:rsid w:val="00671D6D"/>
    <w:rsid w:val="00671E18"/>
    <w:rsid w:val="00671E26"/>
    <w:rsid w:val="006722FB"/>
    <w:rsid w:val="006727C6"/>
    <w:rsid w:val="0067294B"/>
    <w:rsid w:val="00672BD8"/>
    <w:rsid w:val="00672E24"/>
    <w:rsid w:val="00672EB2"/>
    <w:rsid w:val="00672EB5"/>
    <w:rsid w:val="00673301"/>
    <w:rsid w:val="00673529"/>
    <w:rsid w:val="0067354B"/>
    <w:rsid w:val="00673650"/>
    <w:rsid w:val="0067368C"/>
    <w:rsid w:val="0067383D"/>
    <w:rsid w:val="00673CD3"/>
    <w:rsid w:val="006741CD"/>
    <w:rsid w:val="00674377"/>
    <w:rsid w:val="0067453C"/>
    <w:rsid w:val="006750D2"/>
    <w:rsid w:val="006751FC"/>
    <w:rsid w:val="006752DE"/>
    <w:rsid w:val="006755A3"/>
    <w:rsid w:val="0067589A"/>
    <w:rsid w:val="00675B09"/>
    <w:rsid w:val="00675B5C"/>
    <w:rsid w:val="00675BAC"/>
    <w:rsid w:val="00675C41"/>
    <w:rsid w:val="00675CE9"/>
    <w:rsid w:val="00676150"/>
    <w:rsid w:val="0067642C"/>
    <w:rsid w:val="00676520"/>
    <w:rsid w:val="00676612"/>
    <w:rsid w:val="00676667"/>
    <w:rsid w:val="0067687A"/>
    <w:rsid w:val="00676BA1"/>
    <w:rsid w:val="00676BCB"/>
    <w:rsid w:val="00676CDC"/>
    <w:rsid w:val="00676CF6"/>
    <w:rsid w:val="00676D7F"/>
    <w:rsid w:val="00676E7F"/>
    <w:rsid w:val="00676E95"/>
    <w:rsid w:val="00676FF8"/>
    <w:rsid w:val="006771D1"/>
    <w:rsid w:val="0067734D"/>
    <w:rsid w:val="0067767A"/>
    <w:rsid w:val="00677966"/>
    <w:rsid w:val="00677989"/>
    <w:rsid w:val="00677AE9"/>
    <w:rsid w:val="00677BF3"/>
    <w:rsid w:val="00677EF2"/>
    <w:rsid w:val="006800E1"/>
    <w:rsid w:val="00680887"/>
    <w:rsid w:val="00680B1B"/>
    <w:rsid w:val="00680C0C"/>
    <w:rsid w:val="00680E81"/>
    <w:rsid w:val="00681097"/>
    <w:rsid w:val="006810D5"/>
    <w:rsid w:val="00681221"/>
    <w:rsid w:val="0068128D"/>
    <w:rsid w:val="0068139D"/>
    <w:rsid w:val="00681600"/>
    <w:rsid w:val="00681851"/>
    <w:rsid w:val="00681A3F"/>
    <w:rsid w:val="00681C70"/>
    <w:rsid w:val="00681C7E"/>
    <w:rsid w:val="00681D87"/>
    <w:rsid w:val="00681E17"/>
    <w:rsid w:val="006820A2"/>
    <w:rsid w:val="006820F2"/>
    <w:rsid w:val="006822BE"/>
    <w:rsid w:val="0068231D"/>
    <w:rsid w:val="0068238A"/>
    <w:rsid w:val="00682695"/>
    <w:rsid w:val="006826A2"/>
    <w:rsid w:val="00682793"/>
    <w:rsid w:val="006828AD"/>
    <w:rsid w:val="006828AF"/>
    <w:rsid w:val="0068294D"/>
    <w:rsid w:val="00682AFF"/>
    <w:rsid w:val="00682CC7"/>
    <w:rsid w:val="00682CE6"/>
    <w:rsid w:val="00682D67"/>
    <w:rsid w:val="00682E07"/>
    <w:rsid w:val="00682E11"/>
    <w:rsid w:val="00682F79"/>
    <w:rsid w:val="00683224"/>
    <w:rsid w:val="0068331F"/>
    <w:rsid w:val="0068339A"/>
    <w:rsid w:val="006837F0"/>
    <w:rsid w:val="00683803"/>
    <w:rsid w:val="00683824"/>
    <w:rsid w:val="0068389F"/>
    <w:rsid w:val="006839DC"/>
    <w:rsid w:val="00683A1B"/>
    <w:rsid w:val="00683CF4"/>
    <w:rsid w:val="00683F7B"/>
    <w:rsid w:val="00683FCE"/>
    <w:rsid w:val="00684126"/>
    <w:rsid w:val="00684169"/>
    <w:rsid w:val="00684459"/>
    <w:rsid w:val="00684528"/>
    <w:rsid w:val="006845D2"/>
    <w:rsid w:val="006845ED"/>
    <w:rsid w:val="006846E2"/>
    <w:rsid w:val="0068476C"/>
    <w:rsid w:val="00684902"/>
    <w:rsid w:val="006849C8"/>
    <w:rsid w:val="00684D36"/>
    <w:rsid w:val="00684E22"/>
    <w:rsid w:val="00684EF4"/>
    <w:rsid w:val="0068500C"/>
    <w:rsid w:val="00685212"/>
    <w:rsid w:val="00685247"/>
    <w:rsid w:val="006853F9"/>
    <w:rsid w:val="00685490"/>
    <w:rsid w:val="00685565"/>
    <w:rsid w:val="006856C7"/>
    <w:rsid w:val="0068578A"/>
    <w:rsid w:val="006857AA"/>
    <w:rsid w:val="006858EC"/>
    <w:rsid w:val="006858F1"/>
    <w:rsid w:val="00685CDC"/>
    <w:rsid w:val="00685E69"/>
    <w:rsid w:val="00686092"/>
    <w:rsid w:val="006860A9"/>
    <w:rsid w:val="0068627C"/>
    <w:rsid w:val="00686461"/>
    <w:rsid w:val="00686575"/>
    <w:rsid w:val="00686659"/>
    <w:rsid w:val="0068667F"/>
    <w:rsid w:val="0068675E"/>
    <w:rsid w:val="00686A79"/>
    <w:rsid w:val="006871B4"/>
    <w:rsid w:val="00687357"/>
    <w:rsid w:val="00687439"/>
    <w:rsid w:val="006876E1"/>
    <w:rsid w:val="00687BA8"/>
    <w:rsid w:val="00687BB5"/>
    <w:rsid w:val="00687C47"/>
    <w:rsid w:val="00687CB0"/>
    <w:rsid w:val="00687DF4"/>
    <w:rsid w:val="00687EC1"/>
    <w:rsid w:val="0069008C"/>
    <w:rsid w:val="006900FA"/>
    <w:rsid w:val="0069010F"/>
    <w:rsid w:val="00690665"/>
    <w:rsid w:val="006907EE"/>
    <w:rsid w:val="00690BE7"/>
    <w:rsid w:val="00690DEC"/>
    <w:rsid w:val="00690E26"/>
    <w:rsid w:val="00690E45"/>
    <w:rsid w:val="00690EA8"/>
    <w:rsid w:val="00691291"/>
    <w:rsid w:val="006914F7"/>
    <w:rsid w:val="00691583"/>
    <w:rsid w:val="00691585"/>
    <w:rsid w:val="0069158D"/>
    <w:rsid w:val="00691695"/>
    <w:rsid w:val="00691A4B"/>
    <w:rsid w:val="00691BFA"/>
    <w:rsid w:val="00691C35"/>
    <w:rsid w:val="00691CD8"/>
    <w:rsid w:val="00691DA7"/>
    <w:rsid w:val="00692180"/>
    <w:rsid w:val="0069221B"/>
    <w:rsid w:val="006923DA"/>
    <w:rsid w:val="0069243D"/>
    <w:rsid w:val="0069251C"/>
    <w:rsid w:val="006925DB"/>
    <w:rsid w:val="006925F1"/>
    <w:rsid w:val="00692697"/>
    <w:rsid w:val="00692838"/>
    <w:rsid w:val="0069288C"/>
    <w:rsid w:val="00692947"/>
    <w:rsid w:val="00692BF7"/>
    <w:rsid w:val="00692C80"/>
    <w:rsid w:val="00692DBA"/>
    <w:rsid w:val="00693181"/>
    <w:rsid w:val="00693200"/>
    <w:rsid w:val="0069365F"/>
    <w:rsid w:val="00693B6D"/>
    <w:rsid w:val="00693E92"/>
    <w:rsid w:val="00693F85"/>
    <w:rsid w:val="00693FD9"/>
    <w:rsid w:val="0069407C"/>
    <w:rsid w:val="0069409E"/>
    <w:rsid w:val="00694331"/>
    <w:rsid w:val="006949CF"/>
    <w:rsid w:val="00694A9F"/>
    <w:rsid w:val="00694ADB"/>
    <w:rsid w:val="00694C29"/>
    <w:rsid w:val="006950C4"/>
    <w:rsid w:val="00695174"/>
    <w:rsid w:val="00695210"/>
    <w:rsid w:val="00695299"/>
    <w:rsid w:val="0069538E"/>
    <w:rsid w:val="00695842"/>
    <w:rsid w:val="00695A20"/>
    <w:rsid w:val="00695C4A"/>
    <w:rsid w:val="006960CD"/>
    <w:rsid w:val="00696356"/>
    <w:rsid w:val="00696368"/>
    <w:rsid w:val="006963EA"/>
    <w:rsid w:val="006967D3"/>
    <w:rsid w:val="00696836"/>
    <w:rsid w:val="00696BA9"/>
    <w:rsid w:val="00696C05"/>
    <w:rsid w:val="00696EC3"/>
    <w:rsid w:val="00696F43"/>
    <w:rsid w:val="0069716C"/>
    <w:rsid w:val="006971F9"/>
    <w:rsid w:val="00697233"/>
    <w:rsid w:val="0069738C"/>
    <w:rsid w:val="00697412"/>
    <w:rsid w:val="006974B2"/>
    <w:rsid w:val="006974DC"/>
    <w:rsid w:val="0069763E"/>
    <w:rsid w:val="00697D67"/>
    <w:rsid w:val="00697F1E"/>
    <w:rsid w:val="006A0008"/>
    <w:rsid w:val="006A003B"/>
    <w:rsid w:val="006A00DC"/>
    <w:rsid w:val="006A0293"/>
    <w:rsid w:val="006A02D9"/>
    <w:rsid w:val="006A052D"/>
    <w:rsid w:val="006A0638"/>
    <w:rsid w:val="006A0826"/>
    <w:rsid w:val="006A0B8F"/>
    <w:rsid w:val="006A0C50"/>
    <w:rsid w:val="006A0C60"/>
    <w:rsid w:val="006A1125"/>
    <w:rsid w:val="006A1159"/>
    <w:rsid w:val="006A1504"/>
    <w:rsid w:val="006A1678"/>
    <w:rsid w:val="006A16E5"/>
    <w:rsid w:val="006A1B19"/>
    <w:rsid w:val="006A1BCC"/>
    <w:rsid w:val="006A1CCE"/>
    <w:rsid w:val="006A1E63"/>
    <w:rsid w:val="006A1FCD"/>
    <w:rsid w:val="006A20E5"/>
    <w:rsid w:val="006A2165"/>
    <w:rsid w:val="006A23F8"/>
    <w:rsid w:val="006A259C"/>
    <w:rsid w:val="006A283C"/>
    <w:rsid w:val="006A2BB7"/>
    <w:rsid w:val="006A2BE1"/>
    <w:rsid w:val="006A328B"/>
    <w:rsid w:val="006A3552"/>
    <w:rsid w:val="006A3929"/>
    <w:rsid w:val="006A3B77"/>
    <w:rsid w:val="006A3BAE"/>
    <w:rsid w:val="006A3DA4"/>
    <w:rsid w:val="006A3DB4"/>
    <w:rsid w:val="006A3E61"/>
    <w:rsid w:val="006A3EC9"/>
    <w:rsid w:val="006A3FB6"/>
    <w:rsid w:val="006A402D"/>
    <w:rsid w:val="006A409B"/>
    <w:rsid w:val="006A40F7"/>
    <w:rsid w:val="006A4142"/>
    <w:rsid w:val="006A41F1"/>
    <w:rsid w:val="006A4288"/>
    <w:rsid w:val="006A42F5"/>
    <w:rsid w:val="006A4351"/>
    <w:rsid w:val="006A43B2"/>
    <w:rsid w:val="006A46C4"/>
    <w:rsid w:val="006A46F7"/>
    <w:rsid w:val="006A49EA"/>
    <w:rsid w:val="006A4C0D"/>
    <w:rsid w:val="006A4D7B"/>
    <w:rsid w:val="006A5266"/>
    <w:rsid w:val="006A5409"/>
    <w:rsid w:val="006A5484"/>
    <w:rsid w:val="006A57E2"/>
    <w:rsid w:val="006A5B43"/>
    <w:rsid w:val="006A5D1A"/>
    <w:rsid w:val="006A5D5F"/>
    <w:rsid w:val="006A6148"/>
    <w:rsid w:val="006A62A3"/>
    <w:rsid w:val="006A62E9"/>
    <w:rsid w:val="006A6454"/>
    <w:rsid w:val="006A6481"/>
    <w:rsid w:val="006A652F"/>
    <w:rsid w:val="006A6565"/>
    <w:rsid w:val="006A65E5"/>
    <w:rsid w:val="006A6688"/>
    <w:rsid w:val="006A677F"/>
    <w:rsid w:val="006A6999"/>
    <w:rsid w:val="006A69D3"/>
    <w:rsid w:val="006A69F8"/>
    <w:rsid w:val="006A6AE1"/>
    <w:rsid w:val="006A6EDA"/>
    <w:rsid w:val="006A7060"/>
    <w:rsid w:val="006A7126"/>
    <w:rsid w:val="006A71A1"/>
    <w:rsid w:val="006A7316"/>
    <w:rsid w:val="006A7682"/>
    <w:rsid w:val="006A7757"/>
    <w:rsid w:val="006A77E1"/>
    <w:rsid w:val="006A79A5"/>
    <w:rsid w:val="006A7B89"/>
    <w:rsid w:val="006A7D4B"/>
    <w:rsid w:val="006A7D8B"/>
    <w:rsid w:val="006A7E08"/>
    <w:rsid w:val="006A7FA7"/>
    <w:rsid w:val="006B00F7"/>
    <w:rsid w:val="006B030E"/>
    <w:rsid w:val="006B031F"/>
    <w:rsid w:val="006B03D1"/>
    <w:rsid w:val="006B05C9"/>
    <w:rsid w:val="006B0A70"/>
    <w:rsid w:val="006B1146"/>
    <w:rsid w:val="006B13B2"/>
    <w:rsid w:val="006B15DD"/>
    <w:rsid w:val="006B1659"/>
    <w:rsid w:val="006B19AB"/>
    <w:rsid w:val="006B1A29"/>
    <w:rsid w:val="006B1BE2"/>
    <w:rsid w:val="006B1C48"/>
    <w:rsid w:val="006B1E8D"/>
    <w:rsid w:val="006B1F08"/>
    <w:rsid w:val="006B2533"/>
    <w:rsid w:val="006B273C"/>
    <w:rsid w:val="006B276D"/>
    <w:rsid w:val="006B2B00"/>
    <w:rsid w:val="006B2C0F"/>
    <w:rsid w:val="006B2DA5"/>
    <w:rsid w:val="006B2E2D"/>
    <w:rsid w:val="006B2E67"/>
    <w:rsid w:val="006B2FCC"/>
    <w:rsid w:val="006B31E5"/>
    <w:rsid w:val="006B3289"/>
    <w:rsid w:val="006B32FC"/>
    <w:rsid w:val="006B33F7"/>
    <w:rsid w:val="006B39AA"/>
    <w:rsid w:val="006B3C43"/>
    <w:rsid w:val="006B3C74"/>
    <w:rsid w:val="006B3CA0"/>
    <w:rsid w:val="006B3DE5"/>
    <w:rsid w:val="006B3E18"/>
    <w:rsid w:val="006B3F00"/>
    <w:rsid w:val="006B3F55"/>
    <w:rsid w:val="006B3F88"/>
    <w:rsid w:val="006B4128"/>
    <w:rsid w:val="006B41FE"/>
    <w:rsid w:val="006B4239"/>
    <w:rsid w:val="006B44FF"/>
    <w:rsid w:val="006B4503"/>
    <w:rsid w:val="006B4616"/>
    <w:rsid w:val="006B467B"/>
    <w:rsid w:val="006B470E"/>
    <w:rsid w:val="006B47C3"/>
    <w:rsid w:val="006B48F1"/>
    <w:rsid w:val="006B4AC4"/>
    <w:rsid w:val="006B4BCD"/>
    <w:rsid w:val="006B4FF0"/>
    <w:rsid w:val="006B511F"/>
    <w:rsid w:val="006B51B4"/>
    <w:rsid w:val="006B5210"/>
    <w:rsid w:val="006B538E"/>
    <w:rsid w:val="006B5536"/>
    <w:rsid w:val="006B56CA"/>
    <w:rsid w:val="006B5806"/>
    <w:rsid w:val="006B5871"/>
    <w:rsid w:val="006B58B5"/>
    <w:rsid w:val="006B5B61"/>
    <w:rsid w:val="006B5CB0"/>
    <w:rsid w:val="006B5D38"/>
    <w:rsid w:val="006B5DEB"/>
    <w:rsid w:val="006B5FE5"/>
    <w:rsid w:val="006B5FE6"/>
    <w:rsid w:val="006B60EF"/>
    <w:rsid w:val="006B61E8"/>
    <w:rsid w:val="006B631D"/>
    <w:rsid w:val="006B65C4"/>
    <w:rsid w:val="006B65D6"/>
    <w:rsid w:val="006B6727"/>
    <w:rsid w:val="006B6EBD"/>
    <w:rsid w:val="006B6ECB"/>
    <w:rsid w:val="006B6F55"/>
    <w:rsid w:val="006B6F59"/>
    <w:rsid w:val="006B6FAC"/>
    <w:rsid w:val="006B716D"/>
    <w:rsid w:val="006B7365"/>
    <w:rsid w:val="006B7713"/>
    <w:rsid w:val="006B77A1"/>
    <w:rsid w:val="006B7D0A"/>
    <w:rsid w:val="006B7DE2"/>
    <w:rsid w:val="006B7F5F"/>
    <w:rsid w:val="006C01FC"/>
    <w:rsid w:val="006C0559"/>
    <w:rsid w:val="006C0629"/>
    <w:rsid w:val="006C070B"/>
    <w:rsid w:val="006C089E"/>
    <w:rsid w:val="006C0917"/>
    <w:rsid w:val="006C0A74"/>
    <w:rsid w:val="006C0AA5"/>
    <w:rsid w:val="006C0DC9"/>
    <w:rsid w:val="006C0E5B"/>
    <w:rsid w:val="006C1167"/>
    <w:rsid w:val="006C1244"/>
    <w:rsid w:val="006C142D"/>
    <w:rsid w:val="006C171F"/>
    <w:rsid w:val="006C18E1"/>
    <w:rsid w:val="006C19CE"/>
    <w:rsid w:val="006C19EA"/>
    <w:rsid w:val="006C1ABB"/>
    <w:rsid w:val="006C1BFC"/>
    <w:rsid w:val="006C1C43"/>
    <w:rsid w:val="006C1CEB"/>
    <w:rsid w:val="006C1E06"/>
    <w:rsid w:val="006C20B3"/>
    <w:rsid w:val="006C2113"/>
    <w:rsid w:val="006C2269"/>
    <w:rsid w:val="006C2452"/>
    <w:rsid w:val="006C2482"/>
    <w:rsid w:val="006C24FA"/>
    <w:rsid w:val="006C2618"/>
    <w:rsid w:val="006C26AA"/>
    <w:rsid w:val="006C26B8"/>
    <w:rsid w:val="006C26BA"/>
    <w:rsid w:val="006C27B7"/>
    <w:rsid w:val="006C2805"/>
    <w:rsid w:val="006C291A"/>
    <w:rsid w:val="006C29C4"/>
    <w:rsid w:val="006C2CA5"/>
    <w:rsid w:val="006C32D3"/>
    <w:rsid w:val="006C35FC"/>
    <w:rsid w:val="006C3829"/>
    <w:rsid w:val="006C3909"/>
    <w:rsid w:val="006C3995"/>
    <w:rsid w:val="006C39A4"/>
    <w:rsid w:val="006C3B12"/>
    <w:rsid w:val="006C3B53"/>
    <w:rsid w:val="006C3DA4"/>
    <w:rsid w:val="006C3E8F"/>
    <w:rsid w:val="006C42CE"/>
    <w:rsid w:val="006C467D"/>
    <w:rsid w:val="006C46B1"/>
    <w:rsid w:val="006C4A32"/>
    <w:rsid w:val="006C4ABE"/>
    <w:rsid w:val="006C4CD7"/>
    <w:rsid w:val="006C4D08"/>
    <w:rsid w:val="006C4D65"/>
    <w:rsid w:val="006C4DCF"/>
    <w:rsid w:val="006C4F98"/>
    <w:rsid w:val="006C4FD6"/>
    <w:rsid w:val="006C5045"/>
    <w:rsid w:val="006C5059"/>
    <w:rsid w:val="006C51AB"/>
    <w:rsid w:val="006C51CF"/>
    <w:rsid w:val="006C51D1"/>
    <w:rsid w:val="006C5971"/>
    <w:rsid w:val="006C5A20"/>
    <w:rsid w:val="006C5AE4"/>
    <w:rsid w:val="006C5B70"/>
    <w:rsid w:val="006C5C62"/>
    <w:rsid w:val="006C6089"/>
    <w:rsid w:val="006C6162"/>
    <w:rsid w:val="006C629D"/>
    <w:rsid w:val="006C6350"/>
    <w:rsid w:val="006C6670"/>
    <w:rsid w:val="006C66F4"/>
    <w:rsid w:val="006C67F9"/>
    <w:rsid w:val="006C6917"/>
    <w:rsid w:val="006C6C18"/>
    <w:rsid w:val="006C6C38"/>
    <w:rsid w:val="006C70D5"/>
    <w:rsid w:val="006C7141"/>
    <w:rsid w:val="006C738A"/>
    <w:rsid w:val="006C74C7"/>
    <w:rsid w:val="006C75A3"/>
    <w:rsid w:val="006C76A8"/>
    <w:rsid w:val="006C79E5"/>
    <w:rsid w:val="006C7A9B"/>
    <w:rsid w:val="006C7CDE"/>
    <w:rsid w:val="006C7CE0"/>
    <w:rsid w:val="006C7E67"/>
    <w:rsid w:val="006C7F87"/>
    <w:rsid w:val="006D00AB"/>
    <w:rsid w:val="006D0243"/>
    <w:rsid w:val="006D024B"/>
    <w:rsid w:val="006D04E4"/>
    <w:rsid w:val="006D083B"/>
    <w:rsid w:val="006D0C0A"/>
    <w:rsid w:val="006D0C2C"/>
    <w:rsid w:val="006D1076"/>
    <w:rsid w:val="006D1608"/>
    <w:rsid w:val="006D1614"/>
    <w:rsid w:val="006D1674"/>
    <w:rsid w:val="006D1675"/>
    <w:rsid w:val="006D16A3"/>
    <w:rsid w:val="006D18C4"/>
    <w:rsid w:val="006D1957"/>
    <w:rsid w:val="006D1D65"/>
    <w:rsid w:val="006D1DF6"/>
    <w:rsid w:val="006D1E16"/>
    <w:rsid w:val="006D1F07"/>
    <w:rsid w:val="006D1FC3"/>
    <w:rsid w:val="006D20B1"/>
    <w:rsid w:val="006D22E0"/>
    <w:rsid w:val="006D245F"/>
    <w:rsid w:val="006D2555"/>
    <w:rsid w:val="006D2580"/>
    <w:rsid w:val="006D2704"/>
    <w:rsid w:val="006D279C"/>
    <w:rsid w:val="006D27AF"/>
    <w:rsid w:val="006D2C61"/>
    <w:rsid w:val="006D2C8F"/>
    <w:rsid w:val="006D2EEB"/>
    <w:rsid w:val="006D321C"/>
    <w:rsid w:val="006D33F7"/>
    <w:rsid w:val="006D3598"/>
    <w:rsid w:val="006D3642"/>
    <w:rsid w:val="006D37A1"/>
    <w:rsid w:val="006D38D6"/>
    <w:rsid w:val="006D3A07"/>
    <w:rsid w:val="006D3B3C"/>
    <w:rsid w:val="006D3B8A"/>
    <w:rsid w:val="006D3FFB"/>
    <w:rsid w:val="006D41DB"/>
    <w:rsid w:val="006D44A6"/>
    <w:rsid w:val="006D45B3"/>
    <w:rsid w:val="006D45C7"/>
    <w:rsid w:val="006D48D1"/>
    <w:rsid w:val="006D4986"/>
    <w:rsid w:val="006D4D9A"/>
    <w:rsid w:val="006D4E24"/>
    <w:rsid w:val="006D5513"/>
    <w:rsid w:val="006D5526"/>
    <w:rsid w:val="006D55E1"/>
    <w:rsid w:val="006D5646"/>
    <w:rsid w:val="006D5958"/>
    <w:rsid w:val="006D5ACD"/>
    <w:rsid w:val="006D5B51"/>
    <w:rsid w:val="006D5C80"/>
    <w:rsid w:val="006D5CB1"/>
    <w:rsid w:val="006D5CD7"/>
    <w:rsid w:val="006D5E42"/>
    <w:rsid w:val="006D5E53"/>
    <w:rsid w:val="006D5F79"/>
    <w:rsid w:val="006D6353"/>
    <w:rsid w:val="006D6649"/>
    <w:rsid w:val="006D6927"/>
    <w:rsid w:val="006D6D4A"/>
    <w:rsid w:val="006D6D56"/>
    <w:rsid w:val="006D6DB9"/>
    <w:rsid w:val="006D6E5E"/>
    <w:rsid w:val="006D6FD1"/>
    <w:rsid w:val="006D7172"/>
    <w:rsid w:val="006D71EC"/>
    <w:rsid w:val="006D7354"/>
    <w:rsid w:val="006D742D"/>
    <w:rsid w:val="006D75B9"/>
    <w:rsid w:val="006D7850"/>
    <w:rsid w:val="006D7A0C"/>
    <w:rsid w:val="006D7DD7"/>
    <w:rsid w:val="006D7F82"/>
    <w:rsid w:val="006E0050"/>
    <w:rsid w:val="006E030A"/>
    <w:rsid w:val="006E037E"/>
    <w:rsid w:val="006E0498"/>
    <w:rsid w:val="006E075C"/>
    <w:rsid w:val="006E0A39"/>
    <w:rsid w:val="006E0CB1"/>
    <w:rsid w:val="006E0EAA"/>
    <w:rsid w:val="006E0EC7"/>
    <w:rsid w:val="006E0F0D"/>
    <w:rsid w:val="006E0F0E"/>
    <w:rsid w:val="006E1113"/>
    <w:rsid w:val="006E1137"/>
    <w:rsid w:val="006E12D2"/>
    <w:rsid w:val="006E13A3"/>
    <w:rsid w:val="006E18E4"/>
    <w:rsid w:val="006E1915"/>
    <w:rsid w:val="006E1D2B"/>
    <w:rsid w:val="006E1E43"/>
    <w:rsid w:val="006E1F87"/>
    <w:rsid w:val="006E2137"/>
    <w:rsid w:val="006E21DC"/>
    <w:rsid w:val="006E2313"/>
    <w:rsid w:val="006E235E"/>
    <w:rsid w:val="006E2562"/>
    <w:rsid w:val="006E2600"/>
    <w:rsid w:val="006E28C9"/>
    <w:rsid w:val="006E2A6D"/>
    <w:rsid w:val="006E2CAC"/>
    <w:rsid w:val="006E2CD6"/>
    <w:rsid w:val="006E2FC0"/>
    <w:rsid w:val="006E2FE7"/>
    <w:rsid w:val="006E3055"/>
    <w:rsid w:val="006E333D"/>
    <w:rsid w:val="006E364C"/>
    <w:rsid w:val="006E3757"/>
    <w:rsid w:val="006E399A"/>
    <w:rsid w:val="006E3B1F"/>
    <w:rsid w:val="006E3B90"/>
    <w:rsid w:val="006E3C71"/>
    <w:rsid w:val="006E40FF"/>
    <w:rsid w:val="006E4172"/>
    <w:rsid w:val="006E42A9"/>
    <w:rsid w:val="006E44E8"/>
    <w:rsid w:val="006E4552"/>
    <w:rsid w:val="006E461B"/>
    <w:rsid w:val="006E469F"/>
    <w:rsid w:val="006E4792"/>
    <w:rsid w:val="006E4794"/>
    <w:rsid w:val="006E493C"/>
    <w:rsid w:val="006E537B"/>
    <w:rsid w:val="006E53B4"/>
    <w:rsid w:val="006E53FB"/>
    <w:rsid w:val="006E5450"/>
    <w:rsid w:val="006E54D4"/>
    <w:rsid w:val="006E5514"/>
    <w:rsid w:val="006E553E"/>
    <w:rsid w:val="006E5550"/>
    <w:rsid w:val="006E5787"/>
    <w:rsid w:val="006E5918"/>
    <w:rsid w:val="006E5976"/>
    <w:rsid w:val="006E5B6A"/>
    <w:rsid w:val="006E5BCB"/>
    <w:rsid w:val="006E61EE"/>
    <w:rsid w:val="006E62B0"/>
    <w:rsid w:val="006E62B6"/>
    <w:rsid w:val="006E65AF"/>
    <w:rsid w:val="006E6756"/>
    <w:rsid w:val="006E69E9"/>
    <w:rsid w:val="006E6BC8"/>
    <w:rsid w:val="006E6D4A"/>
    <w:rsid w:val="006E71BC"/>
    <w:rsid w:val="006E74A0"/>
    <w:rsid w:val="006E787C"/>
    <w:rsid w:val="006E7922"/>
    <w:rsid w:val="006E7A10"/>
    <w:rsid w:val="006E7A5D"/>
    <w:rsid w:val="006E7B9E"/>
    <w:rsid w:val="006E7C00"/>
    <w:rsid w:val="006E7C7F"/>
    <w:rsid w:val="006E7CCA"/>
    <w:rsid w:val="006E7D00"/>
    <w:rsid w:val="006E7D32"/>
    <w:rsid w:val="006F0072"/>
    <w:rsid w:val="006F0156"/>
    <w:rsid w:val="006F01A7"/>
    <w:rsid w:val="006F01FA"/>
    <w:rsid w:val="006F028A"/>
    <w:rsid w:val="006F02A9"/>
    <w:rsid w:val="006F0444"/>
    <w:rsid w:val="006F0742"/>
    <w:rsid w:val="006F07C0"/>
    <w:rsid w:val="006F08A3"/>
    <w:rsid w:val="006F09AF"/>
    <w:rsid w:val="006F0CF8"/>
    <w:rsid w:val="006F0F5F"/>
    <w:rsid w:val="006F0FAB"/>
    <w:rsid w:val="006F1093"/>
    <w:rsid w:val="006F12E0"/>
    <w:rsid w:val="006F1560"/>
    <w:rsid w:val="006F172B"/>
    <w:rsid w:val="006F17B1"/>
    <w:rsid w:val="006F1BAD"/>
    <w:rsid w:val="006F1F34"/>
    <w:rsid w:val="006F215A"/>
    <w:rsid w:val="006F21C1"/>
    <w:rsid w:val="006F252F"/>
    <w:rsid w:val="006F2680"/>
    <w:rsid w:val="006F26F0"/>
    <w:rsid w:val="006F2851"/>
    <w:rsid w:val="006F2860"/>
    <w:rsid w:val="006F28B4"/>
    <w:rsid w:val="006F290D"/>
    <w:rsid w:val="006F2966"/>
    <w:rsid w:val="006F2AE7"/>
    <w:rsid w:val="006F2B1E"/>
    <w:rsid w:val="006F2B5B"/>
    <w:rsid w:val="006F2B7C"/>
    <w:rsid w:val="006F2C0D"/>
    <w:rsid w:val="006F2E2B"/>
    <w:rsid w:val="006F315C"/>
    <w:rsid w:val="006F32E9"/>
    <w:rsid w:val="006F336F"/>
    <w:rsid w:val="006F374E"/>
    <w:rsid w:val="006F3783"/>
    <w:rsid w:val="006F3808"/>
    <w:rsid w:val="006F3968"/>
    <w:rsid w:val="006F39BA"/>
    <w:rsid w:val="006F3C14"/>
    <w:rsid w:val="006F3D69"/>
    <w:rsid w:val="006F3EAE"/>
    <w:rsid w:val="006F43AD"/>
    <w:rsid w:val="006F43CE"/>
    <w:rsid w:val="006F463C"/>
    <w:rsid w:val="006F46B2"/>
    <w:rsid w:val="006F474B"/>
    <w:rsid w:val="006F4C30"/>
    <w:rsid w:val="006F4D1F"/>
    <w:rsid w:val="006F4E11"/>
    <w:rsid w:val="006F5049"/>
    <w:rsid w:val="006F5076"/>
    <w:rsid w:val="006F52AF"/>
    <w:rsid w:val="006F5585"/>
    <w:rsid w:val="006F56EB"/>
    <w:rsid w:val="006F5833"/>
    <w:rsid w:val="006F5862"/>
    <w:rsid w:val="006F5B0D"/>
    <w:rsid w:val="006F5CB5"/>
    <w:rsid w:val="006F5E08"/>
    <w:rsid w:val="006F5F01"/>
    <w:rsid w:val="006F5F82"/>
    <w:rsid w:val="006F5F8F"/>
    <w:rsid w:val="006F604D"/>
    <w:rsid w:val="006F614E"/>
    <w:rsid w:val="006F63BC"/>
    <w:rsid w:val="006F67E3"/>
    <w:rsid w:val="006F6ACD"/>
    <w:rsid w:val="006F6C25"/>
    <w:rsid w:val="006F6D4F"/>
    <w:rsid w:val="006F6F2D"/>
    <w:rsid w:val="006F7103"/>
    <w:rsid w:val="006F7371"/>
    <w:rsid w:val="006F759D"/>
    <w:rsid w:val="006F773B"/>
    <w:rsid w:val="006F77AD"/>
    <w:rsid w:val="006F78E7"/>
    <w:rsid w:val="006F7F54"/>
    <w:rsid w:val="007000AA"/>
    <w:rsid w:val="007002A3"/>
    <w:rsid w:val="00700607"/>
    <w:rsid w:val="007008C7"/>
    <w:rsid w:val="007008CC"/>
    <w:rsid w:val="007009AB"/>
    <w:rsid w:val="00700A3C"/>
    <w:rsid w:val="00700C21"/>
    <w:rsid w:val="00700CF8"/>
    <w:rsid w:val="00700D2D"/>
    <w:rsid w:val="00700DEF"/>
    <w:rsid w:val="00700E17"/>
    <w:rsid w:val="00700E51"/>
    <w:rsid w:val="00700F97"/>
    <w:rsid w:val="00701077"/>
    <w:rsid w:val="00701169"/>
    <w:rsid w:val="007016A0"/>
    <w:rsid w:val="007016AF"/>
    <w:rsid w:val="00701723"/>
    <w:rsid w:val="007017D9"/>
    <w:rsid w:val="00701A80"/>
    <w:rsid w:val="00701B82"/>
    <w:rsid w:val="00701CAE"/>
    <w:rsid w:val="00701F1E"/>
    <w:rsid w:val="00702348"/>
    <w:rsid w:val="007024E4"/>
    <w:rsid w:val="00702628"/>
    <w:rsid w:val="00702634"/>
    <w:rsid w:val="00702667"/>
    <w:rsid w:val="0070267C"/>
    <w:rsid w:val="007026A3"/>
    <w:rsid w:val="00702870"/>
    <w:rsid w:val="0070291A"/>
    <w:rsid w:val="00702C04"/>
    <w:rsid w:val="00702CAA"/>
    <w:rsid w:val="00702E0E"/>
    <w:rsid w:val="007030AF"/>
    <w:rsid w:val="00703144"/>
    <w:rsid w:val="007031FD"/>
    <w:rsid w:val="00703605"/>
    <w:rsid w:val="00703879"/>
    <w:rsid w:val="00703AC9"/>
    <w:rsid w:val="00703B19"/>
    <w:rsid w:val="00703B98"/>
    <w:rsid w:val="00703D83"/>
    <w:rsid w:val="00703DD3"/>
    <w:rsid w:val="00703FEF"/>
    <w:rsid w:val="00704217"/>
    <w:rsid w:val="0070425C"/>
    <w:rsid w:val="0070428A"/>
    <w:rsid w:val="007043FD"/>
    <w:rsid w:val="0070440F"/>
    <w:rsid w:val="00704429"/>
    <w:rsid w:val="007044B9"/>
    <w:rsid w:val="00704685"/>
    <w:rsid w:val="007049A3"/>
    <w:rsid w:val="007049E2"/>
    <w:rsid w:val="00704A26"/>
    <w:rsid w:val="00704CDD"/>
    <w:rsid w:val="00704DC5"/>
    <w:rsid w:val="00704DE2"/>
    <w:rsid w:val="00704E32"/>
    <w:rsid w:val="0070500D"/>
    <w:rsid w:val="0070506D"/>
    <w:rsid w:val="0070530F"/>
    <w:rsid w:val="007053F1"/>
    <w:rsid w:val="0070546A"/>
    <w:rsid w:val="00705549"/>
    <w:rsid w:val="00705779"/>
    <w:rsid w:val="00705991"/>
    <w:rsid w:val="00705B0A"/>
    <w:rsid w:val="00705C63"/>
    <w:rsid w:val="00705C8A"/>
    <w:rsid w:val="00705D8B"/>
    <w:rsid w:val="00705FD7"/>
    <w:rsid w:val="00705FE0"/>
    <w:rsid w:val="0070608E"/>
    <w:rsid w:val="007061E1"/>
    <w:rsid w:val="007062B2"/>
    <w:rsid w:val="007062D2"/>
    <w:rsid w:val="0070683C"/>
    <w:rsid w:val="00706B52"/>
    <w:rsid w:val="00706C25"/>
    <w:rsid w:val="00706CDF"/>
    <w:rsid w:val="00706D11"/>
    <w:rsid w:val="00706FF5"/>
    <w:rsid w:val="0070723D"/>
    <w:rsid w:val="0070723F"/>
    <w:rsid w:val="00707359"/>
    <w:rsid w:val="007073E3"/>
    <w:rsid w:val="0070745C"/>
    <w:rsid w:val="00707589"/>
    <w:rsid w:val="00707B64"/>
    <w:rsid w:val="0071008D"/>
    <w:rsid w:val="00710124"/>
    <w:rsid w:val="0071012F"/>
    <w:rsid w:val="00710193"/>
    <w:rsid w:val="00710223"/>
    <w:rsid w:val="00710293"/>
    <w:rsid w:val="007102F0"/>
    <w:rsid w:val="007102F3"/>
    <w:rsid w:val="0071048E"/>
    <w:rsid w:val="00710897"/>
    <w:rsid w:val="00710EEC"/>
    <w:rsid w:val="00710FCE"/>
    <w:rsid w:val="00710FD3"/>
    <w:rsid w:val="0071124C"/>
    <w:rsid w:val="007113B3"/>
    <w:rsid w:val="0071149E"/>
    <w:rsid w:val="007116D0"/>
    <w:rsid w:val="00711770"/>
    <w:rsid w:val="007117FC"/>
    <w:rsid w:val="00711A8B"/>
    <w:rsid w:val="00711D06"/>
    <w:rsid w:val="00711D47"/>
    <w:rsid w:val="00711E37"/>
    <w:rsid w:val="00712162"/>
    <w:rsid w:val="0071221F"/>
    <w:rsid w:val="00712321"/>
    <w:rsid w:val="00712336"/>
    <w:rsid w:val="00712395"/>
    <w:rsid w:val="0071267C"/>
    <w:rsid w:val="00712701"/>
    <w:rsid w:val="00712809"/>
    <w:rsid w:val="00712882"/>
    <w:rsid w:val="007129A1"/>
    <w:rsid w:val="00712B18"/>
    <w:rsid w:val="00712CFE"/>
    <w:rsid w:val="00712D27"/>
    <w:rsid w:val="00712FE2"/>
    <w:rsid w:val="007132DD"/>
    <w:rsid w:val="00713448"/>
    <w:rsid w:val="00713473"/>
    <w:rsid w:val="007135C9"/>
    <w:rsid w:val="00713CD5"/>
    <w:rsid w:val="00713D16"/>
    <w:rsid w:val="00713D97"/>
    <w:rsid w:val="00713DF0"/>
    <w:rsid w:val="00713EAA"/>
    <w:rsid w:val="007140D0"/>
    <w:rsid w:val="0071426D"/>
    <w:rsid w:val="00714450"/>
    <w:rsid w:val="00714510"/>
    <w:rsid w:val="0071469E"/>
    <w:rsid w:val="00714818"/>
    <w:rsid w:val="00714822"/>
    <w:rsid w:val="00714B5B"/>
    <w:rsid w:val="00714ED2"/>
    <w:rsid w:val="00714ED6"/>
    <w:rsid w:val="00715188"/>
    <w:rsid w:val="007151D5"/>
    <w:rsid w:val="0071522D"/>
    <w:rsid w:val="0071527F"/>
    <w:rsid w:val="0071529F"/>
    <w:rsid w:val="0071555D"/>
    <w:rsid w:val="00715567"/>
    <w:rsid w:val="00715644"/>
    <w:rsid w:val="007156BC"/>
    <w:rsid w:val="0071571B"/>
    <w:rsid w:val="0071598B"/>
    <w:rsid w:val="007159F8"/>
    <w:rsid w:val="00715A74"/>
    <w:rsid w:val="00715D97"/>
    <w:rsid w:val="00715E42"/>
    <w:rsid w:val="00716078"/>
    <w:rsid w:val="007161A3"/>
    <w:rsid w:val="007166C6"/>
    <w:rsid w:val="00716849"/>
    <w:rsid w:val="00716B80"/>
    <w:rsid w:val="00716CF4"/>
    <w:rsid w:val="00717024"/>
    <w:rsid w:val="007170AE"/>
    <w:rsid w:val="00717140"/>
    <w:rsid w:val="007171F3"/>
    <w:rsid w:val="00717354"/>
    <w:rsid w:val="007173B2"/>
    <w:rsid w:val="00717451"/>
    <w:rsid w:val="0071747F"/>
    <w:rsid w:val="00717829"/>
    <w:rsid w:val="007178CC"/>
    <w:rsid w:val="007179E7"/>
    <w:rsid w:val="00717A50"/>
    <w:rsid w:val="00717B9D"/>
    <w:rsid w:val="00717C1D"/>
    <w:rsid w:val="00717D4D"/>
    <w:rsid w:val="00717DD9"/>
    <w:rsid w:val="00717E14"/>
    <w:rsid w:val="007202A5"/>
    <w:rsid w:val="0072034F"/>
    <w:rsid w:val="00720377"/>
    <w:rsid w:val="007203D2"/>
    <w:rsid w:val="00720446"/>
    <w:rsid w:val="007204ED"/>
    <w:rsid w:val="00720570"/>
    <w:rsid w:val="00720D20"/>
    <w:rsid w:val="00720D56"/>
    <w:rsid w:val="00721032"/>
    <w:rsid w:val="0072105F"/>
    <w:rsid w:val="007210E3"/>
    <w:rsid w:val="00721189"/>
    <w:rsid w:val="0072121A"/>
    <w:rsid w:val="00721253"/>
    <w:rsid w:val="007213CD"/>
    <w:rsid w:val="007216E3"/>
    <w:rsid w:val="007217D0"/>
    <w:rsid w:val="007219AF"/>
    <w:rsid w:val="00721D2B"/>
    <w:rsid w:val="00721D7A"/>
    <w:rsid w:val="00721E70"/>
    <w:rsid w:val="007220FB"/>
    <w:rsid w:val="007221F1"/>
    <w:rsid w:val="00722262"/>
    <w:rsid w:val="007223EA"/>
    <w:rsid w:val="00722430"/>
    <w:rsid w:val="0072260E"/>
    <w:rsid w:val="00722835"/>
    <w:rsid w:val="00722A18"/>
    <w:rsid w:val="00722D50"/>
    <w:rsid w:val="00722F71"/>
    <w:rsid w:val="00722FFF"/>
    <w:rsid w:val="00723751"/>
    <w:rsid w:val="00723801"/>
    <w:rsid w:val="00723A70"/>
    <w:rsid w:val="00723F03"/>
    <w:rsid w:val="00723F48"/>
    <w:rsid w:val="0072402B"/>
    <w:rsid w:val="007241C6"/>
    <w:rsid w:val="00724206"/>
    <w:rsid w:val="0072429F"/>
    <w:rsid w:val="007243F6"/>
    <w:rsid w:val="00724537"/>
    <w:rsid w:val="00724714"/>
    <w:rsid w:val="007247CD"/>
    <w:rsid w:val="007247F8"/>
    <w:rsid w:val="00724A47"/>
    <w:rsid w:val="00724C10"/>
    <w:rsid w:val="00724D79"/>
    <w:rsid w:val="007251C5"/>
    <w:rsid w:val="0072541F"/>
    <w:rsid w:val="00725445"/>
    <w:rsid w:val="007254BA"/>
    <w:rsid w:val="00725513"/>
    <w:rsid w:val="00726081"/>
    <w:rsid w:val="00726204"/>
    <w:rsid w:val="00726209"/>
    <w:rsid w:val="0072625B"/>
    <w:rsid w:val="007263E3"/>
    <w:rsid w:val="007264A8"/>
    <w:rsid w:val="0072658B"/>
    <w:rsid w:val="00726764"/>
    <w:rsid w:val="00726784"/>
    <w:rsid w:val="0072696A"/>
    <w:rsid w:val="00726CC5"/>
    <w:rsid w:val="00726D08"/>
    <w:rsid w:val="00726D67"/>
    <w:rsid w:val="00726E0D"/>
    <w:rsid w:val="00726F61"/>
    <w:rsid w:val="007270B9"/>
    <w:rsid w:val="0072715A"/>
    <w:rsid w:val="007272D7"/>
    <w:rsid w:val="007277F5"/>
    <w:rsid w:val="00727A07"/>
    <w:rsid w:val="00727A9F"/>
    <w:rsid w:val="0073021A"/>
    <w:rsid w:val="00730262"/>
    <w:rsid w:val="00730695"/>
    <w:rsid w:val="00730B2D"/>
    <w:rsid w:val="00730BF8"/>
    <w:rsid w:val="00730C86"/>
    <w:rsid w:val="00730CF4"/>
    <w:rsid w:val="00730F4F"/>
    <w:rsid w:val="007312ED"/>
    <w:rsid w:val="007312F5"/>
    <w:rsid w:val="00731337"/>
    <w:rsid w:val="007313EC"/>
    <w:rsid w:val="00731437"/>
    <w:rsid w:val="00731475"/>
    <w:rsid w:val="007315F8"/>
    <w:rsid w:val="00731755"/>
    <w:rsid w:val="00731873"/>
    <w:rsid w:val="00731985"/>
    <w:rsid w:val="00731B83"/>
    <w:rsid w:val="00731C11"/>
    <w:rsid w:val="00731CBA"/>
    <w:rsid w:val="00731CF2"/>
    <w:rsid w:val="00731FC8"/>
    <w:rsid w:val="00732038"/>
    <w:rsid w:val="007322A1"/>
    <w:rsid w:val="00732495"/>
    <w:rsid w:val="00732773"/>
    <w:rsid w:val="007329E3"/>
    <w:rsid w:val="00732A6C"/>
    <w:rsid w:val="00732D45"/>
    <w:rsid w:val="00732D47"/>
    <w:rsid w:val="0073313B"/>
    <w:rsid w:val="00733274"/>
    <w:rsid w:val="007334A4"/>
    <w:rsid w:val="007335D6"/>
    <w:rsid w:val="00733640"/>
    <w:rsid w:val="00733845"/>
    <w:rsid w:val="00733997"/>
    <w:rsid w:val="00733B20"/>
    <w:rsid w:val="00733B9B"/>
    <w:rsid w:val="00733D94"/>
    <w:rsid w:val="00733DE1"/>
    <w:rsid w:val="00733FE8"/>
    <w:rsid w:val="007340AA"/>
    <w:rsid w:val="0073431A"/>
    <w:rsid w:val="00734594"/>
    <w:rsid w:val="007345A4"/>
    <w:rsid w:val="007345B0"/>
    <w:rsid w:val="007346A1"/>
    <w:rsid w:val="007347F3"/>
    <w:rsid w:val="007349CC"/>
    <w:rsid w:val="007349F5"/>
    <w:rsid w:val="00734C48"/>
    <w:rsid w:val="00734C89"/>
    <w:rsid w:val="00734DFC"/>
    <w:rsid w:val="00734E8B"/>
    <w:rsid w:val="00734F0B"/>
    <w:rsid w:val="00735127"/>
    <w:rsid w:val="007353D6"/>
    <w:rsid w:val="00735407"/>
    <w:rsid w:val="0073557B"/>
    <w:rsid w:val="007356E9"/>
    <w:rsid w:val="0073570E"/>
    <w:rsid w:val="00735959"/>
    <w:rsid w:val="00735C6C"/>
    <w:rsid w:val="00735C72"/>
    <w:rsid w:val="00735CAB"/>
    <w:rsid w:val="00735D58"/>
    <w:rsid w:val="00735DAF"/>
    <w:rsid w:val="00735E0E"/>
    <w:rsid w:val="00735E4A"/>
    <w:rsid w:val="00735E71"/>
    <w:rsid w:val="00735F3C"/>
    <w:rsid w:val="00735FA5"/>
    <w:rsid w:val="0073631B"/>
    <w:rsid w:val="00736390"/>
    <w:rsid w:val="007363B4"/>
    <w:rsid w:val="00736548"/>
    <w:rsid w:val="00736786"/>
    <w:rsid w:val="00736791"/>
    <w:rsid w:val="00736A90"/>
    <w:rsid w:val="00736B5D"/>
    <w:rsid w:val="00736DEC"/>
    <w:rsid w:val="00736FEE"/>
    <w:rsid w:val="00737024"/>
    <w:rsid w:val="007370DD"/>
    <w:rsid w:val="007371B6"/>
    <w:rsid w:val="00737224"/>
    <w:rsid w:val="0073739E"/>
    <w:rsid w:val="0073767A"/>
    <w:rsid w:val="007376EF"/>
    <w:rsid w:val="007377DF"/>
    <w:rsid w:val="00737820"/>
    <w:rsid w:val="007378D1"/>
    <w:rsid w:val="00737979"/>
    <w:rsid w:val="007379B7"/>
    <w:rsid w:val="00737B67"/>
    <w:rsid w:val="00737CDD"/>
    <w:rsid w:val="00737E22"/>
    <w:rsid w:val="00737F36"/>
    <w:rsid w:val="007400E7"/>
    <w:rsid w:val="00740155"/>
    <w:rsid w:val="00740220"/>
    <w:rsid w:val="00740256"/>
    <w:rsid w:val="00740354"/>
    <w:rsid w:val="007405C0"/>
    <w:rsid w:val="0074066F"/>
    <w:rsid w:val="00740B84"/>
    <w:rsid w:val="00740BE8"/>
    <w:rsid w:val="00740F60"/>
    <w:rsid w:val="0074133D"/>
    <w:rsid w:val="00741474"/>
    <w:rsid w:val="0074148D"/>
    <w:rsid w:val="0074173B"/>
    <w:rsid w:val="0074176B"/>
    <w:rsid w:val="0074189D"/>
    <w:rsid w:val="00741AEA"/>
    <w:rsid w:val="00741BC5"/>
    <w:rsid w:val="00742008"/>
    <w:rsid w:val="007422A8"/>
    <w:rsid w:val="007424AE"/>
    <w:rsid w:val="00742711"/>
    <w:rsid w:val="00742901"/>
    <w:rsid w:val="00742906"/>
    <w:rsid w:val="00742B94"/>
    <w:rsid w:val="00742CC8"/>
    <w:rsid w:val="00742FC3"/>
    <w:rsid w:val="00742FDA"/>
    <w:rsid w:val="00742FEE"/>
    <w:rsid w:val="00743404"/>
    <w:rsid w:val="007434E4"/>
    <w:rsid w:val="007435A5"/>
    <w:rsid w:val="007437B7"/>
    <w:rsid w:val="00743806"/>
    <w:rsid w:val="007438D2"/>
    <w:rsid w:val="0074399A"/>
    <w:rsid w:val="00743BA0"/>
    <w:rsid w:val="00743BC5"/>
    <w:rsid w:val="00743D89"/>
    <w:rsid w:val="00743F2D"/>
    <w:rsid w:val="007443E2"/>
    <w:rsid w:val="007443F9"/>
    <w:rsid w:val="007447CC"/>
    <w:rsid w:val="007449B7"/>
    <w:rsid w:val="00744E28"/>
    <w:rsid w:val="00744F81"/>
    <w:rsid w:val="00744FC5"/>
    <w:rsid w:val="00745303"/>
    <w:rsid w:val="00745305"/>
    <w:rsid w:val="0074551B"/>
    <w:rsid w:val="00745613"/>
    <w:rsid w:val="007457F9"/>
    <w:rsid w:val="007458AA"/>
    <w:rsid w:val="00745941"/>
    <w:rsid w:val="00745AD6"/>
    <w:rsid w:val="00745B55"/>
    <w:rsid w:val="00745E98"/>
    <w:rsid w:val="007460B7"/>
    <w:rsid w:val="0074620A"/>
    <w:rsid w:val="007462F8"/>
    <w:rsid w:val="00746317"/>
    <w:rsid w:val="00746698"/>
    <w:rsid w:val="007467D0"/>
    <w:rsid w:val="0074685A"/>
    <w:rsid w:val="00746A22"/>
    <w:rsid w:val="00746B60"/>
    <w:rsid w:val="00746B98"/>
    <w:rsid w:val="00746E25"/>
    <w:rsid w:val="00746FDC"/>
    <w:rsid w:val="0074726B"/>
    <w:rsid w:val="0074740E"/>
    <w:rsid w:val="0074754D"/>
    <w:rsid w:val="007475C2"/>
    <w:rsid w:val="00747AEB"/>
    <w:rsid w:val="00747B3C"/>
    <w:rsid w:val="00747C3D"/>
    <w:rsid w:val="00747D26"/>
    <w:rsid w:val="00747DF4"/>
    <w:rsid w:val="0075012F"/>
    <w:rsid w:val="00750437"/>
    <w:rsid w:val="00750558"/>
    <w:rsid w:val="007506DF"/>
    <w:rsid w:val="00750749"/>
    <w:rsid w:val="00750874"/>
    <w:rsid w:val="00750A94"/>
    <w:rsid w:val="00750D3A"/>
    <w:rsid w:val="00750D54"/>
    <w:rsid w:val="00750D97"/>
    <w:rsid w:val="00750FDB"/>
    <w:rsid w:val="0075101B"/>
    <w:rsid w:val="00751051"/>
    <w:rsid w:val="0075118C"/>
    <w:rsid w:val="007516A3"/>
    <w:rsid w:val="00751899"/>
    <w:rsid w:val="00751A1C"/>
    <w:rsid w:val="00751A4C"/>
    <w:rsid w:val="00751A5B"/>
    <w:rsid w:val="00751B84"/>
    <w:rsid w:val="00751D5A"/>
    <w:rsid w:val="00751E07"/>
    <w:rsid w:val="00751F1D"/>
    <w:rsid w:val="00752003"/>
    <w:rsid w:val="00752113"/>
    <w:rsid w:val="0075222B"/>
    <w:rsid w:val="00752279"/>
    <w:rsid w:val="007522D5"/>
    <w:rsid w:val="007524E0"/>
    <w:rsid w:val="00752550"/>
    <w:rsid w:val="00752946"/>
    <w:rsid w:val="0075295D"/>
    <w:rsid w:val="00752A4D"/>
    <w:rsid w:val="00752C15"/>
    <w:rsid w:val="00752E99"/>
    <w:rsid w:val="00752F64"/>
    <w:rsid w:val="00752FD6"/>
    <w:rsid w:val="0075305C"/>
    <w:rsid w:val="00753062"/>
    <w:rsid w:val="0075308E"/>
    <w:rsid w:val="00753131"/>
    <w:rsid w:val="007531E2"/>
    <w:rsid w:val="007531F0"/>
    <w:rsid w:val="007533A6"/>
    <w:rsid w:val="007535EC"/>
    <w:rsid w:val="007536BC"/>
    <w:rsid w:val="0075370A"/>
    <w:rsid w:val="00753729"/>
    <w:rsid w:val="0075377B"/>
    <w:rsid w:val="0075403B"/>
    <w:rsid w:val="0075408F"/>
    <w:rsid w:val="007541B5"/>
    <w:rsid w:val="00754279"/>
    <w:rsid w:val="0075432A"/>
    <w:rsid w:val="0075457B"/>
    <w:rsid w:val="0075469C"/>
    <w:rsid w:val="00754940"/>
    <w:rsid w:val="0075497E"/>
    <w:rsid w:val="00754A6C"/>
    <w:rsid w:val="00754ACB"/>
    <w:rsid w:val="00754B46"/>
    <w:rsid w:val="00754E6E"/>
    <w:rsid w:val="00755185"/>
    <w:rsid w:val="00755363"/>
    <w:rsid w:val="0075562B"/>
    <w:rsid w:val="007558AD"/>
    <w:rsid w:val="0075595D"/>
    <w:rsid w:val="007559FE"/>
    <w:rsid w:val="00755C0B"/>
    <w:rsid w:val="0075657A"/>
    <w:rsid w:val="00756679"/>
    <w:rsid w:val="007566C0"/>
    <w:rsid w:val="00756E76"/>
    <w:rsid w:val="00756EB1"/>
    <w:rsid w:val="00756FB8"/>
    <w:rsid w:val="0075700D"/>
    <w:rsid w:val="007571BA"/>
    <w:rsid w:val="0075722F"/>
    <w:rsid w:val="00757547"/>
    <w:rsid w:val="007575DC"/>
    <w:rsid w:val="00757648"/>
    <w:rsid w:val="00757653"/>
    <w:rsid w:val="007576C8"/>
    <w:rsid w:val="00757865"/>
    <w:rsid w:val="007578B0"/>
    <w:rsid w:val="00757C5D"/>
    <w:rsid w:val="00757D2D"/>
    <w:rsid w:val="00757D6B"/>
    <w:rsid w:val="00757DBD"/>
    <w:rsid w:val="00757E76"/>
    <w:rsid w:val="00757EF6"/>
    <w:rsid w:val="0076040D"/>
    <w:rsid w:val="007606E0"/>
    <w:rsid w:val="0076078F"/>
    <w:rsid w:val="00760C1A"/>
    <w:rsid w:val="00760EB2"/>
    <w:rsid w:val="00761179"/>
    <w:rsid w:val="0076131F"/>
    <w:rsid w:val="00761454"/>
    <w:rsid w:val="0076145F"/>
    <w:rsid w:val="00761545"/>
    <w:rsid w:val="007616A8"/>
    <w:rsid w:val="00761739"/>
    <w:rsid w:val="007617C7"/>
    <w:rsid w:val="00761857"/>
    <w:rsid w:val="0076195E"/>
    <w:rsid w:val="00761EE2"/>
    <w:rsid w:val="00761F88"/>
    <w:rsid w:val="00762666"/>
    <w:rsid w:val="0076280A"/>
    <w:rsid w:val="0076283D"/>
    <w:rsid w:val="0076289E"/>
    <w:rsid w:val="007628E6"/>
    <w:rsid w:val="00762952"/>
    <w:rsid w:val="00762955"/>
    <w:rsid w:val="00762973"/>
    <w:rsid w:val="00762A8F"/>
    <w:rsid w:val="00762AC1"/>
    <w:rsid w:val="00762B79"/>
    <w:rsid w:val="00762BB3"/>
    <w:rsid w:val="00762E14"/>
    <w:rsid w:val="00762E38"/>
    <w:rsid w:val="007630E3"/>
    <w:rsid w:val="00763385"/>
    <w:rsid w:val="00763475"/>
    <w:rsid w:val="007634E1"/>
    <w:rsid w:val="00763575"/>
    <w:rsid w:val="0076359D"/>
    <w:rsid w:val="007635CC"/>
    <w:rsid w:val="007637FF"/>
    <w:rsid w:val="00763A96"/>
    <w:rsid w:val="00763B45"/>
    <w:rsid w:val="00763B9B"/>
    <w:rsid w:val="00763CBA"/>
    <w:rsid w:val="007640BA"/>
    <w:rsid w:val="00764198"/>
    <w:rsid w:val="0076484B"/>
    <w:rsid w:val="00764861"/>
    <w:rsid w:val="00764896"/>
    <w:rsid w:val="00764B4F"/>
    <w:rsid w:val="00765106"/>
    <w:rsid w:val="00765208"/>
    <w:rsid w:val="00765270"/>
    <w:rsid w:val="00765497"/>
    <w:rsid w:val="007654D2"/>
    <w:rsid w:val="0076558B"/>
    <w:rsid w:val="007656BC"/>
    <w:rsid w:val="00765945"/>
    <w:rsid w:val="00765AA5"/>
    <w:rsid w:val="00765B39"/>
    <w:rsid w:val="00765D4B"/>
    <w:rsid w:val="00765E26"/>
    <w:rsid w:val="0076639A"/>
    <w:rsid w:val="0076646B"/>
    <w:rsid w:val="007664D8"/>
    <w:rsid w:val="0076674A"/>
    <w:rsid w:val="00766B2D"/>
    <w:rsid w:val="00766BC3"/>
    <w:rsid w:val="00766C0A"/>
    <w:rsid w:val="00766CFF"/>
    <w:rsid w:val="00766E41"/>
    <w:rsid w:val="00766F98"/>
    <w:rsid w:val="00766FD7"/>
    <w:rsid w:val="0076700A"/>
    <w:rsid w:val="0076712E"/>
    <w:rsid w:val="0076733C"/>
    <w:rsid w:val="0076734E"/>
    <w:rsid w:val="007673B9"/>
    <w:rsid w:val="007673D8"/>
    <w:rsid w:val="00767475"/>
    <w:rsid w:val="00767738"/>
    <w:rsid w:val="007678AC"/>
    <w:rsid w:val="00767A0B"/>
    <w:rsid w:val="00767C8E"/>
    <w:rsid w:val="00767D1D"/>
    <w:rsid w:val="00770212"/>
    <w:rsid w:val="007702CC"/>
    <w:rsid w:val="007702E1"/>
    <w:rsid w:val="0077093C"/>
    <w:rsid w:val="007709B4"/>
    <w:rsid w:val="00770C6A"/>
    <w:rsid w:val="00770DDB"/>
    <w:rsid w:val="00770F0B"/>
    <w:rsid w:val="0077117D"/>
    <w:rsid w:val="00771302"/>
    <w:rsid w:val="0077140A"/>
    <w:rsid w:val="0077148E"/>
    <w:rsid w:val="0077155B"/>
    <w:rsid w:val="007715FF"/>
    <w:rsid w:val="00771703"/>
    <w:rsid w:val="007717A1"/>
    <w:rsid w:val="007718B2"/>
    <w:rsid w:val="007718E3"/>
    <w:rsid w:val="00771985"/>
    <w:rsid w:val="00771A18"/>
    <w:rsid w:val="00771A68"/>
    <w:rsid w:val="00771CD3"/>
    <w:rsid w:val="00771E72"/>
    <w:rsid w:val="00771F45"/>
    <w:rsid w:val="00772059"/>
    <w:rsid w:val="00772298"/>
    <w:rsid w:val="007724F7"/>
    <w:rsid w:val="00772614"/>
    <w:rsid w:val="007726B5"/>
    <w:rsid w:val="0077272A"/>
    <w:rsid w:val="00772A50"/>
    <w:rsid w:val="00772B7A"/>
    <w:rsid w:val="00772FE7"/>
    <w:rsid w:val="007731BB"/>
    <w:rsid w:val="00773231"/>
    <w:rsid w:val="00773255"/>
    <w:rsid w:val="00773306"/>
    <w:rsid w:val="0077378A"/>
    <w:rsid w:val="007737E2"/>
    <w:rsid w:val="00773803"/>
    <w:rsid w:val="00773915"/>
    <w:rsid w:val="007739D3"/>
    <w:rsid w:val="00773A19"/>
    <w:rsid w:val="00773AFD"/>
    <w:rsid w:val="00773B59"/>
    <w:rsid w:val="00773BBA"/>
    <w:rsid w:val="00773F1D"/>
    <w:rsid w:val="00773F7F"/>
    <w:rsid w:val="0077418A"/>
    <w:rsid w:val="007744FD"/>
    <w:rsid w:val="00774592"/>
    <w:rsid w:val="0077472E"/>
    <w:rsid w:val="0077490B"/>
    <w:rsid w:val="00774924"/>
    <w:rsid w:val="00774972"/>
    <w:rsid w:val="00774AE9"/>
    <w:rsid w:val="00774DD1"/>
    <w:rsid w:val="00775048"/>
    <w:rsid w:val="00775061"/>
    <w:rsid w:val="0077513A"/>
    <w:rsid w:val="0077513F"/>
    <w:rsid w:val="007752B5"/>
    <w:rsid w:val="007752DB"/>
    <w:rsid w:val="007753BD"/>
    <w:rsid w:val="00775478"/>
    <w:rsid w:val="007755C5"/>
    <w:rsid w:val="007755F9"/>
    <w:rsid w:val="007756CF"/>
    <w:rsid w:val="007756EE"/>
    <w:rsid w:val="00775836"/>
    <w:rsid w:val="00775910"/>
    <w:rsid w:val="00775925"/>
    <w:rsid w:val="00775A59"/>
    <w:rsid w:val="00775C60"/>
    <w:rsid w:val="00775CCD"/>
    <w:rsid w:val="00775E5B"/>
    <w:rsid w:val="00776013"/>
    <w:rsid w:val="007761E9"/>
    <w:rsid w:val="007764DA"/>
    <w:rsid w:val="00776559"/>
    <w:rsid w:val="007765BD"/>
    <w:rsid w:val="007765C0"/>
    <w:rsid w:val="007766BA"/>
    <w:rsid w:val="0077675C"/>
    <w:rsid w:val="0077695A"/>
    <w:rsid w:val="00776C84"/>
    <w:rsid w:val="00776DEF"/>
    <w:rsid w:val="00776F5E"/>
    <w:rsid w:val="00776F76"/>
    <w:rsid w:val="00776F94"/>
    <w:rsid w:val="007770AF"/>
    <w:rsid w:val="007773F7"/>
    <w:rsid w:val="007775CC"/>
    <w:rsid w:val="00777773"/>
    <w:rsid w:val="00777AC5"/>
    <w:rsid w:val="00777AC8"/>
    <w:rsid w:val="00777AD0"/>
    <w:rsid w:val="00777C5E"/>
    <w:rsid w:val="00777DE1"/>
    <w:rsid w:val="00777FE1"/>
    <w:rsid w:val="00777FFD"/>
    <w:rsid w:val="007800A1"/>
    <w:rsid w:val="007800C5"/>
    <w:rsid w:val="0078021A"/>
    <w:rsid w:val="007802E9"/>
    <w:rsid w:val="00780309"/>
    <w:rsid w:val="00780600"/>
    <w:rsid w:val="00780621"/>
    <w:rsid w:val="0078073E"/>
    <w:rsid w:val="0078082E"/>
    <w:rsid w:val="0078095D"/>
    <w:rsid w:val="0078099E"/>
    <w:rsid w:val="00780D77"/>
    <w:rsid w:val="0078117B"/>
    <w:rsid w:val="00781271"/>
    <w:rsid w:val="00781355"/>
    <w:rsid w:val="00781449"/>
    <w:rsid w:val="0078148D"/>
    <w:rsid w:val="007815A6"/>
    <w:rsid w:val="00781751"/>
    <w:rsid w:val="00781821"/>
    <w:rsid w:val="0078186B"/>
    <w:rsid w:val="00781A5A"/>
    <w:rsid w:val="00781A97"/>
    <w:rsid w:val="00781C14"/>
    <w:rsid w:val="00781CC7"/>
    <w:rsid w:val="00781CE1"/>
    <w:rsid w:val="00781D54"/>
    <w:rsid w:val="00781F6C"/>
    <w:rsid w:val="00782163"/>
    <w:rsid w:val="0078222A"/>
    <w:rsid w:val="007823AB"/>
    <w:rsid w:val="00782439"/>
    <w:rsid w:val="0078249B"/>
    <w:rsid w:val="007824AF"/>
    <w:rsid w:val="0078280C"/>
    <w:rsid w:val="0078285A"/>
    <w:rsid w:val="00782A7C"/>
    <w:rsid w:val="00782AC9"/>
    <w:rsid w:val="00782C9F"/>
    <w:rsid w:val="00782E86"/>
    <w:rsid w:val="00782F90"/>
    <w:rsid w:val="00783021"/>
    <w:rsid w:val="007830D9"/>
    <w:rsid w:val="0078335D"/>
    <w:rsid w:val="0078335F"/>
    <w:rsid w:val="00783379"/>
    <w:rsid w:val="0078355E"/>
    <w:rsid w:val="00783585"/>
    <w:rsid w:val="00783666"/>
    <w:rsid w:val="00783AF4"/>
    <w:rsid w:val="00783B09"/>
    <w:rsid w:val="00783C00"/>
    <w:rsid w:val="00783D22"/>
    <w:rsid w:val="00783E10"/>
    <w:rsid w:val="00783F22"/>
    <w:rsid w:val="00783F56"/>
    <w:rsid w:val="0078404F"/>
    <w:rsid w:val="007843A3"/>
    <w:rsid w:val="00784438"/>
    <w:rsid w:val="0078453C"/>
    <w:rsid w:val="007845BC"/>
    <w:rsid w:val="0078475B"/>
    <w:rsid w:val="0078476C"/>
    <w:rsid w:val="007847A0"/>
    <w:rsid w:val="0078488E"/>
    <w:rsid w:val="0078496F"/>
    <w:rsid w:val="00784CC2"/>
    <w:rsid w:val="00784DED"/>
    <w:rsid w:val="00784F69"/>
    <w:rsid w:val="007850E9"/>
    <w:rsid w:val="007853C6"/>
    <w:rsid w:val="00785571"/>
    <w:rsid w:val="0078588F"/>
    <w:rsid w:val="007858CD"/>
    <w:rsid w:val="0078596B"/>
    <w:rsid w:val="00785EC1"/>
    <w:rsid w:val="00785F79"/>
    <w:rsid w:val="007860C5"/>
    <w:rsid w:val="007861D0"/>
    <w:rsid w:val="007863BC"/>
    <w:rsid w:val="007864C7"/>
    <w:rsid w:val="007866FD"/>
    <w:rsid w:val="0078674C"/>
    <w:rsid w:val="00786A9A"/>
    <w:rsid w:val="00786B03"/>
    <w:rsid w:val="00786BA9"/>
    <w:rsid w:val="00786DA3"/>
    <w:rsid w:val="00786DB7"/>
    <w:rsid w:val="00786DBB"/>
    <w:rsid w:val="00786E21"/>
    <w:rsid w:val="00787079"/>
    <w:rsid w:val="0078713F"/>
    <w:rsid w:val="007871AF"/>
    <w:rsid w:val="00787292"/>
    <w:rsid w:val="007872BB"/>
    <w:rsid w:val="007872E2"/>
    <w:rsid w:val="007874A4"/>
    <w:rsid w:val="007874EA"/>
    <w:rsid w:val="00787865"/>
    <w:rsid w:val="00787A20"/>
    <w:rsid w:val="00787B66"/>
    <w:rsid w:val="00787B6D"/>
    <w:rsid w:val="00787BF9"/>
    <w:rsid w:val="0079004E"/>
    <w:rsid w:val="0079024C"/>
    <w:rsid w:val="0079034F"/>
    <w:rsid w:val="0079051A"/>
    <w:rsid w:val="007905F4"/>
    <w:rsid w:val="007905FF"/>
    <w:rsid w:val="0079069E"/>
    <w:rsid w:val="00790706"/>
    <w:rsid w:val="00790757"/>
    <w:rsid w:val="00790991"/>
    <w:rsid w:val="00790C5B"/>
    <w:rsid w:val="00790CAA"/>
    <w:rsid w:val="00790E6F"/>
    <w:rsid w:val="00791117"/>
    <w:rsid w:val="00791230"/>
    <w:rsid w:val="00791271"/>
    <w:rsid w:val="0079137A"/>
    <w:rsid w:val="00791546"/>
    <w:rsid w:val="00791679"/>
    <w:rsid w:val="00791683"/>
    <w:rsid w:val="00791763"/>
    <w:rsid w:val="00791814"/>
    <w:rsid w:val="00791832"/>
    <w:rsid w:val="00791B43"/>
    <w:rsid w:val="00791C60"/>
    <w:rsid w:val="00791E35"/>
    <w:rsid w:val="00791F54"/>
    <w:rsid w:val="00791F76"/>
    <w:rsid w:val="0079222B"/>
    <w:rsid w:val="007922E1"/>
    <w:rsid w:val="0079236C"/>
    <w:rsid w:val="00792381"/>
    <w:rsid w:val="007924C7"/>
    <w:rsid w:val="0079260C"/>
    <w:rsid w:val="0079274A"/>
    <w:rsid w:val="00792870"/>
    <w:rsid w:val="00792F0B"/>
    <w:rsid w:val="0079341E"/>
    <w:rsid w:val="007934D7"/>
    <w:rsid w:val="00793507"/>
    <w:rsid w:val="0079385E"/>
    <w:rsid w:val="007938DC"/>
    <w:rsid w:val="00793A58"/>
    <w:rsid w:val="00793B72"/>
    <w:rsid w:val="00793C43"/>
    <w:rsid w:val="00793EC5"/>
    <w:rsid w:val="00794129"/>
    <w:rsid w:val="007941C5"/>
    <w:rsid w:val="00794311"/>
    <w:rsid w:val="0079461B"/>
    <w:rsid w:val="007948F6"/>
    <w:rsid w:val="00794A76"/>
    <w:rsid w:val="00794AE3"/>
    <w:rsid w:val="00794B06"/>
    <w:rsid w:val="00794E4E"/>
    <w:rsid w:val="007951C7"/>
    <w:rsid w:val="007953E8"/>
    <w:rsid w:val="0079542B"/>
    <w:rsid w:val="007954AA"/>
    <w:rsid w:val="00795578"/>
    <w:rsid w:val="0079571C"/>
    <w:rsid w:val="00795B53"/>
    <w:rsid w:val="00795B69"/>
    <w:rsid w:val="00795B6A"/>
    <w:rsid w:val="00795E26"/>
    <w:rsid w:val="00795EC8"/>
    <w:rsid w:val="00795EFB"/>
    <w:rsid w:val="0079620B"/>
    <w:rsid w:val="0079620C"/>
    <w:rsid w:val="00796227"/>
    <w:rsid w:val="007966C0"/>
    <w:rsid w:val="007966CE"/>
    <w:rsid w:val="007967A3"/>
    <w:rsid w:val="00796AB9"/>
    <w:rsid w:val="00796AE3"/>
    <w:rsid w:val="00796C2C"/>
    <w:rsid w:val="00796CF9"/>
    <w:rsid w:val="00796E28"/>
    <w:rsid w:val="00797005"/>
    <w:rsid w:val="00797149"/>
    <w:rsid w:val="00797236"/>
    <w:rsid w:val="0079733D"/>
    <w:rsid w:val="007974EE"/>
    <w:rsid w:val="00797688"/>
    <w:rsid w:val="00797742"/>
    <w:rsid w:val="007977FC"/>
    <w:rsid w:val="0079785D"/>
    <w:rsid w:val="00797B75"/>
    <w:rsid w:val="00797D4C"/>
    <w:rsid w:val="00797FA8"/>
    <w:rsid w:val="007A00EB"/>
    <w:rsid w:val="007A0430"/>
    <w:rsid w:val="007A063B"/>
    <w:rsid w:val="007A0753"/>
    <w:rsid w:val="007A0820"/>
    <w:rsid w:val="007A0CD4"/>
    <w:rsid w:val="007A0E1B"/>
    <w:rsid w:val="007A100C"/>
    <w:rsid w:val="007A1324"/>
    <w:rsid w:val="007A133E"/>
    <w:rsid w:val="007A143B"/>
    <w:rsid w:val="007A14B1"/>
    <w:rsid w:val="007A1977"/>
    <w:rsid w:val="007A1A94"/>
    <w:rsid w:val="007A1B50"/>
    <w:rsid w:val="007A1C73"/>
    <w:rsid w:val="007A1DED"/>
    <w:rsid w:val="007A2146"/>
    <w:rsid w:val="007A21A8"/>
    <w:rsid w:val="007A2320"/>
    <w:rsid w:val="007A234D"/>
    <w:rsid w:val="007A2405"/>
    <w:rsid w:val="007A2739"/>
    <w:rsid w:val="007A27CB"/>
    <w:rsid w:val="007A296E"/>
    <w:rsid w:val="007A2EEF"/>
    <w:rsid w:val="007A2F37"/>
    <w:rsid w:val="007A3B6B"/>
    <w:rsid w:val="007A3D05"/>
    <w:rsid w:val="007A3D87"/>
    <w:rsid w:val="007A3DDC"/>
    <w:rsid w:val="007A426A"/>
    <w:rsid w:val="007A42F8"/>
    <w:rsid w:val="007A45B3"/>
    <w:rsid w:val="007A45E6"/>
    <w:rsid w:val="007A45EB"/>
    <w:rsid w:val="007A4623"/>
    <w:rsid w:val="007A46D8"/>
    <w:rsid w:val="007A47E1"/>
    <w:rsid w:val="007A49A3"/>
    <w:rsid w:val="007A49B2"/>
    <w:rsid w:val="007A4A15"/>
    <w:rsid w:val="007A4B64"/>
    <w:rsid w:val="007A4DC6"/>
    <w:rsid w:val="007A4E1A"/>
    <w:rsid w:val="007A4EF3"/>
    <w:rsid w:val="007A4F87"/>
    <w:rsid w:val="007A5000"/>
    <w:rsid w:val="007A5035"/>
    <w:rsid w:val="007A59B7"/>
    <w:rsid w:val="007A5A1C"/>
    <w:rsid w:val="007A5A93"/>
    <w:rsid w:val="007A5D2B"/>
    <w:rsid w:val="007A5E82"/>
    <w:rsid w:val="007A5FDB"/>
    <w:rsid w:val="007A637B"/>
    <w:rsid w:val="007A644D"/>
    <w:rsid w:val="007A68D0"/>
    <w:rsid w:val="007A6BE1"/>
    <w:rsid w:val="007A6D2C"/>
    <w:rsid w:val="007A7071"/>
    <w:rsid w:val="007A71A9"/>
    <w:rsid w:val="007A721C"/>
    <w:rsid w:val="007A7256"/>
    <w:rsid w:val="007A749A"/>
    <w:rsid w:val="007A7583"/>
    <w:rsid w:val="007A77DA"/>
    <w:rsid w:val="007A77E9"/>
    <w:rsid w:val="007A790A"/>
    <w:rsid w:val="007A791C"/>
    <w:rsid w:val="007A793D"/>
    <w:rsid w:val="007A79E5"/>
    <w:rsid w:val="007A7A27"/>
    <w:rsid w:val="007A7A7F"/>
    <w:rsid w:val="007A7BB2"/>
    <w:rsid w:val="007A7C83"/>
    <w:rsid w:val="007A7E9D"/>
    <w:rsid w:val="007A7FD8"/>
    <w:rsid w:val="007B0199"/>
    <w:rsid w:val="007B0269"/>
    <w:rsid w:val="007B059B"/>
    <w:rsid w:val="007B079B"/>
    <w:rsid w:val="007B089A"/>
    <w:rsid w:val="007B0A1A"/>
    <w:rsid w:val="007B0A6B"/>
    <w:rsid w:val="007B119C"/>
    <w:rsid w:val="007B15F8"/>
    <w:rsid w:val="007B186C"/>
    <w:rsid w:val="007B19CD"/>
    <w:rsid w:val="007B1B0A"/>
    <w:rsid w:val="007B1B8C"/>
    <w:rsid w:val="007B1CD1"/>
    <w:rsid w:val="007B1EDF"/>
    <w:rsid w:val="007B21B7"/>
    <w:rsid w:val="007B22DB"/>
    <w:rsid w:val="007B22E4"/>
    <w:rsid w:val="007B24E5"/>
    <w:rsid w:val="007B2545"/>
    <w:rsid w:val="007B25DE"/>
    <w:rsid w:val="007B2739"/>
    <w:rsid w:val="007B27A0"/>
    <w:rsid w:val="007B2BDB"/>
    <w:rsid w:val="007B2D99"/>
    <w:rsid w:val="007B2E62"/>
    <w:rsid w:val="007B2FE6"/>
    <w:rsid w:val="007B338D"/>
    <w:rsid w:val="007B33B7"/>
    <w:rsid w:val="007B346B"/>
    <w:rsid w:val="007B36BC"/>
    <w:rsid w:val="007B3726"/>
    <w:rsid w:val="007B3E07"/>
    <w:rsid w:val="007B3E3C"/>
    <w:rsid w:val="007B3F88"/>
    <w:rsid w:val="007B4196"/>
    <w:rsid w:val="007B432B"/>
    <w:rsid w:val="007B432C"/>
    <w:rsid w:val="007B4401"/>
    <w:rsid w:val="007B4673"/>
    <w:rsid w:val="007B47BC"/>
    <w:rsid w:val="007B48BF"/>
    <w:rsid w:val="007B4AC2"/>
    <w:rsid w:val="007B4B6A"/>
    <w:rsid w:val="007B50FE"/>
    <w:rsid w:val="007B5200"/>
    <w:rsid w:val="007B551E"/>
    <w:rsid w:val="007B55CA"/>
    <w:rsid w:val="007B593D"/>
    <w:rsid w:val="007B5984"/>
    <w:rsid w:val="007B5D96"/>
    <w:rsid w:val="007B5DB9"/>
    <w:rsid w:val="007B620D"/>
    <w:rsid w:val="007B65B8"/>
    <w:rsid w:val="007B6846"/>
    <w:rsid w:val="007B6A9B"/>
    <w:rsid w:val="007B6B66"/>
    <w:rsid w:val="007B6BD3"/>
    <w:rsid w:val="007B6C60"/>
    <w:rsid w:val="007B708E"/>
    <w:rsid w:val="007B78CF"/>
    <w:rsid w:val="007B7A94"/>
    <w:rsid w:val="007C0020"/>
    <w:rsid w:val="007C002A"/>
    <w:rsid w:val="007C0184"/>
    <w:rsid w:val="007C021F"/>
    <w:rsid w:val="007C0474"/>
    <w:rsid w:val="007C0767"/>
    <w:rsid w:val="007C0870"/>
    <w:rsid w:val="007C093B"/>
    <w:rsid w:val="007C0D68"/>
    <w:rsid w:val="007C0E02"/>
    <w:rsid w:val="007C0E96"/>
    <w:rsid w:val="007C0F45"/>
    <w:rsid w:val="007C0F49"/>
    <w:rsid w:val="007C107F"/>
    <w:rsid w:val="007C114D"/>
    <w:rsid w:val="007C130E"/>
    <w:rsid w:val="007C138A"/>
    <w:rsid w:val="007C14D4"/>
    <w:rsid w:val="007C16C3"/>
    <w:rsid w:val="007C1704"/>
    <w:rsid w:val="007C183C"/>
    <w:rsid w:val="007C19B4"/>
    <w:rsid w:val="007C1AC2"/>
    <w:rsid w:val="007C1B2C"/>
    <w:rsid w:val="007C1C8E"/>
    <w:rsid w:val="007C1CEF"/>
    <w:rsid w:val="007C1E79"/>
    <w:rsid w:val="007C1F75"/>
    <w:rsid w:val="007C2246"/>
    <w:rsid w:val="007C22F1"/>
    <w:rsid w:val="007C23B2"/>
    <w:rsid w:val="007C25F6"/>
    <w:rsid w:val="007C2AD9"/>
    <w:rsid w:val="007C2D97"/>
    <w:rsid w:val="007C2E93"/>
    <w:rsid w:val="007C2F59"/>
    <w:rsid w:val="007C33D5"/>
    <w:rsid w:val="007C36F7"/>
    <w:rsid w:val="007C3793"/>
    <w:rsid w:val="007C3857"/>
    <w:rsid w:val="007C3920"/>
    <w:rsid w:val="007C3923"/>
    <w:rsid w:val="007C3A37"/>
    <w:rsid w:val="007C3BA5"/>
    <w:rsid w:val="007C3E36"/>
    <w:rsid w:val="007C401F"/>
    <w:rsid w:val="007C4056"/>
    <w:rsid w:val="007C40D1"/>
    <w:rsid w:val="007C41FD"/>
    <w:rsid w:val="007C4225"/>
    <w:rsid w:val="007C445B"/>
    <w:rsid w:val="007C451A"/>
    <w:rsid w:val="007C4657"/>
    <w:rsid w:val="007C470F"/>
    <w:rsid w:val="007C4836"/>
    <w:rsid w:val="007C4877"/>
    <w:rsid w:val="007C4B2B"/>
    <w:rsid w:val="007C4B8E"/>
    <w:rsid w:val="007C4DA9"/>
    <w:rsid w:val="007C4DE0"/>
    <w:rsid w:val="007C4E37"/>
    <w:rsid w:val="007C500B"/>
    <w:rsid w:val="007C50CE"/>
    <w:rsid w:val="007C537D"/>
    <w:rsid w:val="007C540A"/>
    <w:rsid w:val="007C55DF"/>
    <w:rsid w:val="007C560B"/>
    <w:rsid w:val="007C561B"/>
    <w:rsid w:val="007C56C6"/>
    <w:rsid w:val="007C5977"/>
    <w:rsid w:val="007C59C7"/>
    <w:rsid w:val="007C5A7E"/>
    <w:rsid w:val="007C5CBE"/>
    <w:rsid w:val="007C5D7A"/>
    <w:rsid w:val="007C5E3A"/>
    <w:rsid w:val="007C5E59"/>
    <w:rsid w:val="007C628A"/>
    <w:rsid w:val="007C62C6"/>
    <w:rsid w:val="007C64F5"/>
    <w:rsid w:val="007C65F6"/>
    <w:rsid w:val="007C67D0"/>
    <w:rsid w:val="007C6BB5"/>
    <w:rsid w:val="007C6C48"/>
    <w:rsid w:val="007C6CA6"/>
    <w:rsid w:val="007C6D19"/>
    <w:rsid w:val="007C6FB4"/>
    <w:rsid w:val="007C7002"/>
    <w:rsid w:val="007C707D"/>
    <w:rsid w:val="007C70D5"/>
    <w:rsid w:val="007C71A0"/>
    <w:rsid w:val="007C722B"/>
    <w:rsid w:val="007C7341"/>
    <w:rsid w:val="007C73D5"/>
    <w:rsid w:val="007C794A"/>
    <w:rsid w:val="007C79A5"/>
    <w:rsid w:val="007C79FB"/>
    <w:rsid w:val="007C7E2E"/>
    <w:rsid w:val="007C7FF4"/>
    <w:rsid w:val="007D0140"/>
    <w:rsid w:val="007D02B8"/>
    <w:rsid w:val="007D0389"/>
    <w:rsid w:val="007D04B3"/>
    <w:rsid w:val="007D0555"/>
    <w:rsid w:val="007D056E"/>
    <w:rsid w:val="007D071E"/>
    <w:rsid w:val="007D0865"/>
    <w:rsid w:val="007D0868"/>
    <w:rsid w:val="007D1260"/>
    <w:rsid w:val="007D12B4"/>
    <w:rsid w:val="007D12C5"/>
    <w:rsid w:val="007D139D"/>
    <w:rsid w:val="007D1AC2"/>
    <w:rsid w:val="007D1B5E"/>
    <w:rsid w:val="007D1CE1"/>
    <w:rsid w:val="007D1F9D"/>
    <w:rsid w:val="007D20C4"/>
    <w:rsid w:val="007D21CE"/>
    <w:rsid w:val="007D276F"/>
    <w:rsid w:val="007D2834"/>
    <w:rsid w:val="007D2843"/>
    <w:rsid w:val="007D285A"/>
    <w:rsid w:val="007D29A9"/>
    <w:rsid w:val="007D2A65"/>
    <w:rsid w:val="007D2DE9"/>
    <w:rsid w:val="007D2F11"/>
    <w:rsid w:val="007D2FB4"/>
    <w:rsid w:val="007D340D"/>
    <w:rsid w:val="007D3484"/>
    <w:rsid w:val="007D35FF"/>
    <w:rsid w:val="007D36CD"/>
    <w:rsid w:val="007D37DB"/>
    <w:rsid w:val="007D3901"/>
    <w:rsid w:val="007D3A14"/>
    <w:rsid w:val="007D3A3F"/>
    <w:rsid w:val="007D3AA4"/>
    <w:rsid w:val="007D3E7A"/>
    <w:rsid w:val="007D3F06"/>
    <w:rsid w:val="007D405D"/>
    <w:rsid w:val="007D4195"/>
    <w:rsid w:val="007D435E"/>
    <w:rsid w:val="007D4382"/>
    <w:rsid w:val="007D43FD"/>
    <w:rsid w:val="007D4841"/>
    <w:rsid w:val="007D48A5"/>
    <w:rsid w:val="007D4944"/>
    <w:rsid w:val="007D4C92"/>
    <w:rsid w:val="007D4EFE"/>
    <w:rsid w:val="007D4FC2"/>
    <w:rsid w:val="007D4FFA"/>
    <w:rsid w:val="007D5155"/>
    <w:rsid w:val="007D5156"/>
    <w:rsid w:val="007D51DE"/>
    <w:rsid w:val="007D5225"/>
    <w:rsid w:val="007D528B"/>
    <w:rsid w:val="007D532A"/>
    <w:rsid w:val="007D5340"/>
    <w:rsid w:val="007D546C"/>
    <w:rsid w:val="007D576B"/>
    <w:rsid w:val="007D5817"/>
    <w:rsid w:val="007D5A5D"/>
    <w:rsid w:val="007D5ACE"/>
    <w:rsid w:val="007D5BFB"/>
    <w:rsid w:val="007D5F2A"/>
    <w:rsid w:val="007D5F4E"/>
    <w:rsid w:val="007D5FC5"/>
    <w:rsid w:val="007D6441"/>
    <w:rsid w:val="007D6539"/>
    <w:rsid w:val="007D69C0"/>
    <w:rsid w:val="007D6A62"/>
    <w:rsid w:val="007D6ACD"/>
    <w:rsid w:val="007D6FEC"/>
    <w:rsid w:val="007D7054"/>
    <w:rsid w:val="007D7060"/>
    <w:rsid w:val="007D706C"/>
    <w:rsid w:val="007D70D1"/>
    <w:rsid w:val="007D71A7"/>
    <w:rsid w:val="007D72F8"/>
    <w:rsid w:val="007D744C"/>
    <w:rsid w:val="007D78A8"/>
    <w:rsid w:val="007D7C72"/>
    <w:rsid w:val="007D7E44"/>
    <w:rsid w:val="007E00CD"/>
    <w:rsid w:val="007E0272"/>
    <w:rsid w:val="007E08DE"/>
    <w:rsid w:val="007E08FB"/>
    <w:rsid w:val="007E0B15"/>
    <w:rsid w:val="007E0B39"/>
    <w:rsid w:val="007E0B8B"/>
    <w:rsid w:val="007E0BDC"/>
    <w:rsid w:val="007E0C50"/>
    <w:rsid w:val="007E0C7D"/>
    <w:rsid w:val="007E0EF7"/>
    <w:rsid w:val="007E142D"/>
    <w:rsid w:val="007E14C5"/>
    <w:rsid w:val="007E14CC"/>
    <w:rsid w:val="007E15EF"/>
    <w:rsid w:val="007E1698"/>
    <w:rsid w:val="007E1AC6"/>
    <w:rsid w:val="007E1BC2"/>
    <w:rsid w:val="007E1C00"/>
    <w:rsid w:val="007E1D5F"/>
    <w:rsid w:val="007E1D6D"/>
    <w:rsid w:val="007E1EFE"/>
    <w:rsid w:val="007E20E2"/>
    <w:rsid w:val="007E2132"/>
    <w:rsid w:val="007E2288"/>
    <w:rsid w:val="007E239B"/>
    <w:rsid w:val="007E23B9"/>
    <w:rsid w:val="007E2678"/>
    <w:rsid w:val="007E2932"/>
    <w:rsid w:val="007E2A77"/>
    <w:rsid w:val="007E2C4D"/>
    <w:rsid w:val="007E2F8D"/>
    <w:rsid w:val="007E308B"/>
    <w:rsid w:val="007E3112"/>
    <w:rsid w:val="007E3115"/>
    <w:rsid w:val="007E3158"/>
    <w:rsid w:val="007E3232"/>
    <w:rsid w:val="007E34D2"/>
    <w:rsid w:val="007E361E"/>
    <w:rsid w:val="007E394E"/>
    <w:rsid w:val="007E3987"/>
    <w:rsid w:val="007E3998"/>
    <w:rsid w:val="007E39E4"/>
    <w:rsid w:val="007E3A51"/>
    <w:rsid w:val="007E3B77"/>
    <w:rsid w:val="007E3E75"/>
    <w:rsid w:val="007E3FE6"/>
    <w:rsid w:val="007E3FFD"/>
    <w:rsid w:val="007E41C7"/>
    <w:rsid w:val="007E43E0"/>
    <w:rsid w:val="007E4633"/>
    <w:rsid w:val="007E4647"/>
    <w:rsid w:val="007E4714"/>
    <w:rsid w:val="007E4994"/>
    <w:rsid w:val="007E4E0A"/>
    <w:rsid w:val="007E4E5C"/>
    <w:rsid w:val="007E4EEC"/>
    <w:rsid w:val="007E52E2"/>
    <w:rsid w:val="007E5347"/>
    <w:rsid w:val="007E53C0"/>
    <w:rsid w:val="007E5716"/>
    <w:rsid w:val="007E57B3"/>
    <w:rsid w:val="007E5839"/>
    <w:rsid w:val="007E590B"/>
    <w:rsid w:val="007E595A"/>
    <w:rsid w:val="007E5A55"/>
    <w:rsid w:val="007E5B76"/>
    <w:rsid w:val="007E5D65"/>
    <w:rsid w:val="007E5DDE"/>
    <w:rsid w:val="007E5EFE"/>
    <w:rsid w:val="007E61FF"/>
    <w:rsid w:val="007E6203"/>
    <w:rsid w:val="007E620A"/>
    <w:rsid w:val="007E6233"/>
    <w:rsid w:val="007E632B"/>
    <w:rsid w:val="007E637D"/>
    <w:rsid w:val="007E66BB"/>
    <w:rsid w:val="007E671E"/>
    <w:rsid w:val="007E6761"/>
    <w:rsid w:val="007E6997"/>
    <w:rsid w:val="007E6A6C"/>
    <w:rsid w:val="007E6CCD"/>
    <w:rsid w:val="007E6D11"/>
    <w:rsid w:val="007E6D32"/>
    <w:rsid w:val="007E6F2B"/>
    <w:rsid w:val="007E7344"/>
    <w:rsid w:val="007E7366"/>
    <w:rsid w:val="007E76EA"/>
    <w:rsid w:val="007E76FE"/>
    <w:rsid w:val="007E7A2D"/>
    <w:rsid w:val="007E7AAB"/>
    <w:rsid w:val="007E7EFF"/>
    <w:rsid w:val="007F01C1"/>
    <w:rsid w:val="007F03C7"/>
    <w:rsid w:val="007F03E4"/>
    <w:rsid w:val="007F0455"/>
    <w:rsid w:val="007F0601"/>
    <w:rsid w:val="007F07B3"/>
    <w:rsid w:val="007F07CB"/>
    <w:rsid w:val="007F081C"/>
    <w:rsid w:val="007F0990"/>
    <w:rsid w:val="007F0B90"/>
    <w:rsid w:val="007F0C10"/>
    <w:rsid w:val="007F0CD9"/>
    <w:rsid w:val="007F0DC0"/>
    <w:rsid w:val="007F0FC8"/>
    <w:rsid w:val="007F102E"/>
    <w:rsid w:val="007F1128"/>
    <w:rsid w:val="007F121F"/>
    <w:rsid w:val="007F12EF"/>
    <w:rsid w:val="007F134D"/>
    <w:rsid w:val="007F1374"/>
    <w:rsid w:val="007F13B9"/>
    <w:rsid w:val="007F175F"/>
    <w:rsid w:val="007F1878"/>
    <w:rsid w:val="007F1A0D"/>
    <w:rsid w:val="007F1C59"/>
    <w:rsid w:val="007F1DDB"/>
    <w:rsid w:val="007F1DF5"/>
    <w:rsid w:val="007F1E07"/>
    <w:rsid w:val="007F1E79"/>
    <w:rsid w:val="007F1E82"/>
    <w:rsid w:val="007F1F0A"/>
    <w:rsid w:val="007F20BD"/>
    <w:rsid w:val="007F231D"/>
    <w:rsid w:val="007F23F0"/>
    <w:rsid w:val="007F2528"/>
    <w:rsid w:val="007F27AC"/>
    <w:rsid w:val="007F27D0"/>
    <w:rsid w:val="007F2913"/>
    <w:rsid w:val="007F2943"/>
    <w:rsid w:val="007F2BA3"/>
    <w:rsid w:val="007F2D66"/>
    <w:rsid w:val="007F2F01"/>
    <w:rsid w:val="007F2F91"/>
    <w:rsid w:val="007F2FF5"/>
    <w:rsid w:val="007F3002"/>
    <w:rsid w:val="007F3087"/>
    <w:rsid w:val="007F3143"/>
    <w:rsid w:val="007F3215"/>
    <w:rsid w:val="007F33AD"/>
    <w:rsid w:val="007F3484"/>
    <w:rsid w:val="007F35DD"/>
    <w:rsid w:val="007F37DA"/>
    <w:rsid w:val="007F3B47"/>
    <w:rsid w:val="007F3D0B"/>
    <w:rsid w:val="007F3D0F"/>
    <w:rsid w:val="007F3F7C"/>
    <w:rsid w:val="007F41AB"/>
    <w:rsid w:val="007F4339"/>
    <w:rsid w:val="007F4352"/>
    <w:rsid w:val="007F43BF"/>
    <w:rsid w:val="007F43C4"/>
    <w:rsid w:val="007F458A"/>
    <w:rsid w:val="007F45A4"/>
    <w:rsid w:val="007F46AE"/>
    <w:rsid w:val="007F4ABB"/>
    <w:rsid w:val="007F4AF5"/>
    <w:rsid w:val="007F50D9"/>
    <w:rsid w:val="007F5462"/>
    <w:rsid w:val="007F5463"/>
    <w:rsid w:val="007F5581"/>
    <w:rsid w:val="007F561C"/>
    <w:rsid w:val="007F5667"/>
    <w:rsid w:val="007F57ED"/>
    <w:rsid w:val="007F5C49"/>
    <w:rsid w:val="007F5C73"/>
    <w:rsid w:val="007F5E07"/>
    <w:rsid w:val="007F5E64"/>
    <w:rsid w:val="007F5F8D"/>
    <w:rsid w:val="007F606C"/>
    <w:rsid w:val="007F6499"/>
    <w:rsid w:val="007F6531"/>
    <w:rsid w:val="007F667E"/>
    <w:rsid w:val="007F69FD"/>
    <w:rsid w:val="007F6A1C"/>
    <w:rsid w:val="007F6C23"/>
    <w:rsid w:val="007F6D60"/>
    <w:rsid w:val="007F70B3"/>
    <w:rsid w:val="007F71BE"/>
    <w:rsid w:val="007F7351"/>
    <w:rsid w:val="007F744C"/>
    <w:rsid w:val="007F7662"/>
    <w:rsid w:val="007F7762"/>
    <w:rsid w:val="007F78B8"/>
    <w:rsid w:val="007F78F3"/>
    <w:rsid w:val="007F7AC2"/>
    <w:rsid w:val="007F7E1A"/>
    <w:rsid w:val="007F7FC0"/>
    <w:rsid w:val="008001A6"/>
    <w:rsid w:val="0080023F"/>
    <w:rsid w:val="00800464"/>
    <w:rsid w:val="008004C1"/>
    <w:rsid w:val="00800608"/>
    <w:rsid w:val="0080090B"/>
    <w:rsid w:val="00800BA0"/>
    <w:rsid w:val="00800C04"/>
    <w:rsid w:val="00801002"/>
    <w:rsid w:val="008010F3"/>
    <w:rsid w:val="0080151B"/>
    <w:rsid w:val="008015F2"/>
    <w:rsid w:val="008016BF"/>
    <w:rsid w:val="0080178B"/>
    <w:rsid w:val="0080185D"/>
    <w:rsid w:val="0080196B"/>
    <w:rsid w:val="00801DAD"/>
    <w:rsid w:val="00801FDD"/>
    <w:rsid w:val="00802035"/>
    <w:rsid w:val="00802036"/>
    <w:rsid w:val="00802544"/>
    <w:rsid w:val="00802846"/>
    <w:rsid w:val="008029DC"/>
    <w:rsid w:val="00802BB6"/>
    <w:rsid w:val="00802BE4"/>
    <w:rsid w:val="00802C3F"/>
    <w:rsid w:val="00802C54"/>
    <w:rsid w:val="00802DDA"/>
    <w:rsid w:val="00802E5F"/>
    <w:rsid w:val="00802EA1"/>
    <w:rsid w:val="00802EB3"/>
    <w:rsid w:val="00802EFB"/>
    <w:rsid w:val="00802F9A"/>
    <w:rsid w:val="00803065"/>
    <w:rsid w:val="00803659"/>
    <w:rsid w:val="00803683"/>
    <w:rsid w:val="00803698"/>
    <w:rsid w:val="00803812"/>
    <w:rsid w:val="008039E2"/>
    <w:rsid w:val="00803A58"/>
    <w:rsid w:val="00803A8E"/>
    <w:rsid w:val="00803B09"/>
    <w:rsid w:val="00803DD3"/>
    <w:rsid w:val="00803DDA"/>
    <w:rsid w:val="00803E07"/>
    <w:rsid w:val="0080417A"/>
    <w:rsid w:val="008041C4"/>
    <w:rsid w:val="008043E9"/>
    <w:rsid w:val="00804434"/>
    <w:rsid w:val="008044BD"/>
    <w:rsid w:val="00804641"/>
    <w:rsid w:val="00804721"/>
    <w:rsid w:val="008048AA"/>
    <w:rsid w:val="00804A73"/>
    <w:rsid w:val="00804AD4"/>
    <w:rsid w:val="00804AEA"/>
    <w:rsid w:val="00804AFF"/>
    <w:rsid w:val="00804D53"/>
    <w:rsid w:val="00804F46"/>
    <w:rsid w:val="008051BD"/>
    <w:rsid w:val="0080524C"/>
    <w:rsid w:val="0080529D"/>
    <w:rsid w:val="00805356"/>
    <w:rsid w:val="008053A9"/>
    <w:rsid w:val="0080546A"/>
    <w:rsid w:val="00805773"/>
    <w:rsid w:val="00805992"/>
    <w:rsid w:val="008059AC"/>
    <w:rsid w:val="00805E52"/>
    <w:rsid w:val="00805FBA"/>
    <w:rsid w:val="00806015"/>
    <w:rsid w:val="008060D0"/>
    <w:rsid w:val="00806481"/>
    <w:rsid w:val="008064AC"/>
    <w:rsid w:val="008065A8"/>
    <w:rsid w:val="0080679C"/>
    <w:rsid w:val="008068C9"/>
    <w:rsid w:val="00806A62"/>
    <w:rsid w:val="00806AF1"/>
    <w:rsid w:val="00806C56"/>
    <w:rsid w:val="00806F2B"/>
    <w:rsid w:val="00806F9D"/>
    <w:rsid w:val="00806FE9"/>
    <w:rsid w:val="0080714F"/>
    <w:rsid w:val="008071FC"/>
    <w:rsid w:val="00807253"/>
    <w:rsid w:val="008072E3"/>
    <w:rsid w:val="008076C9"/>
    <w:rsid w:val="00807897"/>
    <w:rsid w:val="00807A4A"/>
    <w:rsid w:val="00807B89"/>
    <w:rsid w:val="00807D54"/>
    <w:rsid w:val="00807F13"/>
    <w:rsid w:val="00807FF7"/>
    <w:rsid w:val="008103AD"/>
    <w:rsid w:val="0081046C"/>
    <w:rsid w:val="0081048E"/>
    <w:rsid w:val="008104B9"/>
    <w:rsid w:val="00810549"/>
    <w:rsid w:val="00810985"/>
    <w:rsid w:val="00810B5F"/>
    <w:rsid w:val="00810C10"/>
    <w:rsid w:val="00810CED"/>
    <w:rsid w:val="0081104B"/>
    <w:rsid w:val="008110D4"/>
    <w:rsid w:val="00811186"/>
    <w:rsid w:val="00811354"/>
    <w:rsid w:val="008113B2"/>
    <w:rsid w:val="008114E9"/>
    <w:rsid w:val="0081154F"/>
    <w:rsid w:val="0081155E"/>
    <w:rsid w:val="00811660"/>
    <w:rsid w:val="008118BE"/>
    <w:rsid w:val="00811AED"/>
    <w:rsid w:val="00811B24"/>
    <w:rsid w:val="00811B95"/>
    <w:rsid w:val="00811F0E"/>
    <w:rsid w:val="00811F1B"/>
    <w:rsid w:val="00811F7A"/>
    <w:rsid w:val="00812287"/>
    <w:rsid w:val="0081255D"/>
    <w:rsid w:val="00812611"/>
    <w:rsid w:val="00812A67"/>
    <w:rsid w:val="00812AFE"/>
    <w:rsid w:val="00812B71"/>
    <w:rsid w:val="00812BEA"/>
    <w:rsid w:val="00812E26"/>
    <w:rsid w:val="008130B7"/>
    <w:rsid w:val="00813428"/>
    <w:rsid w:val="008136AA"/>
    <w:rsid w:val="00813783"/>
    <w:rsid w:val="008139F1"/>
    <w:rsid w:val="00813BD2"/>
    <w:rsid w:val="00813C26"/>
    <w:rsid w:val="00813D1F"/>
    <w:rsid w:val="00813D27"/>
    <w:rsid w:val="00813D8B"/>
    <w:rsid w:val="00813E85"/>
    <w:rsid w:val="00813F41"/>
    <w:rsid w:val="00814031"/>
    <w:rsid w:val="00814705"/>
    <w:rsid w:val="00814A4B"/>
    <w:rsid w:val="00814BC5"/>
    <w:rsid w:val="00814F73"/>
    <w:rsid w:val="00814FF3"/>
    <w:rsid w:val="00814FF4"/>
    <w:rsid w:val="0081513D"/>
    <w:rsid w:val="00815335"/>
    <w:rsid w:val="00815C48"/>
    <w:rsid w:val="00815DE7"/>
    <w:rsid w:val="00815E39"/>
    <w:rsid w:val="008160A3"/>
    <w:rsid w:val="008161BB"/>
    <w:rsid w:val="008161DF"/>
    <w:rsid w:val="008164A3"/>
    <w:rsid w:val="008164D7"/>
    <w:rsid w:val="008164F2"/>
    <w:rsid w:val="00816989"/>
    <w:rsid w:val="00816A13"/>
    <w:rsid w:val="00816A20"/>
    <w:rsid w:val="00816A64"/>
    <w:rsid w:val="00816AA6"/>
    <w:rsid w:val="00816C88"/>
    <w:rsid w:val="00816C96"/>
    <w:rsid w:val="00816E86"/>
    <w:rsid w:val="00816F84"/>
    <w:rsid w:val="0081701E"/>
    <w:rsid w:val="008170C3"/>
    <w:rsid w:val="0081716C"/>
    <w:rsid w:val="00817367"/>
    <w:rsid w:val="00817370"/>
    <w:rsid w:val="00817372"/>
    <w:rsid w:val="00817540"/>
    <w:rsid w:val="00817A80"/>
    <w:rsid w:val="00817D69"/>
    <w:rsid w:val="00817DCF"/>
    <w:rsid w:val="00817E32"/>
    <w:rsid w:val="0081AD48"/>
    <w:rsid w:val="0082001E"/>
    <w:rsid w:val="008200E8"/>
    <w:rsid w:val="008203E1"/>
    <w:rsid w:val="008204DE"/>
    <w:rsid w:val="00820521"/>
    <w:rsid w:val="008207BD"/>
    <w:rsid w:val="008207E5"/>
    <w:rsid w:val="00820835"/>
    <w:rsid w:val="0082093B"/>
    <w:rsid w:val="00820B7C"/>
    <w:rsid w:val="00820B9D"/>
    <w:rsid w:val="00820E3A"/>
    <w:rsid w:val="00820E7E"/>
    <w:rsid w:val="00821042"/>
    <w:rsid w:val="00821114"/>
    <w:rsid w:val="008212DF"/>
    <w:rsid w:val="00821314"/>
    <w:rsid w:val="008213C4"/>
    <w:rsid w:val="0082144C"/>
    <w:rsid w:val="0082159F"/>
    <w:rsid w:val="008216DE"/>
    <w:rsid w:val="0082185D"/>
    <w:rsid w:val="00821A87"/>
    <w:rsid w:val="00821D74"/>
    <w:rsid w:val="00821DAD"/>
    <w:rsid w:val="008221FA"/>
    <w:rsid w:val="008221FE"/>
    <w:rsid w:val="0082225A"/>
    <w:rsid w:val="008223BC"/>
    <w:rsid w:val="00822468"/>
    <w:rsid w:val="008224B5"/>
    <w:rsid w:val="0082255B"/>
    <w:rsid w:val="00822614"/>
    <w:rsid w:val="008226B0"/>
    <w:rsid w:val="00822722"/>
    <w:rsid w:val="008228B2"/>
    <w:rsid w:val="00822BAF"/>
    <w:rsid w:val="00822E7B"/>
    <w:rsid w:val="00823016"/>
    <w:rsid w:val="0082309F"/>
    <w:rsid w:val="00823269"/>
    <w:rsid w:val="008233E0"/>
    <w:rsid w:val="0082368E"/>
    <w:rsid w:val="00823821"/>
    <w:rsid w:val="0082399F"/>
    <w:rsid w:val="00823D38"/>
    <w:rsid w:val="00823D49"/>
    <w:rsid w:val="00823DE2"/>
    <w:rsid w:val="00823EA8"/>
    <w:rsid w:val="00823F10"/>
    <w:rsid w:val="00823F51"/>
    <w:rsid w:val="00824029"/>
    <w:rsid w:val="0082475C"/>
    <w:rsid w:val="008249F0"/>
    <w:rsid w:val="00824A1A"/>
    <w:rsid w:val="00824E31"/>
    <w:rsid w:val="00824ECA"/>
    <w:rsid w:val="00825065"/>
    <w:rsid w:val="008253FE"/>
    <w:rsid w:val="00825487"/>
    <w:rsid w:val="008256D7"/>
    <w:rsid w:val="0082593E"/>
    <w:rsid w:val="00825944"/>
    <w:rsid w:val="00825A8B"/>
    <w:rsid w:val="00825DAE"/>
    <w:rsid w:val="00826260"/>
    <w:rsid w:val="008263EC"/>
    <w:rsid w:val="00826456"/>
    <w:rsid w:val="00826A33"/>
    <w:rsid w:val="00826A4D"/>
    <w:rsid w:val="00826C97"/>
    <w:rsid w:val="00826F41"/>
    <w:rsid w:val="00826F78"/>
    <w:rsid w:val="00827230"/>
    <w:rsid w:val="00827317"/>
    <w:rsid w:val="0082735F"/>
    <w:rsid w:val="008273F9"/>
    <w:rsid w:val="00827528"/>
    <w:rsid w:val="0082754B"/>
    <w:rsid w:val="008275AA"/>
    <w:rsid w:val="0082763B"/>
    <w:rsid w:val="0082780E"/>
    <w:rsid w:val="0082791E"/>
    <w:rsid w:val="0082794A"/>
    <w:rsid w:val="00827AD7"/>
    <w:rsid w:val="00827E6F"/>
    <w:rsid w:val="00827E75"/>
    <w:rsid w:val="00827F5F"/>
    <w:rsid w:val="00827FAF"/>
    <w:rsid w:val="00830083"/>
    <w:rsid w:val="0083027E"/>
    <w:rsid w:val="008302EB"/>
    <w:rsid w:val="00830369"/>
    <w:rsid w:val="008303E7"/>
    <w:rsid w:val="00830567"/>
    <w:rsid w:val="00830627"/>
    <w:rsid w:val="0083063A"/>
    <w:rsid w:val="008306B9"/>
    <w:rsid w:val="008306BA"/>
    <w:rsid w:val="008306C3"/>
    <w:rsid w:val="008307CC"/>
    <w:rsid w:val="00830824"/>
    <w:rsid w:val="0083083F"/>
    <w:rsid w:val="008309AF"/>
    <w:rsid w:val="00830A1F"/>
    <w:rsid w:val="00830A26"/>
    <w:rsid w:val="00830C82"/>
    <w:rsid w:val="00830C9A"/>
    <w:rsid w:val="00830E4D"/>
    <w:rsid w:val="00830E78"/>
    <w:rsid w:val="008310C9"/>
    <w:rsid w:val="00831167"/>
    <w:rsid w:val="0083121B"/>
    <w:rsid w:val="008312D8"/>
    <w:rsid w:val="008313D0"/>
    <w:rsid w:val="00831634"/>
    <w:rsid w:val="00831743"/>
    <w:rsid w:val="00831A54"/>
    <w:rsid w:val="00831B3E"/>
    <w:rsid w:val="00831CC6"/>
    <w:rsid w:val="00831F98"/>
    <w:rsid w:val="00832331"/>
    <w:rsid w:val="00832447"/>
    <w:rsid w:val="008326E4"/>
    <w:rsid w:val="00832A5A"/>
    <w:rsid w:val="00832AB0"/>
    <w:rsid w:val="00832EA2"/>
    <w:rsid w:val="00832F48"/>
    <w:rsid w:val="00833002"/>
    <w:rsid w:val="00833136"/>
    <w:rsid w:val="00833417"/>
    <w:rsid w:val="008334A9"/>
    <w:rsid w:val="008334DC"/>
    <w:rsid w:val="008334F9"/>
    <w:rsid w:val="00833504"/>
    <w:rsid w:val="00833518"/>
    <w:rsid w:val="008335F6"/>
    <w:rsid w:val="0083380C"/>
    <w:rsid w:val="008338DF"/>
    <w:rsid w:val="008339AB"/>
    <w:rsid w:val="00833E55"/>
    <w:rsid w:val="00833E5E"/>
    <w:rsid w:val="00833F41"/>
    <w:rsid w:val="00834033"/>
    <w:rsid w:val="00834155"/>
    <w:rsid w:val="008343CA"/>
    <w:rsid w:val="0083440C"/>
    <w:rsid w:val="00834519"/>
    <w:rsid w:val="0083451D"/>
    <w:rsid w:val="00834714"/>
    <w:rsid w:val="008347BB"/>
    <w:rsid w:val="008348B8"/>
    <w:rsid w:val="00834AF2"/>
    <w:rsid w:val="00834CC9"/>
    <w:rsid w:val="00834D90"/>
    <w:rsid w:val="00834E38"/>
    <w:rsid w:val="00834EBC"/>
    <w:rsid w:val="00834F57"/>
    <w:rsid w:val="0083500F"/>
    <w:rsid w:val="00835175"/>
    <w:rsid w:val="008351F6"/>
    <w:rsid w:val="0083524B"/>
    <w:rsid w:val="00835451"/>
    <w:rsid w:val="008356DE"/>
    <w:rsid w:val="00835744"/>
    <w:rsid w:val="008357F1"/>
    <w:rsid w:val="00835841"/>
    <w:rsid w:val="00835949"/>
    <w:rsid w:val="00835A0D"/>
    <w:rsid w:val="00835ACB"/>
    <w:rsid w:val="00835B26"/>
    <w:rsid w:val="00835C74"/>
    <w:rsid w:val="00835D25"/>
    <w:rsid w:val="00835DB4"/>
    <w:rsid w:val="00835F67"/>
    <w:rsid w:val="00836208"/>
    <w:rsid w:val="008364B7"/>
    <w:rsid w:val="008366A5"/>
    <w:rsid w:val="008367DA"/>
    <w:rsid w:val="0083685B"/>
    <w:rsid w:val="00836913"/>
    <w:rsid w:val="008369CB"/>
    <w:rsid w:val="00836FDA"/>
    <w:rsid w:val="0083704B"/>
    <w:rsid w:val="0083706E"/>
    <w:rsid w:val="0083714D"/>
    <w:rsid w:val="0083719B"/>
    <w:rsid w:val="00837363"/>
    <w:rsid w:val="008376F3"/>
    <w:rsid w:val="008377A2"/>
    <w:rsid w:val="008377ED"/>
    <w:rsid w:val="00837AFD"/>
    <w:rsid w:val="00837D96"/>
    <w:rsid w:val="008401CD"/>
    <w:rsid w:val="008405FC"/>
    <w:rsid w:val="00840887"/>
    <w:rsid w:val="00840945"/>
    <w:rsid w:val="00840BBF"/>
    <w:rsid w:val="00840C05"/>
    <w:rsid w:val="00840E15"/>
    <w:rsid w:val="0084107D"/>
    <w:rsid w:val="0084108B"/>
    <w:rsid w:val="0084112A"/>
    <w:rsid w:val="008412A2"/>
    <w:rsid w:val="008412FF"/>
    <w:rsid w:val="008413B3"/>
    <w:rsid w:val="008414F1"/>
    <w:rsid w:val="00841695"/>
    <w:rsid w:val="008416E9"/>
    <w:rsid w:val="00841835"/>
    <w:rsid w:val="0084187E"/>
    <w:rsid w:val="00841BBC"/>
    <w:rsid w:val="00841BDC"/>
    <w:rsid w:val="00841E81"/>
    <w:rsid w:val="00841F1A"/>
    <w:rsid w:val="00842171"/>
    <w:rsid w:val="008421FB"/>
    <w:rsid w:val="00842433"/>
    <w:rsid w:val="00842573"/>
    <w:rsid w:val="00842790"/>
    <w:rsid w:val="0084281F"/>
    <w:rsid w:val="008428E0"/>
    <w:rsid w:val="00842A14"/>
    <w:rsid w:val="00842F67"/>
    <w:rsid w:val="00842FB2"/>
    <w:rsid w:val="008430A8"/>
    <w:rsid w:val="008431CA"/>
    <w:rsid w:val="0084324F"/>
    <w:rsid w:val="0084331C"/>
    <w:rsid w:val="00843474"/>
    <w:rsid w:val="008434AB"/>
    <w:rsid w:val="008434CF"/>
    <w:rsid w:val="0084394E"/>
    <w:rsid w:val="00843999"/>
    <w:rsid w:val="008439E9"/>
    <w:rsid w:val="00843A20"/>
    <w:rsid w:val="00843A48"/>
    <w:rsid w:val="00843EE7"/>
    <w:rsid w:val="00843F90"/>
    <w:rsid w:val="00843FBE"/>
    <w:rsid w:val="00844164"/>
    <w:rsid w:val="00844173"/>
    <w:rsid w:val="00844252"/>
    <w:rsid w:val="00844392"/>
    <w:rsid w:val="008445E0"/>
    <w:rsid w:val="008446C7"/>
    <w:rsid w:val="00844F13"/>
    <w:rsid w:val="00845095"/>
    <w:rsid w:val="0084512A"/>
    <w:rsid w:val="00845135"/>
    <w:rsid w:val="0084546B"/>
    <w:rsid w:val="00845924"/>
    <w:rsid w:val="00845999"/>
    <w:rsid w:val="008459AA"/>
    <w:rsid w:val="00845BD7"/>
    <w:rsid w:val="008461FB"/>
    <w:rsid w:val="00846248"/>
    <w:rsid w:val="0084627A"/>
    <w:rsid w:val="00846349"/>
    <w:rsid w:val="00846437"/>
    <w:rsid w:val="0084650D"/>
    <w:rsid w:val="0084670D"/>
    <w:rsid w:val="00846951"/>
    <w:rsid w:val="00846A1C"/>
    <w:rsid w:val="00846D28"/>
    <w:rsid w:val="00846D67"/>
    <w:rsid w:val="00846EB7"/>
    <w:rsid w:val="00846FB0"/>
    <w:rsid w:val="0084715B"/>
    <w:rsid w:val="00847178"/>
    <w:rsid w:val="0084740B"/>
    <w:rsid w:val="00847530"/>
    <w:rsid w:val="0084764B"/>
    <w:rsid w:val="0084787A"/>
    <w:rsid w:val="008479A4"/>
    <w:rsid w:val="00847A14"/>
    <w:rsid w:val="00847A2F"/>
    <w:rsid w:val="00847A44"/>
    <w:rsid w:val="00847C95"/>
    <w:rsid w:val="00847E15"/>
    <w:rsid w:val="00847ED1"/>
    <w:rsid w:val="00847F86"/>
    <w:rsid w:val="008501CA"/>
    <w:rsid w:val="00850206"/>
    <w:rsid w:val="008502D0"/>
    <w:rsid w:val="008504BB"/>
    <w:rsid w:val="00850580"/>
    <w:rsid w:val="008507DC"/>
    <w:rsid w:val="008507E5"/>
    <w:rsid w:val="00850945"/>
    <w:rsid w:val="008509C5"/>
    <w:rsid w:val="00850A0D"/>
    <w:rsid w:val="00850A83"/>
    <w:rsid w:val="00850C77"/>
    <w:rsid w:val="00850D20"/>
    <w:rsid w:val="00850F8A"/>
    <w:rsid w:val="0085108C"/>
    <w:rsid w:val="0085119C"/>
    <w:rsid w:val="00851352"/>
    <w:rsid w:val="008513F0"/>
    <w:rsid w:val="008514E3"/>
    <w:rsid w:val="008514F0"/>
    <w:rsid w:val="008515AD"/>
    <w:rsid w:val="008516D2"/>
    <w:rsid w:val="0085177A"/>
    <w:rsid w:val="0085180B"/>
    <w:rsid w:val="008518A6"/>
    <w:rsid w:val="008518C7"/>
    <w:rsid w:val="0085195C"/>
    <w:rsid w:val="00851BC4"/>
    <w:rsid w:val="00851C67"/>
    <w:rsid w:val="00851EBC"/>
    <w:rsid w:val="00851F1B"/>
    <w:rsid w:val="00851F83"/>
    <w:rsid w:val="00851FE3"/>
    <w:rsid w:val="00852096"/>
    <w:rsid w:val="0085291F"/>
    <w:rsid w:val="00852954"/>
    <w:rsid w:val="00852BA6"/>
    <w:rsid w:val="00852BF5"/>
    <w:rsid w:val="00852CB5"/>
    <w:rsid w:val="00852CB6"/>
    <w:rsid w:val="00852D41"/>
    <w:rsid w:val="00852E44"/>
    <w:rsid w:val="00853158"/>
    <w:rsid w:val="008535D4"/>
    <w:rsid w:val="0085396C"/>
    <w:rsid w:val="008539A9"/>
    <w:rsid w:val="008541BD"/>
    <w:rsid w:val="00854638"/>
    <w:rsid w:val="0085473C"/>
    <w:rsid w:val="00854881"/>
    <w:rsid w:val="00854895"/>
    <w:rsid w:val="008548CD"/>
    <w:rsid w:val="008549FF"/>
    <w:rsid w:val="00854A5F"/>
    <w:rsid w:val="00854AC9"/>
    <w:rsid w:val="00854CB1"/>
    <w:rsid w:val="0085532C"/>
    <w:rsid w:val="008553E0"/>
    <w:rsid w:val="008555D9"/>
    <w:rsid w:val="008555E1"/>
    <w:rsid w:val="00855652"/>
    <w:rsid w:val="008556E0"/>
    <w:rsid w:val="0085579D"/>
    <w:rsid w:val="00855A2C"/>
    <w:rsid w:val="00855A4D"/>
    <w:rsid w:val="00855B84"/>
    <w:rsid w:val="00855E47"/>
    <w:rsid w:val="00855E64"/>
    <w:rsid w:val="00855E91"/>
    <w:rsid w:val="00856116"/>
    <w:rsid w:val="00856332"/>
    <w:rsid w:val="0085641A"/>
    <w:rsid w:val="008564B6"/>
    <w:rsid w:val="0085656F"/>
    <w:rsid w:val="00856572"/>
    <w:rsid w:val="008565C4"/>
    <w:rsid w:val="008568C4"/>
    <w:rsid w:val="00856A7E"/>
    <w:rsid w:val="00856AA9"/>
    <w:rsid w:val="00856B09"/>
    <w:rsid w:val="00856B19"/>
    <w:rsid w:val="00856B78"/>
    <w:rsid w:val="00856BEA"/>
    <w:rsid w:val="00856D97"/>
    <w:rsid w:val="00856EAC"/>
    <w:rsid w:val="00856F33"/>
    <w:rsid w:val="0085717A"/>
    <w:rsid w:val="00857213"/>
    <w:rsid w:val="00857254"/>
    <w:rsid w:val="00857347"/>
    <w:rsid w:val="00857352"/>
    <w:rsid w:val="0085742D"/>
    <w:rsid w:val="008575AF"/>
    <w:rsid w:val="0085763D"/>
    <w:rsid w:val="00857ACC"/>
    <w:rsid w:val="00857BA6"/>
    <w:rsid w:val="00857BAB"/>
    <w:rsid w:val="00857C91"/>
    <w:rsid w:val="00857D76"/>
    <w:rsid w:val="00857DCF"/>
    <w:rsid w:val="00860025"/>
    <w:rsid w:val="008600C4"/>
    <w:rsid w:val="008602C7"/>
    <w:rsid w:val="008604CA"/>
    <w:rsid w:val="00860629"/>
    <w:rsid w:val="00860A67"/>
    <w:rsid w:val="00860BD7"/>
    <w:rsid w:val="00860C29"/>
    <w:rsid w:val="00860CB8"/>
    <w:rsid w:val="00860F64"/>
    <w:rsid w:val="0086132A"/>
    <w:rsid w:val="008615D7"/>
    <w:rsid w:val="008619EA"/>
    <w:rsid w:val="00861AC9"/>
    <w:rsid w:val="00861BF8"/>
    <w:rsid w:val="00861F8F"/>
    <w:rsid w:val="00861FEE"/>
    <w:rsid w:val="00862087"/>
    <w:rsid w:val="008621A7"/>
    <w:rsid w:val="0086246D"/>
    <w:rsid w:val="0086246E"/>
    <w:rsid w:val="008626BE"/>
    <w:rsid w:val="00862768"/>
    <w:rsid w:val="00862769"/>
    <w:rsid w:val="0086288B"/>
    <w:rsid w:val="00862AA2"/>
    <w:rsid w:val="0086334F"/>
    <w:rsid w:val="00863372"/>
    <w:rsid w:val="008633EC"/>
    <w:rsid w:val="008637E9"/>
    <w:rsid w:val="0086381A"/>
    <w:rsid w:val="00863897"/>
    <w:rsid w:val="00863D2F"/>
    <w:rsid w:val="00863EFF"/>
    <w:rsid w:val="008640EE"/>
    <w:rsid w:val="008643DF"/>
    <w:rsid w:val="008644E9"/>
    <w:rsid w:val="00864661"/>
    <w:rsid w:val="008646FC"/>
    <w:rsid w:val="008649B0"/>
    <w:rsid w:val="00864A87"/>
    <w:rsid w:val="00864D1F"/>
    <w:rsid w:val="00864D45"/>
    <w:rsid w:val="00865028"/>
    <w:rsid w:val="0086524F"/>
    <w:rsid w:val="0086525A"/>
    <w:rsid w:val="008652FE"/>
    <w:rsid w:val="0086530D"/>
    <w:rsid w:val="00865A30"/>
    <w:rsid w:val="0086614F"/>
    <w:rsid w:val="008662DC"/>
    <w:rsid w:val="00866641"/>
    <w:rsid w:val="00866931"/>
    <w:rsid w:val="0086695E"/>
    <w:rsid w:val="00866A06"/>
    <w:rsid w:val="00866A35"/>
    <w:rsid w:val="00866A93"/>
    <w:rsid w:val="00866BCA"/>
    <w:rsid w:val="00866BE8"/>
    <w:rsid w:val="00866CAD"/>
    <w:rsid w:val="00866E62"/>
    <w:rsid w:val="00866E7D"/>
    <w:rsid w:val="00866F4A"/>
    <w:rsid w:val="00866FF7"/>
    <w:rsid w:val="00867191"/>
    <w:rsid w:val="008672C5"/>
    <w:rsid w:val="00867320"/>
    <w:rsid w:val="00867355"/>
    <w:rsid w:val="0086736B"/>
    <w:rsid w:val="008673C2"/>
    <w:rsid w:val="008677EF"/>
    <w:rsid w:val="0086788E"/>
    <w:rsid w:val="00867912"/>
    <w:rsid w:val="00867A65"/>
    <w:rsid w:val="00867B70"/>
    <w:rsid w:val="00867C20"/>
    <w:rsid w:val="00867C2A"/>
    <w:rsid w:val="00867C6C"/>
    <w:rsid w:val="00867DC6"/>
    <w:rsid w:val="00867E7D"/>
    <w:rsid w:val="00867EB8"/>
    <w:rsid w:val="008700E9"/>
    <w:rsid w:val="00870111"/>
    <w:rsid w:val="008703B8"/>
    <w:rsid w:val="00870719"/>
    <w:rsid w:val="008709A8"/>
    <w:rsid w:val="00870A0E"/>
    <w:rsid w:val="0087120C"/>
    <w:rsid w:val="008713B5"/>
    <w:rsid w:val="00871426"/>
    <w:rsid w:val="0087144D"/>
    <w:rsid w:val="00871520"/>
    <w:rsid w:val="00871527"/>
    <w:rsid w:val="008718B6"/>
    <w:rsid w:val="00871BE1"/>
    <w:rsid w:val="00871F8A"/>
    <w:rsid w:val="0087209D"/>
    <w:rsid w:val="008720BB"/>
    <w:rsid w:val="00872496"/>
    <w:rsid w:val="0087252E"/>
    <w:rsid w:val="0087269A"/>
    <w:rsid w:val="008726E7"/>
    <w:rsid w:val="00872881"/>
    <w:rsid w:val="00872C3C"/>
    <w:rsid w:val="00872C5D"/>
    <w:rsid w:val="00872C70"/>
    <w:rsid w:val="00872D53"/>
    <w:rsid w:val="00872D96"/>
    <w:rsid w:val="00872E92"/>
    <w:rsid w:val="00873156"/>
    <w:rsid w:val="00873413"/>
    <w:rsid w:val="008734CD"/>
    <w:rsid w:val="008736BC"/>
    <w:rsid w:val="008736EE"/>
    <w:rsid w:val="00873885"/>
    <w:rsid w:val="0087397E"/>
    <w:rsid w:val="008739F5"/>
    <w:rsid w:val="00873A4A"/>
    <w:rsid w:val="00873F6F"/>
    <w:rsid w:val="00874027"/>
    <w:rsid w:val="0087420C"/>
    <w:rsid w:val="00874589"/>
    <w:rsid w:val="00874693"/>
    <w:rsid w:val="008746B1"/>
    <w:rsid w:val="0087490A"/>
    <w:rsid w:val="00874AF0"/>
    <w:rsid w:val="00874BF8"/>
    <w:rsid w:val="00874BFD"/>
    <w:rsid w:val="00875349"/>
    <w:rsid w:val="00875616"/>
    <w:rsid w:val="008756C2"/>
    <w:rsid w:val="0087577F"/>
    <w:rsid w:val="00875B49"/>
    <w:rsid w:val="00875B6D"/>
    <w:rsid w:val="00875CA5"/>
    <w:rsid w:val="00876083"/>
    <w:rsid w:val="0087640A"/>
    <w:rsid w:val="00876432"/>
    <w:rsid w:val="0087662A"/>
    <w:rsid w:val="00876746"/>
    <w:rsid w:val="008767E3"/>
    <w:rsid w:val="008768B5"/>
    <w:rsid w:val="008768DB"/>
    <w:rsid w:val="008769DC"/>
    <w:rsid w:val="00876AB0"/>
    <w:rsid w:val="00876D81"/>
    <w:rsid w:val="00876E9C"/>
    <w:rsid w:val="00877056"/>
    <w:rsid w:val="00877065"/>
    <w:rsid w:val="008770BC"/>
    <w:rsid w:val="008770E4"/>
    <w:rsid w:val="008771CB"/>
    <w:rsid w:val="008771F4"/>
    <w:rsid w:val="00877415"/>
    <w:rsid w:val="008774AC"/>
    <w:rsid w:val="00877576"/>
    <w:rsid w:val="008779EB"/>
    <w:rsid w:val="00877A41"/>
    <w:rsid w:val="00877BB9"/>
    <w:rsid w:val="00877DF6"/>
    <w:rsid w:val="00877F16"/>
    <w:rsid w:val="00877FD6"/>
    <w:rsid w:val="00877FEF"/>
    <w:rsid w:val="00880077"/>
    <w:rsid w:val="00880449"/>
    <w:rsid w:val="0088066E"/>
    <w:rsid w:val="00880A3D"/>
    <w:rsid w:val="00880BB6"/>
    <w:rsid w:val="00880CDA"/>
    <w:rsid w:val="00880D5F"/>
    <w:rsid w:val="008810CC"/>
    <w:rsid w:val="0088146F"/>
    <w:rsid w:val="00881518"/>
    <w:rsid w:val="00881710"/>
    <w:rsid w:val="008819BC"/>
    <w:rsid w:val="00881B83"/>
    <w:rsid w:val="00881C7D"/>
    <w:rsid w:val="00881D4E"/>
    <w:rsid w:val="00881D58"/>
    <w:rsid w:val="00881EC4"/>
    <w:rsid w:val="00881FAC"/>
    <w:rsid w:val="00882004"/>
    <w:rsid w:val="00882010"/>
    <w:rsid w:val="00882022"/>
    <w:rsid w:val="00882072"/>
    <w:rsid w:val="008820BA"/>
    <w:rsid w:val="00882130"/>
    <w:rsid w:val="00882319"/>
    <w:rsid w:val="00882348"/>
    <w:rsid w:val="00882396"/>
    <w:rsid w:val="0088239E"/>
    <w:rsid w:val="00882521"/>
    <w:rsid w:val="008826F9"/>
    <w:rsid w:val="0088283D"/>
    <w:rsid w:val="00882A16"/>
    <w:rsid w:val="00882A17"/>
    <w:rsid w:val="00882BC7"/>
    <w:rsid w:val="00882C25"/>
    <w:rsid w:val="00882C87"/>
    <w:rsid w:val="00882D85"/>
    <w:rsid w:val="00882E15"/>
    <w:rsid w:val="00882F6F"/>
    <w:rsid w:val="00882F79"/>
    <w:rsid w:val="00883060"/>
    <w:rsid w:val="008832C6"/>
    <w:rsid w:val="0088361C"/>
    <w:rsid w:val="00883623"/>
    <w:rsid w:val="00883732"/>
    <w:rsid w:val="00883973"/>
    <w:rsid w:val="00883C0C"/>
    <w:rsid w:val="00884144"/>
    <w:rsid w:val="00884182"/>
    <w:rsid w:val="008841BB"/>
    <w:rsid w:val="008844A7"/>
    <w:rsid w:val="008845E4"/>
    <w:rsid w:val="00884663"/>
    <w:rsid w:val="0088486D"/>
    <w:rsid w:val="00884A16"/>
    <w:rsid w:val="00884A34"/>
    <w:rsid w:val="00884BBD"/>
    <w:rsid w:val="00884BC0"/>
    <w:rsid w:val="00884C77"/>
    <w:rsid w:val="00884F72"/>
    <w:rsid w:val="0088501A"/>
    <w:rsid w:val="0088514A"/>
    <w:rsid w:val="008853AE"/>
    <w:rsid w:val="008855F5"/>
    <w:rsid w:val="0088569A"/>
    <w:rsid w:val="008856BE"/>
    <w:rsid w:val="00885A1D"/>
    <w:rsid w:val="00885A45"/>
    <w:rsid w:val="00885CF0"/>
    <w:rsid w:val="00885E24"/>
    <w:rsid w:val="00885F35"/>
    <w:rsid w:val="00885F76"/>
    <w:rsid w:val="0088600E"/>
    <w:rsid w:val="00886114"/>
    <w:rsid w:val="008862DF"/>
    <w:rsid w:val="008863A2"/>
    <w:rsid w:val="0088642C"/>
    <w:rsid w:val="0088655B"/>
    <w:rsid w:val="00886618"/>
    <w:rsid w:val="008867AF"/>
    <w:rsid w:val="0088681C"/>
    <w:rsid w:val="00886838"/>
    <w:rsid w:val="008869EF"/>
    <w:rsid w:val="008869F3"/>
    <w:rsid w:val="00886A50"/>
    <w:rsid w:val="00886EAE"/>
    <w:rsid w:val="00886F37"/>
    <w:rsid w:val="00887322"/>
    <w:rsid w:val="008873BC"/>
    <w:rsid w:val="008874B7"/>
    <w:rsid w:val="008875C4"/>
    <w:rsid w:val="008876B0"/>
    <w:rsid w:val="00887766"/>
    <w:rsid w:val="008878A7"/>
    <w:rsid w:val="00887959"/>
    <w:rsid w:val="00887DB6"/>
    <w:rsid w:val="0088F2D5"/>
    <w:rsid w:val="0089004F"/>
    <w:rsid w:val="008900D2"/>
    <w:rsid w:val="008901C9"/>
    <w:rsid w:val="00890336"/>
    <w:rsid w:val="0089058B"/>
    <w:rsid w:val="008907C0"/>
    <w:rsid w:val="00890B50"/>
    <w:rsid w:val="00890BF2"/>
    <w:rsid w:val="00890ECD"/>
    <w:rsid w:val="0089102D"/>
    <w:rsid w:val="008912F9"/>
    <w:rsid w:val="00891376"/>
    <w:rsid w:val="0089144F"/>
    <w:rsid w:val="008914AD"/>
    <w:rsid w:val="00891501"/>
    <w:rsid w:val="0089154B"/>
    <w:rsid w:val="008915D5"/>
    <w:rsid w:val="00891637"/>
    <w:rsid w:val="00891693"/>
    <w:rsid w:val="0089184C"/>
    <w:rsid w:val="0089195F"/>
    <w:rsid w:val="00891966"/>
    <w:rsid w:val="00891C59"/>
    <w:rsid w:val="00891C9A"/>
    <w:rsid w:val="00891D05"/>
    <w:rsid w:val="00891FA0"/>
    <w:rsid w:val="00892239"/>
    <w:rsid w:val="008922A8"/>
    <w:rsid w:val="008922B8"/>
    <w:rsid w:val="00892352"/>
    <w:rsid w:val="008923D5"/>
    <w:rsid w:val="0089268A"/>
    <w:rsid w:val="00892770"/>
    <w:rsid w:val="00892893"/>
    <w:rsid w:val="00892901"/>
    <w:rsid w:val="00892A8C"/>
    <w:rsid w:val="00892CDD"/>
    <w:rsid w:val="00892D4A"/>
    <w:rsid w:val="00892DBF"/>
    <w:rsid w:val="00892E0D"/>
    <w:rsid w:val="00892E5E"/>
    <w:rsid w:val="00892EB9"/>
    <w:rsid w:val="008930C2"/>
    <w:rsid w:val="008931CE"/>
    <w:rsid w:val="008931D1"/>
    <w:rsid w:val="00893285"/>
    <w:rsid w:val="0089336C"/>
    <w:rsid w:val="008935E9"/>
    <w:rsid w:val="0089364C"/>
    <w:rsid w:val="008937FD"/>
    <w:rsid w:val="0089380A"/>
    <w:rsid w:val="00893834"/>
    <w:rsid w:val="00893DE3"/>
    <w:rsid w:val="00893ECD"/>
    <w:rsid w:val="00893F32"/>
    <w:rsid w:val="008940E1"/>
    <w:rsid w:val="0089424D"/>
    <w:rsid w:val="00894356"/>
    <w:rsid w:val="0089463C"/>
    <w:rsid w:val="00894963"/>
    <w:rsid w:val="0089496D"/>
    <w:rsid w:val="00894AA0"/>
    <w:rsid w:val="00894B99"/>
    <w:rsid w:val="00894C09"/>
    <w:rsid w:val="00894CE2"/>
    <w:rsid w:val="00894DC6"/>
    <w:rsid w:val="00894E27"/>
    <w:rsid w:val="00895007"/>
    <w:rsid w:val="00895056"/>
    <w:rsid w:val="0089523A"/>
    <w:rsid w:val="0089554E"/>
    <w:rsid w:val="00895709"/>
    <w:rsid w:val="008958AA"/>
    <w:rsid w:val="008958FB"/>
    <w:rsid w:val="0089590A"/>
    <w:rsid w:val="00895968"/>
    <w:rsid w:val="008959AB"/>
    <w:rsid w:val="00895A01"/>
    <w:rsid w:val="00895BFC"/>
    <w:rsid w:val="00895C3D"/>
    <w:rsid w:val="00895FD6"/>
    <w:rsid w:val="00896376"/>
    <w:rsid w:val="0089638F"/>
    <w:rsid w:val="0089655E"/>
    <w:rsid w:val="008966BE"/>
    <w:rsid w:val="00896751"/>
    <w:rsid w:val="00896761"/>
    <w:rsid w:val="008967C0"/>
    <w:rsid w:val="0089684C"/>
    <w:rsid w:val="008969CD"/>
    <w:rsid w:val="00896C08"/>
    <w:rsid w:val="00896CA2"/>
    <w:rsid w:val="00896CEB"/>
    <w:rsid w:val="00896D7E"/>
    <w:rsid w:val="00896DDC"/>
    <w:rsid w:val="00896DE6"/>
    <w:rsid w:val="008970BE"/>
    <w:rsid w:val="008971B8"/>
    <w:rsid w:val="008971F0"/>
    <w:rsid w:val="0089729C"/>
    <w:rsid w:val="0089729D"/>
    <w:rsid w:val="00897968"/>
    <w:rsid w:val="00897A2E"/>
    <w:rsid w:val="00897E4B"/>
    <w:rsid w:val="00897FB3"/>
    <w:rsid w:val="008A02E5"/>
    <w:rsid w:val="008A0466"/>
    <w:rsid w:val="008A0539"/>
    <w:rsid w:val="008A08E2"/>
    <w:rsid w:val="008A0914"/>
    <w:rsid w:val="008A0C54"/>
    <w:rsid w:val="008A0DD6"/>
    <w:rsid w:val="008A127E"/>
    <w:rsid w:val="008A131D"/>
    <w:rsid w:val="008A1353"/>
    <w:rsid w:val="008A150C"/>
    <w:rsid w:val="008A15CE"/>
    <w:rsid w:val="008A18A2"/>
    <w:rsid w:val="008A196B"/>
    <w:rsid w:val="008A1C77"/>
    <w:rsid w:val="008A1C79"/>
    <w:rsid w:val="008A1EA5"/>
    <w:rsid w:val="008A1F80"/>
    <w:rsid w:val="008A212A"/>
    <w:rsid w:val="008A2669"/>
    <w:rsid w:val="008A2735"/>
    <w:rsid w:val="008A278A"/>
    <w:rsid w:val="008A278D"/>
    <w:rsid w:val="008A2963"/>
    <w:rsid w:val="008A296E"/>
    <w:rsid w:val="008A2C06"/>
    <w:rsid w:val="008A2EF6"/>
    <w:rsid w:val="008A2F64"/>
    <w:rsid w:val="008A30A9"/>
    <w:rsid w:val="008A3484"/>
    <w:rsid w:val="008A34ED"/>
    <w:rsid w:val="008A3505"/>
    <w:rsid w:val="008A3611"/>
    <w:rsid w:val="008A3A7E"/>
    <w:rsid w:val="008A3FDA"/>
    <w:rsid w:val="008A40BC"/>
    <w:rsid w:val="008A40F0"/>
    <w:rsid w:val="008A4285"/>
    <w:rsid w:val="008A4406"/>
    <w:rsid w:val="008A46FC"/>
    <w:rsid w:val="008A4945"/>
    <w:rsid w:val="008A49B2"/>
    <w:rsid w:val="008A4AEC"/>
    <w:rsid w:val="008A4B93"/>
    <w:rsid w:val="008A4DEE"/>
    <w:rsid w:val="008A4F31"/>
    <w:rsid w:val="008A5083"/>
    <w:rsid w:val="008A53DC"/>
    <w:rsid w:val="008A53F8"/>
    <w:rsid w:val="008A5546"/>
    <w:rsid w:val="008A5670"/>
    <w:rsid w:val="008A57A3"/>
    <w:rsid w:val="008A5C70"/>
    <w:rsid w:val="008A5E52"/>
    <w:rsid w:val="008A5FEF"/>
    <w:rsid w:val="008A6097"/>
    <w:rsid w:val="008A60E0"/>
    <w:rsid w:val="008A61EB"/>
    <w:rsid w:val="008A6248"/>
    <w:rsid w:val="008A627C"/>
    <w:rsid w:val="008A62C2"/>
    <w:rsid w:val="008A6394"/>
    <w:rsid w:val="008A6577"/>
    <w:rsid w:val="008A68EC"/>
    <w:rsid w:val="008A6A14"/>
    <w:rsid w:val="008A6B24"/>
    <w:rsid w:val="008A6F64"/>
    <w:rsid w:val="008A74AB"/>
    <w:rsid w:val="008A754B"/>
    <w:rsid w:val="008A785C"/>
    <w:rsid w:val="008A78C2"/>
    <w:rsid w:val="008A7AD9"/>
    <w:rsid w:val="008A7B1E"/>
    <w:rsid w:val="008A7F0C"/>
    <w:rsid w:val="008B0042"/>
    <w:rsid w:val="008B01BD"/>
    <w:rsid w:val="008B0397"/>
    <w:rsid w:val="008B0798"/>
    <w:rsid w:val="008B0A2F"/>
    <w:rsid w:val="008B0B0C"/>
    <w:rsid w:val="008B0DF6"/>
    <w:rsid w:val="008B0F55"/>
    <w:rsid w:val="008B103B"/>
    <w:rsid w:val="008B1324"/>
    <w:rsid w:val="008B1920"/>
    <w:rsid w:val="008B1A57"/>
    <w:rsid w:val="008B1D8D"/>
    <w:rsid w:val="008B1DC6"/>
    <w:rsid w:val="008B1E84"/>
    <w:rsid w:val="008B1EF3"/>
    <w:rsid w:val="008B1F56"/>
    <w:rsid w:val="008B20F8"/>
    <w:rsid w:val="008B2138"/>
    <w:rsid w:val="008B2145"/>
    <w:rsid w:val="008B246D"/>
    <w:rsid w:val="008B2476"/>
    <w:rsid w:val="008B252E"/>
    <w:rsid w:val="008B254A"/>
    <w:rsid w:val="008B2612"/>
    <w:rsid w:val="008B2659"/>
    <w:rsid w:val="008B271B"/>
    <w:rsid w:val="008B27A0"/>
    <w:rsid w:val="008B292B"/>
    <w:rsid w:val="008B2AEE"/>
    <w:rsid w:val="008B2B30"/>
    <w:rsid w:val="008B2C39"/>
    <w:rsid w:val="008B2C49"/>
    <w:rsid w:val="008B2D67"/>
    <w:rsid w:val="008B2EE0"/>
    <w:rsid w:val="008B2EE7"/>
    <w:rsid w:val="008B2F8B"/>
    <w:rsid w:val="008B30B8"/>
    <w:rsid w:val="008B31B5"/>
    <w:rsid w:val="008B3439"/>
    <w:rsid w:val="008B36FD"/>
    <w:rsid w:val="008B377E"/>
    <w:rsid w:val="008B3914"/>
    <w:rsid w:val="008B39E8"/>
    <w:rsid w:val="008B3AA5"/>
    <w:rsid w:val="008B3ACE"/>
    <w:rsid w:val="008B3CF5"/>
    <w:rsid w:val="008B3D20"/>
    <w:rsid w:val="008B3E8E"/>
    <w:rsid w:val="008B3FD5"/>
    <w:rsid w:val="008B403D"/>
    <w:rsid w:val="008B4067"/>
    <w:rsid w:val="008B4087"/>
    <w:rsid w:val="008B43C7"/>
    <w:rsid w:val="008B4775"/>
    <w:rsid w:val="008B4891"/>
    <w:rsid w:val="008B489B"/>
    <w:rsid w:val="008B4910"/>
    <w:rsid w:val="008B4A32"/>
    <w:rsid w:val="008B4AE2"/>
    <w:rsid w:val="008B4CFE"/>
    <w:rsid w:val="008B4F79"/>
    <w:rsid w:val="008B567A"/>
    <w:rsid w:val="008B57F2"/>
    <w:rsid w:val="008B5877"/>
    <w:rsid w:val="008B59C8"/>
    <w:rsid w:val="008B5A8B"/>
    <w:rsid w:val="008B60E2"/>
    <w:rsid w:val="008B611F"/>
    <w:rsid w:val="008B616C"/>
    <w:rsid w:val="008B6329"/>
    <w:rsid w:val="008B634F"/>
    <w:rsid w:val="008B6461"/>
    <w:rsid w:val="008B6535"/>
    <w:rsid w:val="008B655E"/>
    <w:rsid w:val="008B6678"/>
    <w:rsid w:val="008B66E1"/>
    <w:rsid w:val="008B6778"/>
    <w:rsid w:val="008B67E5"/>
    <w:rsid w:val="008B69FD"/>
    <w:rsid w:val="008B6A23"/>
    <w:rsid w:val="008B6B2F"/>
    <w:rsid w:val="008B6B3E"/>
    <w:rsid w:val="008B7096"/>
    <w:rsid w:val="008B71C1"/>
    <w:rsid w:val="008B7425"/>
    <w:rsid w:val="008B7544"/>
    <w:rsid w:val="008B75DD"/>
    <w:rsid w:val="008B7613"/>
    <w:rsid w:val="008B77B6"/>
    <w:rsid w:val="008B79A5"/>
    <w:rsid w:val="008B79AB"/>
    <w:rsid w:val="008B7A4F"/>
    <w:rsid w:val="008B7B3D"/>
    <w:rsid w:val="008B7B42"/>
    <w:rsid w:val="008B7B5C"/>
    <w:rsid w:val="008B7C29"/>
    <w:rsid w:val="008B7C51"/>
    <w:rsid w:val="008B7D44"/>
    <w:rsid w:val="008B7D9A"/>
    <w:rsid w:val="008B7FD5"/>
    <w:rsid w:val="008C0051"/>
    <w:rsid w:val="008C0093"/>
    <w:rsid w:val="008C02C9"/>
    <w:rsid w:val="008C0888"/>
    <w:rsid w:val="008C0C5D"/>
    <w:rsid w:val="008C0C74"/>
    <w:rsid w:val="008C100F"/>
    <w:rsid w:val="008C129D"/>
    <w:rsid w:val="008C1577"/>
    <w:rsid w:val="008C17AD"/>
    <w:rsid w:val="008C17D2"/>
    <w:rsid w:val="008C1902"/>
    <w:rsid w:val="008C1910"/>
    <w:rsid w:val="008C1A2F"/>
    <w:rsid w:val="008C1CFF"/>
    <w:rsid w:val="008C1DE4"/>
    <w:rsid w:val="008C1F4B"/>
    <w:rsid w:val="008C1F6A"/>
    <w:rsid w:val="008C1FA9"/>
    <w:rsid w:val="008C2033"/>
    <w:rsid w:val="008C205E"/>
    <w:rsid w:val="008C20AF"/>
    <w:rsid w:val="008C2484"/>
    <w:rsid w:val="008C2851"/>
    <w:rsid w:val="008C2AC0"/>
    <w:rsid w:val="008C2AE0"/>
    <w:rsid w:val="008C2B98"/>
    <w:rsid w:val="008C2C78"/>
    <w:rsid w:val="008C31C5"/>
    <w:rsid w:val="008C32DC"/>
    <w:rsid w:val="008C3518"/>
    <w:rsid w:val="008C35CF"/>
    <w:rsid w:val="008C38E8"/>
    <w:rsid w:val="008C393B"/>
    <w:rsid w:val="008C3CE8"/>
    <w:rsid w:val="008C3D0D"/>
    <w:rsid w:val="008C3E47"/>
    <w:rsid w:val="008C3F10"/>
    <w:rsid w:val="008C41ED"/>
    <w:rsid w:val="008C4221"/>
    <w:rsid w:val="008C4290"/>
    <w:rsid w:val="008C42D8"/>
    <w:rsid w:val="008C4713"/>
    <w:rsid w:val="008C48E1"/>
    <w:rsid w:val="008C4965"/>
    <w:rsid w:val="008C4FA0"/>
    <w:rsid w:val="008C50AD"/>
    <w:rsid w:val="008C51C0"/>
    <w:rsid w:val="008C537F"/>
    <w:rsid w:val="008C542A"/>
    <w:rsid w:val="008C57A2"/>
    <w:rsid w:val="008C5931"/>
    <w:rsid w:val="008C5A36"/>
    <w:rsid w:val="008C5B65"/>
    <w:rsid w:val="008C5B9E"/>
    <w:rsid w:val="008C5D2F"/>
    <w:rsid w:val="008C5E55"/>
    <w:rsid w:val="008C5EE6"/>
    <w:rsid w:val="008C6260"/>
    <w:rsid w:val="008C6394"/>
    <w:rsid w:val="008C639E"/>
    <w:rsid w:val="008C65E4"/>
    <w:rsid w:val="008C6804"/>
    <w:rsid w:val="008C698C"/>
    <w:rsid w:val="008C69D4"/>
    <w:rsid w:val="008C6B8B"/>
    <w:rsid w:val="008C6CD0"/>
    <w:rsid w:val="008C6E5A"/>
    <w:rsid w:val="008C6E9C"/>
    <w:rsid w:val="008C6ED1"/>
    <w:rsid w:val="008C7068"/>
    <w:rsid w:val="008C7134"/>
    <w:rsid w:val="008C7173"/>
    <w:rsid w:val="008C7231"/>
    <w:rsid w:val="008C7264"/>
    <w:rsid w:val="008C72C3"/>
    <w:rsid w:val="008C73D6"/>
    <w:rsid w:val="008C7528"/>
    <w:rsid w:val="008C75C0"/>
    <w:rsid w:val="008C7852"/>
    <w:rsid w:val="008C7911"/>
    <w:rsid w:val="008C79FE"/>
    <w:rsid w:val="008C7C02"/>
    <w:rsid w:val="008C7C14"/>
    <w:rsid w:val="008C7FC3"/>
    <w:rsid w:val="008D008F"/>
    <w:rsid w:val="008D00D8"/>
    <w:rsid w:val="008D0324"/>
    <w:rsid w:val="008D033D"/>
    <w:rsid w:val="008D04BC"/>
    <w:rsid w:val="008D062C"/>
    <w:rsid w:val="008D0676"/>
    <w:rsid w:val="008D06DC"/>
    <w:rsid w:val="008D06F9"/>
    <w:rsid w:val="008D082C"/>
    <w:rsid w:val="008D0984"/>
    <w:rsid w:val="008D0B0D"/>
    <w:rsid w:val="008D0E10"/>
    <w:rsid w:val="008D0EE7"/>
    <w:rsid w:val="008D0EEA"/>
    <w:rsid w:val="008D113B"/>
    <w:rsid w:val="008D1282"/>
    <w:rsid w:val="008D12F8"/>
    <w:rsid w:val="008D13B5"/>
    <w:rsid w:val="008D149A"/>
    <w:rsid w:val="008D1690"/>
    <w:rsid w:val="008D16B0"/>
    <w:rsid w:val="008D191C"/>
    <w:rsid w:val="008D19C9"/>
    <w:rsid w:val="008D1A65"/>
    <w:rsid w:val="008D1AEA"/>
    <w:rsid w:val="008D1C1A"/>
    <w:rsid w:val="008D1D65"/>
    <w:rsid w:val="008D1D73"/>
    <w:rsid w:val="008D1E99"/>
    <w:rsid w:val="008D1F21"/>
    <w:rsid w:val="008D1F25"/>
    <w:rsid w:val="008D2260"/>
    <w:rsid w:val="008D2303"/>
    <w:rsid w:val="008D2355"/>
    <w:rsid w:val="008D235D"/>
    <w:rsid w:val="008D2620"/>
    <w:rsid w:val="008D280A"/>
    <w:rsid w:val="008D29CB"/>
    <w:rsid w:val="008D2A3F"/>
    <w:rsid w:val="008D2B1C"/>
    <w:rsid w:val="008D2D2F"/>
    <w:rsid w:val="008D2D8B"/>
    <w:rsid w:val="008D3385"/>
    <w:rsid w:val="008D338E"/>
    <w:rsid w:val="008D3718"/>
    <w:rsid w:val="008D3890"/>
    <w:rsid w:val="008D3983"/>
    <w:rsid w:val="008D3B61"/>
    <w:rsid w:val="008D3C3E"/>
    <w:rsid w:val="008D3D58"/>
    <w:rsid w:val="008D43D4"/>
    <w:rsid w:val="008D43E3"/>
    <w:rsid w:val="008D4A72"/>
    <w:rsid w:val="008D4A81"/>
    <w:rsid w:val="008D4BE6"/>
    <w:rsid w:val="008D4DF5"/>
    <w:rsid w:val="008D5393"/>
    <w:rsid w:val="008D54D4"/>
    <w:rsid w:val="008D5960"/>
    <w:rsid w:val="008D59CB"/>
    <w:rsid w:val="008D5AA4"/>
    <w:rsid w:val="008D5AAE"/>
    <w:rsid w:val="008D5B22"/>
    <w:rsid w:val="008D5C01"/>
    <w:rsid w:val="008D5D07"/>
    <w:rsid w:val="008D5E56"/>
    <w:rsid w:val="008D5E67"/>
    <w:rsid w:val="008D5E80"/>
    <w:rsid w:val="008D6159"/>
    <w:rsid w:val="008D61AD"/>
    <w:rsid w:val="008D6206"/>
    <w:rsid w:val="008D622D"/>
    <w:rsid w:val="008D663C"/>
    <w:rsid w:val="008D68F9"/>
    <w:rsid w:val="008D6932"/>
    <w:rsid w:val="008D6BB6"/>
    <w:rsid w:val="008D6C6C"/>
    <w:rsid w:val="008D6CEB"/>
    <w:rsid w:val="008D6DBE"/>
    <w:rsid w:val="008D6E83"/>
    <w:rsid w:val="008D6E8C"/>
    <w:rsid w:val="008D6ECF"/>
    <w:rsid w:val="008D6EFA"/>
    <w:rsid w:val="008D6F0D"/>
    <w:rsid w:val="008D7302"/>
    <w:rsid w:val="008D732E"/>
    <w:rsid w:val="008D7363"/>
    <w:rsid w:val="008D73DF"/>
    <w:rsid w:val="008D75BC"/>
    <w:rsid w:val="008D76A7"/>
    <w:rsid w:val="008D7731"/>
    <w:rsid w:val="008D78D0"/>
    <w:rsid w:val="008D79DF"/>
    <w:rsid w:val="008D7C5A"/>
    <w:rsid w:val="008D7D21"/>
    <w:rsid w:val="008D7D75"/>
    <w:rsid w:val="008D7E7B"/>
    <w:rsid w:val="008D7F12"/>
    <w:rsid w:val="008D7F1F"/>
    <w:rsid w:val="008E003C"/>
    <w:rsid w:val="008E0537"/>
    <w:rsid w:val="008E0584"/>
    <w:rsid w:val="008E05B3"/>
    <w:rsid w:val="008E06B7"/>
    <w:rsid w:val="008E06D1"/>
    <w:rsid w:val="008E07E5"/>
    <w:rsid w:val="008E089E"/>
    <w:rsid w:val="008E099A"/>
    <w:rsid w:val="008E0BBD"/>
    <w:rsid w:val="008E0C34"/>
    <w:rsid w:val="008E0CD0"/>
    <w:rsid w:val="008E0D37"/>
    <w:rsid w:val="008E0E43"/>
    <w:rsid w:val="008E0F7B"/>
    <w:rsid w:val="008E0FF0"/>
    <w:rsid w:val="008E100B"/>
    <w:rsid w:val="008E1222"/>
    <w:rsid w:val="008E1285"/>
    <w:rsid w:val="008E13E0"/>
    <w:rsid w:val="008E14AB"/>
    <w:rsid w:val="008E156A"/>
    <w:rsid w:val="008E15F5"/>
    <w:rsid w:val="008E16D0"/>
    <w:rsid w:val="008E180C"/>
    <w:rsid w:val="008E189D"/>
    <w:rsid w:val="008E1914"/>
    <w:rsid w:val="008E1A99"/>
    <w:rsid w:val="008E1AB2"/>
    <w:rsid w:val="008E1C28"/>
    <w:rsid w:val="008E1D92"/>
    <w:rsid w:val="008E1DCA"/>
    <w:rsid w:val="008E1EBF"/>
    <w:rsid w:val="008E1F61"/>
    <w:rsid w:val="008E21C7"/>
    <w:rsid w:val="008E27FF"/>
    <w:rsid w:val="008E28A2"/>
    <w:rsid w:val="008E28C4"/>
    <w:rsid w:val="008E298C"/>
    <w:rsid w:val="008E2CCC"/>
    <w:rsid w:val="008E2D52"/>
    <w:rsid w:val="008E2DB4"/>
    <w:rsid w:val="008E2EE5"/>
    <w:rsid w:val="008E2F69"/>
    <w:rsid w:val="008E31E4"/>
    <w:rsid w:val="008E3375"/>
    <w:rsid w:val="008E33CD"/>
    <w:rsid w:val="008E354E"/>
    <w:rsid w:val="008E35BB"/>
    <w:rsid w:val="008E378C"/>
    <w:rsid w:val="008E378E"/>
    <w:rsid w:val="008E3C8E"/>
    <w:rsid w:val="008E3D50"/>
    <w:rsid w:val="008E3E82"/>
    <w:rsid w:val="008E429D"/>
    <w:rsid w:val="008E4BA8"/>
    <w:rsid w:val="008E4ED2"/>
    <w:rsid w:val="008E4F47"/>
    <w:rsid w:val="008E50C0"/>
    <w:rsid w:val="008E53A9"/>
    <w:rsid w:val="008E5565"/>
    <w:rsid w:val="008E571D"/>
    <w:rsid w:val="008E5739"/>
    <w:rsid w:val="008E5757"/>
    <w:rsid w:val="008E5A19"/>
    <w:rsid w:val="008E5AF7"/>
    <w:rsid w:val="008E5D0D"/>
    <w:rsid w:val="008E5E2C"/>
    <w:rsid w:val="008E63B2"/>
    <w:rsid w:val="008E6515"/>
    <w:rsid w:val="008E65D3"/>
    <w:rsid w:val="008E6620"/>
    <w:rsid w:val="008E66D5"/>
    <w:rsid w:val="008E690D"/>
    <w:rsid w:val="008E6A41"/>
    <w:rsid w:val="008E6A82"/>
    <w:rsid w:val="008E6ADD"/>
    <w:rsid w:val="008E6B3E"/>
    <w:rsid w:val="008E6C03"/>
    <w:rsid w:val="008E6EA4"/>
    <w:rsid w:val="008E6ED7"/>
    <w:rsid w:val="008E6F63"/>
    <w:rsid w:val="008E7039"/>
    <w:rsid w:val="008E72C1"/>
    <w:rsid w:val="008E7300"/>
    <w:rsid w:val="008E735A"/>
    <w:rsid w:val="008E742F"/>
    <w:rsid w:val="008E74DB"/>
    <w:rsid w:val="008E7671"/>
    <w:rsid w:val="008E768E"/>
    <w:rsid w:val="008E77BD"/>
    <w:rsid w:val="008E79B0"/>
    <w:rsid w:val="008E79CD"/>
    <w:rsid w:val="008E7B8E"/>
    <w:rsid w:val="008E7C9A"/>
    <w:rsid w:val="008E7DD4"/>
    <w:rsid w:val="008E7FB1"/>
    <w:rsid w:val="008F01B4"/>
    <w:rsid w:val="008F04E7"/>
    <w:rsid w:val="008F0609"/>
    <w:rsid w:val="008F064B"/>
    <w:rsid w:val="008F07BD"/>
    <w:rsid w:val="008F0A3D"/>
    <w:rsid w:val="008F0A6A"/>
    <w:rsid w:val="008F0CF0"/>
    <w:rsid w:val="008F0D59"/>
    <w:rsid w:val="008F0F44"/>
    <w:rsid w:val="008F1098"/>
    <w:rsid w:val="008F114D"/>
    <w:rsid w:val="008F12D5"/>
    <w:rsid w:val="008F13F4"/>
    <w:rsid w:val="008F14B8"/>
    <w:rsid w:val="008F1563"/>
    <w:rsid w:val="008F1588"/>
    <w:rsid w:val="008F17B0"/>
    <w:rsid w:val="008F19CF"/>
    <w:rsid w:val="008F1ABD"/>
    <w:rsid w:val="008F1C89"/>
    <w:rsid w:val="008F1EE0"/>
    <w:rsid w:val="008F1F94"/>
    <w:rsid w:val="008F2025"/>
    <w:rsid w:val="008F2183"/>
    <w:rsid w:val="008F21DA"/>
    <w:rsid w:val="008F21FB"/>
    <w:rsid w:val="008F2338"/>
    <w:rsid w:val="008F248A"/>
    <w:rsid w:val="008F27E4"/>
    <w:rsid w:val="008F2A06"/>
    <w:rsid w:val="008F2A36"/>
    <w:rsid w:val="008F2FA8"/>
    <w:rsid w:val="008F30B9"/>
    <w:rsid w:val="008F3168"/>
    <w:rsid w:val="008F3175"/>
    <w:rsid w:val="008F33B7"/>
    <w:rsid w:val="008F3A72"/>
    <w:rsid w:val="008F3B7D"/>
    <w:rsid w:val="008F3BDC"/>
    <w:rsid w:val="008F3F6E"/>
    <w:rsid w:val="008F3FBF"/>
    <w:rsid w:val="008F4288"/>
    <w:rsid w:val="008F4290"/>
    <w:rsid w:val="008F42E8"/>
    <w:rsid w:val="008F43CA"/>
    <w:rsid w:val="008F448F"/>
    <w:rsid w:val="008F44C3"/>
    <w:rsid w:val="008F458F"/>
    <w:rsid w:val="008F4813"/>
    <w:rsid w:val="008F4BEA"/>
    <w:rsid w:val="008F4C83"/>
    <w:rsid w:val="008F5308"/>
    <w:rsid w:val="008F54D1"/>
    <w:rsid w:val="008F54EF"/>
    <w:rsid w:val="008F54FA"/>
    <w:rsid w:val="008F5635"/>
    <w:rsid w:val="008F56EB"/>
    <w:rsid w:val="008F57D1"/>
    <w:rsid w:val="008F5842"/>
    <w:rsid w:val="008F5F35"/>
    <w:rsid w:val="008F60CC"/>
    <w:rsid w:val="008F619D"/>
    <w:rsid w:val="008F61A9"/>
    <w:rsid w:val="008F63BF"/>
    <w:rsid w:val="008F641A"/>
    <w:rsid w:val="008F64D8"/>
    <w:rsid w:val="008F64E7"/>
    <w:rsid w:val="008F685C"/>
    <w:rsid w:val="008F68A5"/>
    <w:rsid w:val="008F6A3D"/>
    <w:rsid w:val="008F6AA2"/>
    <w:rsid w:val="008F6B6E"/>
    <w:rsid w:val="008F6DE1"/>
    <w:rsid w:val="008F6F13"/>
    <w:rsid w:val="008F6F85"/>
    <w:rsid w:val="008F6F9F"/>
    <w:rsid w:val="008F7056"/>
    <w:rsid w:val="008F70AB"/>
    <w:rsid w:val="008F70CE"/>
    <w:rsid w:val="008F7242"/>
    <w:rsid w:val="008F733F"/>
    <w:rsid w:val="008F74A5"/>
    <w:rsid w:val="008F753F"/>
    <w:rsid w:val="008F7590"/>
    <w:rsid w:val="008F7940"/>
    <w:rsid w:val="008F7AF1"/>
    <w:rsid w:val="008F7CBD"/>
    <w:rsid w:val="008F7D4F"/>
    <w:rsid w:val="008F7D93"/>
    <w:rsid w:val="0090007A"/>
    <w:rsid w:val="00900A65"/>
    <w:rsid w:val="00900AB7"/>
    <w:rsid w:val="00900B2B"/>
    <w:rsid w:val="00900BAB"/>
    <w:rsid w:val="00900C8B"/>
    <w:rsid w:val="00900D34"/>
    <w:rsid w:val="00900DDB"/>
    <w:rsid w:val="00900E62"/>
    <w:rsid w:val="00900EA3"/>
    <w:rsid w:val="00900EE4"/>
    <w:rsid w:val="00900EE5"/>
    <w:rsid w:val="0090124C"/>
    <w:rsid w:val="009013C3"/>
    <w:rsid w:val="00901770"/>
    <w:rsid w:val="009017C6"/>
    <w:rsid w:val="00901951"/>
    <w:rsid w:val="00901965"/>
    <w:rsid w:val="00901D2D"/>
    <w:rsid w:val="00901E96"/>
    <w:rsid w:val="0090210F"/>
    <w:rsid w:val="00902132"/>
    <w:rsid w:val="00902153"/>
    <w:rsid w:val="009023CF"/>
    <w:rsid w:val="009023DE"/>
    <w:rsid w:val="0090246F"/>
    <w:rsid w:val="009026DA"/>
    <w:rsid w:val="0090285E"/>
    <w:rsid w:val="009028FF"/>
    <w:rsid w:val="00902ACB"/>
    <w:rsid w:val="00902AFD"/>
    <w:rsid w:val="00902B78"/>
    <w:rsid w:val="00902B92"/>
    <w:rsid w:val="009030B3"/>
    <w:rsid w:val="0090313B"/>
    <w:rsid w:val="009033B7"/>
    <w:rsid w:val="00903482"/>
    <w:rsid w:val="00903532"/>
    <w:rsid w:val="00903641"/>
    <w:rsid w:val="00903684"/>
    <w:rsid w:val="0090375E"/>
    <w:rsid w:val="00903883"/>
    <w:rsid w:val="009038EF"/>
    <w:rsid w:val="00903969"/>
    <w:rsid w:val="00903A1A"/>
    <w:rsid w:val="00903A60"/>
    <w:rsid w:val="00903A97"/>
    <w:rsid w:val="00903D98"/>
    <w:rsid w:val="00903FD3"/>
    <w:rsid w:val="009040AB"/>
    <w:rsid w:val="0090412A"/>
    <w:rsid w:val="009041FB"/>
    <w:rsid w:val="009042C2"/>
    <w:rsid w:val="009044E7"/>
    <w:rsid w:val="009045E7"/>
    <w:rsid w:val="009049DA"/>
    <w:rsid w:val="00904A33"/>
    <w:rsid w:val="00904E29"/>
    <w:rsid w:val="00904F34"/>
    <w:rsid w:val="00905051"/>
    <w:rsid w:val="009050AB"/>
    <w:rsid w:val="009051A0"/>
    <w:rsid w:val="00905402"/>
    <w:rsid w:val="0090540F"/>
    <w:rsid w:val="009054B0"/>
    <w:rsid w:val="009054B8"/>
    <w:rsid w:val="009054C8"/>
    <w:rsid w:val="009054F6"/>
    <w:rsid w:val="009055C8"/>
    <w:rsid w:val="009055D8"/>
    <w:rsid w:val="00905760"/>
    <w:rsid w:val="009057C8"/>
    <w:rsid w:val="00905BC7"/>
    <w:rsid w:val="00905CFB"/>
    <w:rsid w:val="00905FDB"/>
    <w:rsid w:val="0090600E"/>
    <w:rsid w:val="00906313"/>
    <w:rsid w:val="00906382"/>
    <w:rsid w:val="009063CE"/>
    <w:rsid w:val="009064A1"/>
    <w:rsid w:val="009068F8"/>
    <w:rsid w:val="00906B85"/>
    <w:rsid w:val="00906C0D"/>
    <w:rsid w:val="00906EC8"/>
    <w:rsid w:val="00906FF5"/>
    <w:rsid w:val="00907070"/>
    <w:rsid w:val="009072C2"/>
    <w:rsid w:val="009072EF"/>
    <w:rsid w:val="009074EE"/>
    <w:rsid w:val="0090758B"/>
    <w:rsid w:val="0090765A"/>
    <w:rsid w:val="00907774"/>
    <w:rsid w:val="009079EC"/>
    <w:rsid w:val="00907EE8"/>
    <w:rsid w:val="009100C4"/>
    <w:rsid w:val="009106A5"/>
    <w:rsid w:val="0091086B"/>
    <w:rsid w:val="00910AEA"/>
    <w:rsid w:val="00910CE2"/>
    <w:rsid w:val="00910D53"/>
    <w:rsid w:val="00910E16"/>
    <w:rsid w:val="00910EA5"/>
    <w:rsid w:val="00910EF7"/>
    <w:rsid w:val="00911066"/>
    <w:rsid w:val="00911268"/>
    <w:rsid w:val="00911543"/>
    <w:rsid w:val="0091181D"/>
    <w:rsid w:val="009119CE"/>
    <w:rsid w:val="00911AF0"/>
    <w:rsid w:val="00911C60"/>
    <w:rsid w:val="00911D26"/>
    <w:rsid w:val="00911D82"/>
    <w:rsid w:val="0091200B"/>
    <w:rsid w:val="00912027"/>
    <w:rsid w:val="00912034"/>
    <w:rsid w:val="00912086"/>
    <w:rsid w:val="00912355"/>
    <w:rsid w:val="009123B5"/>
    <w:rsid w:val="009123D1"/>
    <w:rsid w:val="00912623"/>
    <w:rsid w:val="00912634"/>
    <w:rsid w:val="00912673"/>
    <w:rsid w:val="009126FD"/>
    <w:rsid w:val="00912779"/>
    <w:rsid w:val="00912C78"/>
    <w:rsid w:val="00912CAA"/>
    <w:rsid w:val="00912D39"/>
    <w:rsid w:val="00912E70"/>
    <w:rsid w:val="00912EEF"/>
    <w:rsid w:val="0091302E"/>
    <w:rsid w:val="00913049"/>
    <w:rsid w:val="009130D4"/>
    <w:rsid w:val="009135EA"/>
    <w:rsid w:val="009137EB"/>
    <w:rsid w:val="00913804"/>
    <w:rsid w:val="00913A00"/>
    <w:rsid w:val="00913B2A"/>
    <w:rsid w:val="00913B4E"/>
    <w:rsid w:val="00913E19"/>
    <w:rsid w:val="00913E93"/>
    <w:rsid w:val="0091407D"/>
    <w:rsid w:val="00914421"/>
    <w:rsid w:val="00914734"/>
    <w:rsid w:val="00914AA7"/>
    <w:rsid w:val="00914ADC"/>
    <w:rsid w:val="00914B2C"/>
    <w:rsid w:val="00914D18"/>
    <w:rsid w:val="00914E17"/>
    <w:rsid w:val="00914EDD"/>
    <w:rsid w:val="0091515A"/>
    <w:rsid w:val="0091523F"/>
    <w:rsid w:val="0091531C"/>
    <w:rsid w:val="0091556A"/>
    <w:rsid w:val="009157ED"/>
    <w:rsid w:val="00915A90"/>
    <w:rsid w:val="00915BC5"/>
    <w:rsid w:val="00915BD0"/>
    <w:rsid w:val="00915D39"/>
    <w:rsid w:val="00915EE9"/>
    <w:rsid w:val="00915F32"/>
    <w:rsid w:val="0091616E"/>
    <w:rsid w:val="0091624C"/>
    <w:rsid w:val="0091648C"/>
    <w:rsid w:val="009165DA"/>
    <w:rsid w:val="00916A33"/>
    <w:rsid w:val="00916CD0"/>
    <w:rsid w:val="00916CEA"/>
    <w:rsid w:val="0091711F"/>
    <w:rsid w:val="00917261"/>
    <w:rsid w:val="00917354"/>
    <w:rsid w:val="0091738E"/>
    <w:rsid w:val="0091747A"/>
    <w:rsid w:val="00917596"/>
    <w:rsid w:val="00917647"/>
    <w:rsid w:val="00917666"/>
    <w:rsid w:val="00917757"/>
    <w:rsid w:val="00917924"/>
    <w:rsid w:val="00917A2C"/>
    <w:rsid w:val="00917B4A"/>
    <w:rsid w:val="009200E2"/>
    <w:rsid w:val="009207BD"/>
    <w:rsid w:val="009208BC"/>
    <w:rsid w:val="00920976"/>
    <w:rsid w:val="00920B09"/>
    <w:rsid w:val="00920B30"/>
    <w:rsid w:val="00920C3E"/>
    <w:rsid w:val="00920C87"/>
    <w:rsid w:val="0092118A"/>
    <w:rsid w:val="009212DF"/>
    <w:rsid w:val="00921432"/>
    <w:rsid w:val="00921443"/>
    <w:rsid w:val="00921449"/>
    <w:rsid w:val="009215F3"/>
    <w:rsid w:val="009215F5"/>
    <w:rsid w:val="0092190B"/>
    <w:rsid w:val="00921964"/>
    <w:rsid w:val="00921C88"/>
    <w:rsid w:val="00921CFE"/>
    <w:rsid w:val="00921E23"/>
    <w:rsid w:val="00921E3D"/>
    <w:rsid w:val="00921E8E"/>
    <w:rsid w:val="00921E95"/>
    <w:rsid w:val="00922060"/>
    <w:rsid w:val="009220A4"/>
    <w:rsid w:val="009220C3"/>
    <w:rsid w:val="009222C8"/>
    <w:rsid w:val="00922571"/>
    <w:rsid w:val="00922849"/>
    <w:rsid w:val="00922864"/>
    <w:rsid w:val="00922A94"/>
    <w:rsid w:val="00922B4A"/>
    <w:rsid w:val="00922DC3"/>
    <w:rsid w:val="00923026"/>
    <w:rsid w:val="009234B2"/>
    <w:rsid w:val="0092355F"/>
    <w:rsid w:val="0092359E"/>
    <w:rsid w:val="00923709"/>
    <w:rsid w:val="00923792"/>
    <w:rsid w:val="009238C9"/>
    <w:rsid w:val="00923A0E"/>
    <w:rsid w:val="00923C28"/>
    <w:rsid w:val="00923C80"/>
    <w:rsid w:val="00923DC3"/>
    <w:rsid w:val="00924155"/>
    <w:rsid w:val="00924161"/>
    <w:rsid w:val="00924335"/>
    <w:rsid w:val="0092477D"/>
    <w:rsid w:val="009247F5"/>
    <w:rsid w:val="00924AD7"/>
    <w:rsid w:val="00924E44"/>
    <w:rsid w:val="0092523E"/>
    <w:rsid w:val="00925256"/>
    <w:rsid w:val="0092535F"/>
    <w:rsid w:val="00925363"/>
    <w:rsid w:val="00925439"/>
    <w:rsid w:val="00925470"/>
    <w:rsid w:val="009255D0"/>
    <w:rsid w:val="0092564C"/>
    <w:rsid w:val="00925890"/>
    <w:rsid w:val="009259A0"/>
    <w:rsid w:val="00925A0F"/>
    <w:rsid w:val="00925B52"/>
    <w:rsid w:val="00925CF4"/>
    <w:rsid w:val="00925F86"/>
    <w:rsid w:val="00926030"/>
    <w:rsid w:val="00926141"/>
    <w:rsid w:val="00926228"/>
    <w:rsid w:val="00926314"/>
    <w:rsid w:val="00926382"/>
    <w:rsid w:val="00926399"/>
    <w:rsid w:val="009263F7"/>
    <w:rsid w:val="00926455"/>
    <w:rsid w:val="009265FB"/>
    <w:rsid w:val="00926758"/>
    <w:rsid w:val="00926876"/>
    <w:rsid w:val="00926A14"/>
    <w:rsid w:val="00926B08"/>
    <w:rsid w:val="00926BBE"/>
    <w:rsid w:val="00926CCE"/>
    <w:rsid w:val="00926DD0"/>
    <w:rsid w:val="00926FB8"/>
    <w:rsid w:val="00926FD8"/>
    <w:rsid w:val="009271BD"/>
    <w:rsid w:val="00927217"/>
    <w:rsid w:val="0092728B"/>
    <w:rsid w:val="0092777F"/>
    <w:rsid w:val="00927857"/>
    <w:rsid w:val="009279E4"/>
    <w:rsid w:val="00927A0E"/>
    <w:rsid w:val="00927A98"/>
    <w:rsid w:val="00927B53"/>
    <w:rsid w:val="00927EF3"/>
    <w:rsid w:val="00927F34"/>
    <w:rsid w:val="0093018A"/>
    <w:rsid w:val="009303A9"/>
    <w:rsid w:val="009305C6"/>
    <w:rsid w:val="0093064C"/>
    <w:rsid w:val="009306F0"/>
    <w:rsid w:val="00930B70"/>
    <w:rsid w:val="00930D3F"/>
    <w:rsid w:val="00930EA9"/>
    <w:rsid w:val="00930FF3"/>
    <w:rsid w:val="00930FFD"/>
    <w:rsid w:val="00931161"/>
    <w:rsid w:val="0093120E"/>
    <w:rsid w:val="00931341"/>
    <w:rsid w:val="009313BF"/>
    <w:rsid w:val="009316F9"/>
    <w:rsid w:val="0093187D"/>
    <w:rsid w:val="0093192A"/>
    <w:rsid w:val="00931B0C"/>
    <w:rsid w:val="00931DEF"/>
    <w:rsid w:val="00931FFD"/>
    <w:rsid w:val="009320C9"/>
    <w:rsid w:val="00932351"/>
    <w:rsid w:val="00932356"/>
    <w:rsid w:val="0093241F"/>
    <w:rsid w:val="0093245C"/>
    <w:rsid w:val="009325C6"/>
    <w:rsid w:val="0093260F"/>
    <w:rsid w:val="00932820"/>
    <w:rsid w:val="00932B97"/>
    <w:rsid w:val="00932C31"/>
    <w:rsid w:val="00932DF1"/>
    <w:rsid w:val="00932DFA"/>
    <w:rsid w:val="00932E13"/>
    <w:rsid w:val="00932E5C"/>
    <w:rsid w:val="0093317E"/>
    <w:rsid w:val="009332E2"/>
    <w:rsid w:val="00933462"/>
    <w:rsid w:val="009334CF"/>
    <w:rsid w:val="009335A1"/>
    <w:rsid w:val="009337F3"/>
    <w:rsid w:val="00933984"/>
    <w:rsid w:val="009339E2"/>
    <w:rsid w:val="00933AE3"/>
    <w:rsid w:val="00933B89"/>
    <w:rsid w:val="00933DAD"/>
    <w:rsid w:val="00933DF7"/>
    <w:rsid w:val="00933E38"/>
    <w:rsid w:val="00933F55"/>
    <w:rsid w:val="009340F9"/>
    <w:rsid w:val="0093436C"/>
    <w:rsid w:val="0093449E"/>
    <w:rsid w:val="009344F2"/>
    <w:rsid w:val="009344F6"/>
    <w:rsid w:val="0093462B"/>
    <w:rsid w:val="009347CB"/>
    <w:rsid w:val="0093485E"/>
    <w:rsid w:val="0093492F"/>
    <w:rsid w:val="0093499B"/>
    <w:rsid w:val="009349FF"/>
    <w:rsid w:val="00934AAB"/>
    <w:rsid w:val="00934F8C"/>
    <w:rsid w:val="0093519C"/>
    <w:rsid w:val="0093541D"/>
    <w:rsid w:val="0093549E"/>
    <w:rsid w:val="00935518"/>
    <w:rsid w:val="0093567F"/>
    <w:rsid w:val="00935693"/>
    <w:rsid w:val="00935741"/>
    <w:rsid w:val="00935858"/>
    <w:rsid w:val="00935AB8"/>
    <w:rsid w:val="00935AD8"/>
    <w:rsid w:val="00935AEF"/>
    <w:rsid w:val="00935B38"/>
    <w:rsid w:val="00935D96"/>
    <w:rsid w:val="00935F72"/>
    <w:rsid w:val="00936402"/>
    <w:rsid w:val="0093649A"/>
    <w:rsid w:val="00936582"/>
    <w:rsid w:val="009367F5"/>
    <w:rsid w:val="00936813"/>
    <w:rsid w:val="00936AA0"/>
    <w:rsid w:val="00936E20"/>
    <w:rsid w:val="00936E6A"/>
    <w:rsid w:val="00936F90"/>
    <w:rsid w:val="00937031"/>
    <w:rsid w:val="00937080"/>
    <w:rsid w:val="009371A4"/>
    <w:rsid w:val="00937391"/>
    <w:rsid w:val="00937526"/>
    <w:rsid w:val="0093759A"/>
    <w:rsid w:val="0093780F"/>
    <w:rsid w:val="00937E41"/>
    <w:rsid w:val="0094018B"/>
    <w:rsid w:val="00940301"/>
    <w:rsid w:val="0094031D"/>
    <w:rsid w:val="00940471"/>
    <w:rsid w:val="0094054C"/>
    <w:rsid w:val="009405F9"/>
    <w:rsid w:val="0094060D"/>
    <w:rsid w:val="009406B6"/>
    <w:rsid w:val="009406D1"/>
    <w:rsid w:val="009407D6"/>
    <w:rsid w:val="009409C0"/>
    <w:rsid w:val="009409F0"/>
    <w:rsid w:val="00940A7E"/>
    <w:rsid w:val="00940BAA"/>
    <w:rsid w:val="00940BD9"/>
    <w:rsid w:val="00940CC6"/>
    <w:rsid w:val="00940E69"/>
    <w:rsid w:val="00940EA9"/>
    <w:rsid w:val="00940EB5"/>
    <w:rsid w:val="00941055"/>
    <w:rsid w:val="00941089"/>
    <w:rsid w:val="00941328"/>
    <w:rsid w:val="0094135D"/>
    <w:rsid w:val="00941385"/>
    <w:rsid w:val="00941421"/>
    <w:rsid w:val="00941586"/>
    <w:rsid w:val="009415AA"/>
    <w:rsid w:val="009415C4"/>
    <w:rsid w:val="00941635"/>
    <w:rsid w:val="009417CC"/>
    <w:rsid w:val="00941802"/>
    <w:rsid w:val="0094192C"/>
    <w:rsid w:val="00941AED"/>
    <w:rsid w:val="00941B99"/>
    <w:rsid w:val="00941CBA"/>
    <w:rsid w:val="00941DC6"/>
    <w:rsid w:val="009421F8"/>
    <w:rsid w:val="00942366"/>
    <w:rsid w:val="009423C1"/>
    <w:rsid w:val="0094251A"/>
    <w:rsid w:val="009428C2"/>
    <w:rsid w:val="00942C05"/>
    <w:rsid w:val="009430F0"/>
    <w:rsid w:val="009431B0"/>
    <w:rsid w:val="00943280"/>
    <w:rsid w:val="00943851"/>
    <w:rsid w:val="009438A3"/>
    <w:rsid w:val="00943A24"/>
    <w:rsid w:val="00943CC9"/>
    <w:rsid w:val="00943CF0"/>
    <w:rsid w:val="00943DE5"/>
    <w:rsid w:val="0094400E"/>
    <w:rsid w:val="00944215"/>
    <w:rsid w:val="0094438A"/>
    <w:rsid w:val="00944447"/>
    <w:rsid w:val="00944535"/>
    <w:rsid w:val="009446F3"/>
    <w:rsid w:val="009448F6"/>
    <w:rsid w:val="00944C3D"/>
    <w:rsid w:val="00944D71"/>
    <w:rsid w:val="00944DA3"/>
    <w:rsid w:val="00944EA1"/>
    <w:rsid w:val="009450AB"/>
    <w:rsid w:val="009451DC"/>
    <w:rsid w:val="00945301"/>
    <w:rsid w:val="0094546C"/>
    <w:rsid w:val="009454FC"/>
    <w:rsid w:val="0094554E"/>
    <w:rsid w:val="009455AB"/>
    <w:rsid w:val="009457B6"/>
    <w:rsid w:val="00945AE8"/>
    <w:rsid w:val="00945CB4"/>
    <w:rsid w:val="00945CEA"/>
    <w:rsid w:val="00945D80"/>
    <w:rsid w:val="00945E4F"/>
    <w:rsid w:val="009461C4"/>
    <w:rsid w:val="00946415"/>
    <w:rsid w:val="009464B5"/>
    <w:rsid w:val="00946537"/>
    <w:rsid w:val="0094656B"/>
    <w:rsid w:val="009465D1"/>
    <w:rsid w:val="009466FE"/>
    <w:rsid w:val="00946A5B"/>
    <w:rsid w:val="00946A83"/>
    <w:rsid w:val="00946B65"/>
    <w:rsid w:val="00946E82"/>
    <w:rsid w:val="00946F67"/>
    <w:rsid w:val="0094700E"/>
    <w:rsid w:val="00947024"/>
    <w:rsid w:val="0094732B"/>
    <w:rsid w:val="009474B2"/>
    <w:rsid w:val="009474CA"/>
    <w:rsid w:val="0094756F"/>
    <w:rsid w:val="009475AA"/>
    <w:rsid w:val="009478CB"/>
    <w:rsid w:val="00947A82"/>
    <w:rsid w:val="00947AA0"/>
    <w:rsid w:val="00947AB8"/>
    <w:rsid w:val="00947C2F"/>
    <w:rsid w:val="00947F0F"/>
    <w:rsid w:val="00947F69"/>
    <w:rsid w:val="00947F76"/>
    <w:rsid w:val="00947F93"/>
    <w:rsid w:val="00950051"/>
    <w:rsid w:val="00950066"/>
    <w:rsid w:val="00950090"/>
    <w:rsid w:val="00950175"/>
    <w:rsid w:val="00950195"/>
    <w:rsid w:val="009501A8"/>
    <w:rsid w:val="009501EE"/>
    <w:rsid w:val="0095026C"/>
    <w:rsid w:val="00950352"/>
    <w:rsid w:val="00950437"/>
    <w:rsid w:val="0095056B"/>
    <w:rsid w:val="00950C15"/>
    <w:rsid w:val="00950C76"/>
    <w:rsid w:val="00950C9E"/>
    <w:rsid w:val="0095102F"/>
    <w:rsid w:val="0095119F"/>
    <w:rsid w:val="00951320"/>
    <w:rsid w:val="009517B2"/>
    <w:rsid w:val="0095186C"/>
    <w:rsid w:val="009519A7"/>
    <w:rsid w:val="00951BEC"/>
    <w:rsid w:val="00951D02"/>
    <w:rsid w:val="00951DA5"/>
    <w:rsid w:val="00952337"/>
    <w:rsid w:val="0095238C"/>
    <w:rsid w:val="00952480"/>
    <w:rsid w:val="00952684"/>
    <w:rsid w:val="009526CE"/>
    <w:rsid w:val="00952738"/>
    <w:rsid w:val="009528A8"/>
    <w:rsid w:val="009529CC"/>
    <w:rsid w:val="00952BAB"/>
    <w:rsid w:val="00952CCA"/>
    <w:rsid w:val="00952EFA"/>
    <w:rsid w:val="0095338F"/>
    <w:rsid w:val="009533C8"/>
    <w:rsid w:val="009534A2"/>
    <w:rsid w:val="0095379A"/>
    <w:rsid w:val="0095380A"/>
    <w:rsid w:val="00953A27"/>
    <w:rsid w:val="00953D0A"/>
    <w:rsid w:val="00953DA3"/>
    <w:rsid w:val="00954080"/>
    <w:rsid w:val="00954350"/>
    <w:rsid w:val="009543B8"/>
    <w:rsid w:val="0095450E"/>
    <w:rsid w:val="0095464B"/>
    <w:rsid w:val="00954866"/>
    <w:rsid w:val="0095487E"/>
    <w:rsid w:val="009549B3"/>
    <w:rsid w:val="009549DA"/>
    <w:rsid w:val="00954CB8"/>
    <w:rsid w:val="00954FCE"/>
    <w:rsid w:val="00955179"/>
    <w:rsid w:val="0095535A"/>
    <w:rsid w:val="009555A4"/>
    <w:rsid w:val="00955907"/>
    <w:rsid w:val="00955920"/>
    <w:rsid w:val="00955B48"/>
    <w:rsid w:val="00955B7C"/>
    <w:rsid w:val="00955C3C"/>
    <w:rsid w:val="00955C49"/>
    <w:rsid w:val="00955CCA"/>
    <w:rsid w:val="00955D1E"/>
    <w:rsid w:val="00955EC5"/>
    <w:rsid w:val="00955F2C"/>
    <w:rsid w:val="00955FC0"/>
    <w:rsid w:val="00956100"/>
    <w:rsid w:val="00956207"/>
    <w:rsid w:val="009562A6"/>
    <w:rsid w:val="009563B1"/>
    <w:rsid w:val="009563D8"/>
    <w:rsid w:val="00956A17"/>
    <w:rsid w:val="00956CDE"/>
    <w:rsid w:val="00956CF3"/>
    <w:rsid w:val="00956D09"/>
    <w:rsid w:val="00956D1B"/>
    <w:rsid w:val="00956DFF"/>
    <w:rsid w:val="009571D3"/>
    <w:rsid w:val="0095724C"/>
    <w:rsid w:val="009573FF"/>
    <w:rsid w:val="00957605"/>
    <w:rsid w:val="009576A4"/>
    <w:rsid w:val="009576BE"/>
    <w:rsid w:val="009577A3"/>
    <w:rsid w:val="009578BE"/>
    <w:rsid w:val="00957984"/>
    <w:rsid w:val="00957B7C"/>
    <w:rsid w:val="00957C8C"/>
    <w:rsid w:val="00957C96"/>
    <w:rsid w:val="009601BC"/>
    <w:rsid w:val="00960397"/>
    <w:rsid w:val="009604AF"/>
    <w:rsid w:val="0096057D"/>
    <w:rsid w:val="00960B1B"/>
    <w:rsid w:val="00960B8C"/>
    <w:rsid w:val="00960F72"/>
    <w:rsid w:val="009610F2"/>
    <w:rsid w:val="0096122F"/>
    <w:rsid w:val="00961231"/>
    <w:rsid w:val="009612EF"/>
    <w:rsid w:val="0096138B"/>
    <w:rsid w:val="009614A9"/>
    <w:rsid w:val="00961A83"/>
    <w:rsid w:val="00961C60"/>
    <w:rsid w:val="00962184"/>
    <w:rsid w:val="009622C1"/>
    <w:rsid w:val="00962413"/>
    <w:rsid w:val="0096260D"/>
    <w:rsid w:val="00962736"/>
    <w:rsid w:val="009627CC"/>
    <w:rsid w:val="00962848"/>
    <w:rsid w:val="0096290F"/>
    <w:rsid w:val="0096293E"/>
    <w:rsid w:val="0096299E"/>
    <w:rsid w:val="00962A79"/>
    <w:rsid w:val="00962CAE"/>
    <w:rsid w:val="00962D04"/>
    <w:rsid w:val="00962DF0"/>
    <w:rsid w:val="00962E11"/>
    <w:rsid w:val="00963141"/>
    <w:rsid w:val="00963216"/>
    <w:rsid w:val="00963264"/>
    <w:rsid w:val="009636A4"/>
    <w:rsid w:val="00963832"/>
    <w:rsid w:val="0096386F"/>
    <w:rsid w:val="00963C69"/>
    <w:rsid w:val="00963F2F"/>
    <w:rsid w:val="00964080"/>
    <w:rsid w:val="009640E8"/>
    <w:rsid w:val="009645AC"/>
    <w:rsid w:val="009646FE"/>
    <w:rsid w:val="00964918"/>
    <w:rsid w:val="00964A70"/>
    <w:rsid w:val="00964CD3"/>
    <w:rsid w:val="00965002"/>
    <w:rsid w:val="0096502C"/>
    <w:rsid w:val="009655A1"/>
    <w:rsid w:val="009655FE"/>
    <w:rsid w:val="00965793"/>
    <w:rsid w:val="009657CC"/>
    <w:rsid w:val="009659B3"/>
    <w:rsid w:val="00965C0B"/>
    <w:rsid w:val="00965D33"/>
    <w:rsid w:val="00965DF5"/>
    <w:rsid w:val="00965E8B"/>
    <w:rsid w:val="00966082"/>
    <w:rsid w:val="00966269"/>
    <w:rsid w:val="009662C1"/>
    <w:rsid w:val="009662D6"/>
    <w:rsid w:val="00966344"/>
    <w:rsid w:val="009663C4"/>
    <w:rsid w:val="00966412"/>
    <w:rsid w:val="00966419"/>
    <w:rsid w:val="0096650C"/>
    <w:rsid w:val="00966575"/>
    <w:rsid w:val="009668C2"/>
    <w:rsid w:val="0096699C"/>
    <w:rsid w:val="00966A0C"/>
    <w:rsid w:val="00966AB9"/>
    <w:rsid w:val="00966D66"/>
    <w:rsid w:val="00966E0C"/>
    <w:rsid w:val="00966EA3"/>
    <w:rsid w:val="00966F1D"/>
    <w:rsid w:val="009671C5"/>
    <w:rsid w:val="009671EC"/>
    <w:rsid w:val="00967267"/>
    <w:rsid w:val="00967720"/>
    <w:rsid w:val="009677A3"/>
    <w:rsid w:val="009679BE"/>
    <w:rsid w:val="009679D5"/>
    <w:rsid w:val="00967B96"/>
    <w:rsid w:val="00967DF3"/>
    <w:rsid w:val="00967F28"/>
    <w:rsid w:val="00970294"/>
    <w:rsid w:val="0097031C"/>
    <w:rsid w:val="00970342"/>
    <w:rsid w:val="00970364"/>
    <w:rsid w:val="00970394"/>
    <w:rsid w:val="0097040C"/>
    <w:rsid w:val="00970469"/>
    <w:rsid w:val="00970907"/>
    <w:rsid w:val="00970E56"/>
    <w:rsid w:val="0097106B"/>
    <w:rsid w:val="00971159"/>
    <w:rsid w:val="009711E4"/>
    <w:rsid w:val="009713EA"/>
    <w:rsid w:val="009714C1"/>
    <w:rsid w:val="00971667"/>
    <w:rsid w:val="009719EE"/>
    <w:rsid w:val="009719FF"/>
    <w:rsid w:val="00971A82"/>
    <w:rsid w:val="00971ACF"/>
    <w:rsid w:val="00971BE6"/>
    <w:rsid w:val="00971BEE"/>
    <w:rsid w:val="00971C86"/>
    <w:rsid w:val="00971D39"/>
    <w:rsid w:val="00971FB0"/>
    <w:rsid w:val="00972037"/>
    <w:rsid w:val="00972070"/>
    <w:rsid w:val="0097208B"/>
    <w:rsid w:val="009720A7"/>
    <w:rsid w:val="0097210A"/>
    <w:rsid w:val="0097228F"/>
    <w:rsid w:val="009722CC"/>
    <w:rsid w:val="009723D2"/>
    <w:rsid w:val="009724BE"/>
    <w:rsid w:val="0097269C"/>
    <w:rsid w:val="00972873"/>
    <w:rsid w:val="00972A17"/>
    <w:rsid w:val="00972E18"/>
    <w:rsid w:val="00972ED1"/>
    <w:rsid w:val="0097309B"/>
    <w:rsid w:val="009733EE"/>
    <w:rsid w:val="0097372B"/>
    <w:rsid w:val="00973933"/>
    <w:rsid w:val="009739B0"/>
    <w:rsid w:val="00973A60"/>
    <w:rsid w:val="00973A76"/>
    <w:rsid w:val="00973C69"/>
    <w:rsid w:val="00973C84"/>
    <w:rsid w:val="00973C90"/>
    <w:rsid w:val="00973C9A"/>
    <w:rsid w:val="00973D63"/>
    <w:rsid w:val="00973F85"/>
    <w:rsid w:val="00974065"/>
    <w:rsid w:val="00974137"/>
    <w:rsid w:val="00974168"/>
    <w:rsid w:val="00974228"/>
    <w:rsid w:val="009742FB"/>
    <w:rsid w:val="00974592"/>
    <w:rsid w:val="009745D7"/>
    <w:rsid w:val="00974953"/>
    <w:rsid w:val="009749D7"/>
    <w:rsid w:val="00974AA3"/>
    <w:rsid w:val="00974C2D"/>
    <w:rsid w:val="00974D93"/>
    <w:rsid w:val="00974E47"/>
    <w:rsid w:val="0097521C"/>
    <w:rsid w:val="00975296"/>
    <w:rsid w:val="0097532E"/>
    <w:rsid w:val="00975493"/>
    <w:rsid w:val="009754CA"/>
    <w:rsid w:val="009759D8"/>
    <w:rsid w:val="00975B56"/>
    <w:rsid w:val="00975BFC"/>
    <w:rsid w:val="00975E0B"/>
    <w:rsid w:val="00975E7E"/>
    <w:rsid w:val="00976126"/>
    <w:rsid w:val="0097655F"/>
    <w:rsid w:val="00976BC5"/>
    <w:rsid w:val="00976E2F"/>
    <w:rsid w:val="00976EFC"/>
    <w:rsid w:val="00976F93"/>
    <w:rsid w:val="0097714D"/>
    <w:rsid w:val="00977276"/>
    <w:rsid w:val="009772D8"/>
    <w:rsid w:val="009773DB"/>
    <w:rsid w:val="00977768"/>
    <w:rsid w:val="009777B5"/>
    <w:rsid w:val="00977ACB"/>
    <w:rsid w:val="00977B41"/>
    <w:rsid w:val="00977BD3"/>
    <w:rsid w:val="00977F53"/>
    <w:rsid w:val="00977F9F"/>
    <w:rsid w:val="009800F9"/>
    <w:rsid w:val="009801B3"/>
    <w:rsid w:val="009803B1"/>
    <w:rsid w:val="0098053A"/>
    <w:rsid w:val="009806BE"/>
    <w:rsid w:val="009808A4"/>
    <w:rsid w:val="00980946"/>
    <w:rsid w:val="00980A0E"/>
    <w:rsid w:val="00980F4B"/>
    <w:rsid w:val="0098113E"/>
    <w:rsid w:val="00981421"/>
    <w:rsid w:val="0098154C"/>
    <w:rsid w:val="00981648"/>
    <w:rsid w:val="00981A17"/>
    <w:rsid w:val="00981B38"/>
    <w:rsid w:val="00981B9D"/>
    <w:rsid w:val="0098216F"/>
    <w:rsid w:val="00982282"/>
    <w:rsid w:val="00982586"/>
    <w:rsid w:val="009826F1"/>
    <w:rsid w:val="009828DB"/>
    <w:rsid w:val="0098297E"/>
    <w:rsid w:val="00982A1F"/>
    <w:rsid w:val="00982FFE"/>
    <w:rsid w:val="009833B8"/>
    <w:rsid w:val="00983422"/>
    <w:rsid w:val="00983575"/>
    <w:rsid w:val="009835C9"/>
    <w:rsid w:val="00983617"/>
    <w:rsid w:val="00983BCB"/>
    <w:rsid w:val="00983C5A"/>
    <w:rsid w:val="00983F18"/>
    <w:rsid w:val="009840E0"/>
    <w:rsid w:val="00984300"/>
    <w:rsid w:val="00984329"/>
    <w:rsid w:val="00984372"/>
    <w:rsid w:val="0098442C"/>
    <w:rsid w:val="009845CB"/>
    <w:rsid w:val="009846A1"/>
    <w:rsid w:val="009846B1"/>
    <w:rsid w:val="009847FE"/>
    <w:rsid w:val="0098488E"/>
    <w:rsid w:val="009848E9"/>
    <w:rsid w:val="009848F0"/>
    <w:rsid w:val="0098494A"/>
    <w:rsid w:val="009849EF"/>
    <w:rsid w:val="00984A1E"/>
    <w:rsid w:val="00984A7B"/>
    <w:rsid w:val="00984B91"/>
    <w:rsid w:val="00984BF2"/>
    <w:rsid w:val="00984F9A"/>
    <w:rsid w:val="00984FC4"/>
    <w:rsid w:val="00985075"/>
    <w:rsid w:val="00985189"/>
    <w:rsid w:val="00985816"/>
    <w:rsid w:val="0098586F"/>
    <w:rsid w:val="00985A17"/>
    <w:rsid w:val="00986036"/>
    <w:rsid w:val="009861F1"/>
    <w:rsid w:val="009861FB"/>
    <w:rsid w:val="00986285"/>
    <w:rsid w:val="009863E9"/>
    <w:rsid w:val="00986469"/>
    <w:rsid w:val="00986472"/>
    <w:rsid w:val="00986499"/>
    <w:rsid w:val="0098661E"/>
    <w:rsid w:val="00986AB9"/>
    <w:rsid w:val="00986BE3"/>
    <w:rsid w:val="00987430"/>
    <w:rsid w:val="00987438"/>
    <w:rsid w:val="0098756A"/>
    <w:rsid w:val="0098756C"/>
    <w:rsid w:val="009875C5"/>
    <w:rsid w:val="009875FF"/>
    <w:rsid w:val="0098781C"/>
    <w:rsid w:val="0098797C"/>
    <w:rsid w:val="00987A43"/>
    <w:rsid w:val="00987E05"/>
    <w:rsid w:val="00987F4A"/>
    <w:rsid w:val="00990197"/>
    <w:rsid w:val="0099023C"/>
    <w:rsid w:val="0099026D"/>
    <w:rsid w:val="009902AA"/>
    <w:rsid w:val="009902E1"/>
    <w:rsid w:val="009903B0"/>
    <w:rsid w:val="0099049E"/>
    <w:rsid w:val="009906FA"/>
    <w:rsid w:val="00990A4A"/>
    <w:rsid w:val="00990C0C"/>
    <w:rsid w:val="00990D17"/>
    <w:rsid w:val="00990D51"/>
    <w:rsid w:val="00990F3D"/>
    <w:rsid w:val="00990FAD"/>
    <w:rsid w:val="00991041"/>
    <w:rsid w:val="0099111C"/>
    <w:rsid w:val="009911F6"/>
    <w:rsid w:val="009912A3"/>
    <w:rsid w:val="0099137D"/>
    <w:rsid w:val="009914A5"/>
    <w:rsid w:val="00991506"/>
    <w:rsid w:val="00991549"/>
    <w:rsid w:val="0099157A"/>
    <w:rsid w:val="009915AF"/>
    <w:rsid w:val="00991641"/>
    <w:rsid w:val="00991694"/>
    <w:rsid w:val="009917FE"/>
    <w:rsid w:val="00991948"/>
    <w:rsid w:val="00991A8A"/>
    <w:rsid w:val="00991C89"/>
    <w:rsid w:val="00991D00"/>
    <w:rsid w:val="00991FF3"/>
    <w:rsid w:val="00992057"/>
    <w:rsid w:val="009922B8"/>
    <w:rsid w:val="009922CE"/>
    <w:rsid w:val="009922D5"/>
    <w:rsid w:val="0099234B"/>
    <w:rsid w:val="00992392"/>
    <w:rsid w:val="009924EA"/>
    <w:rsid w:val="0099256F"/>
    <w:rsid w:val="009925A3"/>
    <w:rsid w:val="00992661"/>
    <w:rsid w:val="00992696"/>
    <w:rsid w:val="009927FC"/>
    <w:rsid w:val="009928C8"/>
    <w:rsid w:val="00992B70"/>
    <w:rsid w:val="00992C94"/>
    <w:rsid w:val="00992E52"/>
    <w:rsid w:val="009931AE"/>
    <w:rsid w:val="00993721"/>
    <w:rsid w:val="00993951"/>
    <w:rsid w:val="00993A17"/>
    <w:rsid w:val="00993B53"/>
    <w:rsid w:val="00993CB7"/>
    <w:rsid w:val="00993DD0"/>
    <w:rsid w:val="00994027"/>
    <w:rsid w:val="009941A5"/>
    <w:rsid w:val="00994216"/>
    <w:rsid w:val="009945EB"/>
    <w:rsid w:val="0099467A"/>
    <w:rsid w:val="009946C0"/>
    <w:rsid w:val="009947C5"/>
    <w:rsid w:val="009947FF"/>
    <w:rsid w:val="00994820"/>
    <w:rsid w:val="009948E0"/>
    <w:rsid w:val="00994932"/>
    <w:rsid w:val="009949EF"/>
    <w:rsid w:val="00994B0C"/>
    <w:rsid w:val="00994CB7"/>
    <w:rsid w:val="00995221"/>
    <w:rsid w:val="00995227"/>
    <w:rsid w:val="0099527A"/>
    <w:rsid w:val="009958A0"/>
    <w:rsid w:val="009958E0"/>
    <w:rsid w:val="009959DF"/>
    <w:rsid w:val="009959F4"/>
    <w:rsid w:val="0099605D"/>
    <w:rsid w:val="009960B0"/>
    <w:rsid w:val="009960BB"/>
    <w:rsid w:val="00996110"/>
    <w:rsid w:val="00996287"/>
    <w:rsid w:val="0099631D"/>
    <w:rsid w:val="0099647B"/>
    <w:rsid w:val="009965B1"/>
    <w:rsid w:val="009966D1"/>
    <w:rsid w:val="009969DE"/>
    <w:rsid w:val="00996C5A"/>
    <w:rsid w:val="00996D2B"/>
    <w:rsid w:val="00996DD6"/>
    <w:rsid w:val="00997025"/>
    <w:rsid w:val="00997107"/>
    <w:rsid w:val="009971EC"/>
    <w:rsid w:val="00997209"/>
    <w:rsid w:val="00997237"/>
    <w:rsid w:val="00997594"/>
    <w:rsid w:val="00997F37"/>
    <w:rsid w:val="009A017B"/>
    <w:rsid w:val="009A0188"/>
    <w:rsid w:val="009A0671"/>
    <w:rsid w:val="009A067F"/>
    <w:rsid w:val="009A0682"/>
    <w:rsid w:val="009A0693"/>
    <w:rsid w:val="009A0737"/>
    <w:rsid w:val="009A0833"/>
    <w:rsid w:val="009A093C"/>
    <w:rsid w:val="009A0D8A"/>
    <w:rsid w:val="009A0DE1"/>
    <w:rsid w:val="009A0E65"/>
    <w:rsid w:val="009A0F92"/>
    <w:rsid w:val="009A1034"/>
    <w:rsid w:val="009A1097"/>
    <w:rsid w:val="009A10C4"/>
    <w:rsid w:val="009A12C0"/>
    <w:rsid w:val="009A13E8"/>
    <w:rsid w:val="009A1493"/>
    <w:rsid w:val="009A14D7"/>
    <w:rsid w:val="009A1818"/>
    <w:rsid w:val="009A197F"/>
    <w:rsid w:val="009A1A9B"/>
    <w:rsid w:val="009A1B51"/>
    <w:rsid w:val="009A1BDC"/>
    <w:rsid w:val="009A1F86"/>
    <w:rsid w:val="009A20DB"/>
    <w:rsid w:val="009A21D4"/>
    <w:rsid w:val="009A2327"/>
    <w:rsid w:val="009A2370"/>
    <w:rsid w:val="009A23B1"/>
    <w:rsid w:val="009A290B"/>
    <w:rsid w:val="009A2A42"/>
    <w:rsid w:val="009A2CB8"/>
    <w:rsid w:val="009A2D3F"/>
    <w:rsid w:val="009A2D71"/>
    <w:rsid w:val="009A2E1B"/>
    <w:rsid w:val="009A2E2B"/>
    <w:rsid w:val="009A2F2F"/>
    <w:rsid w:val="009A2F56"/>
    <w:rsid w:val="009A30C7"/>
    <w:rsid w:val="009A310A"/>
    <w:rsid w:val="009A3198"/>
    <w:rsid w:val="009A3469"/>
    <w:rsid w:val="009A36EB"/>
    <w:rsid w:val="009A38F1"/>
    <w:rsid w:val="009A39B1"/>
    <w:rsid w:val="009A3B1C"/>
    <w:rsid w:val="009A3B67"/>
    <w:rsid w:val="009A3CA4"/>
    <w:rsid w:val="009A3CC3"/>
    <w:rsid w:val="009A41AA"/>
    <w:rsid w:val="009A41EB"/>
    <w:rsid w:val="009A436D"/>
    <w:rsid w:val="009A48FA"/>
    <w:rsid w:val="009A497C"/>
    <w:rsid w:val="009A49D6"/>
    <w:rsid w:val="009A4B2D"/>
    <w:rsid w:val="009A4C8A"/>
    <w:rsid w:val="009A5243"/>
    <w:rsid w:val="009A5265"/>
    <w:rsid w:val="009A5307"/>
    <w:rsid w:val="009A54D0"/>
    <w:rsid w:val="009A5595"/>
    <w:rsid w:val="009A5675"/>
    <w:rsid w:val="009A5FD9"/>
    <w:rsid w:val="009A5FF9"/>
    <w:rsid w:val="009A60EE"/>
    <w:rsid w:val="009A6218"/>
    <w:rsid w:val="009A65B8"/>
    <w:rsid w:val="009A6AA9"/>
    <w:rsid w:val="009A6B1A"/>
    <w:rsid w:val="009A6B5C"/>
    <w:rsid w:val="009A6D3F"/>
    <w:rsid w:val="009A6D63"/>
    <w:rsid w:val="009A70AA"/>
    <w:rsid w:val="009A716C"/>
    <w:rsid w:val="009A72B8"/>
    <w:rsid w:val="009A7301"/>
    <w:rsid w:val="009A7484"/>
    <w:rsid w:val="009A749F"/>
    <w:rsid w:val="009A7502"/>
    <w:rsid w:val="009A7705"/>
    <w:rsid w:val="009A7756"/>
    <w:rsid w:val="009A795C"/>
    <w:rsid w:val="009A7977"/>
    <w:rsid w:val="009A7B83"/>
    <w:rsid w:val="009A7B98"/>
    <w:rsid w:val="009A7E48"/>
    <w:rsid w:val="009B00D0"/>
    <w:rsid w:val="009B070D"/>
    <w:rsid w:val="009B080B"/>
    <w:rsid w:val="009B092A"/>
    <w:rsid w:val="009B0C23"/>
    <w:rsid w:val="009B1005"/>
    <w:rsid w:val="009B1378"/>
    <w:rsid w:val="009B1538"/>
    <w:rsid w:val="009B1600"/>
    <w:rsid w:val="009B16F8"/>
    <w:rsid w:val="009B16FA"/>
    <w:rsid w:val="009B1792"/>
    <w:rsid w:val="009B17B9"/>
    <w:rsid w:val="009B1C29"/>
    <w:rsid w:val="009B1CA2"/>
    <w:rsid w:val="009B2048"/>
    <w:rsid w:val="009B217C"/>
    <w:rsid w:val="009B2267"/>
    <w:rsid w:val="009B23E0"/>
    <w:rsid w:val="009B27B9"/>
    <w:rsid w:val="009B294A"/>
    <w:rsid w:val="009B296C"/>
    <w:rsid w:val="009B29C2"/>
    <w:rsid w:val="009B29DB"/>
    <w:rsid w:val="009B2BA2"/>
    <w:rsid w:val="009B2C2C"/>
    <w:rsid w:val="009B2E5B"/>
    <w:rsid w:val="009B2E86"/>
    <w:rsid w:val="009B2F20"/>
    <w:rsid w:val="009B3157"/>
    <w:rsid w:val="009B3418"/>
    <w:rsid w:val="009B3776"/>
    <w:rsid w:val="009B37D9"/>
    <w:rsid w:val="009B3AAC"/>
    <w:rsid w:val="009B3B78"/>
    <w:rsid w:val="009B3B83"/>
    <w:rsid w:val="009B3DDD"/>
    <w:rsid w:val="009B41F8"/>
    <w:rsid w:val="009B42BD"/>
    <w:rsid w:val="009B48BE"/>
    <w:rsid w:val="009B48D8"/>
    <w:rsid w:val="009B52EB"/>
    <w:rsid w:val="009B542F"/>
    <w:rsid w:val="009B5454"/>
    <w:rsid w:val="009B55B1"/>
    <w:rsid w:val="009B56D2"/>
    <w:rsid w:val="009B5792"/>
    <w:rsid w:val="009B5838"/>
    <w:rsid w:val="009B5880"/>
    <w:rsid w:val="009B5CC8"/>
    <w:rsid w:val="009B5D63"/>
    <w:rsid w:val="009B5E42"/>
    <w:rsid w:val="009B5E9A"/>
    <w:rsid w:val="009B5F42"/>
    <w:rsid w:val="009B5F5F"/>
    <w:rsid w:val="009B6055"/>
    <w:rsid w:val="009B6132"/>
    <w:rsid w:val="009B646A"/>
    <w:rsid w:val="009B6576"/>
    <w:rsid w:val="009B6640"/>
    <w:rsid w:val="009B66F6"/>
    <w:rsid w:val="009B694E"/>
    <w:rsid w:val="009B695E"/>
    <w:rsid w:val="009B6A86"/>
    <w:rsid w:val="009B6B63"/>
    <w:rsid w:val="009B76BE"/>
    <w:rsid w:val="009B77B4"/>
    <w:rsid w:val="009B78C3"/>
    <w:rsid w:val="009B79C7"/>
    <w:rsid w:val="009B7AA6"/>
    <w:rsid w:val="009B7C0D"/>
    <w:rsid w:val="009B7C87"/>
    <w:rsid w:val="009B7E38"/>
    <w:rsid w:val="009B7E8E"/>
    <w:rsid w:val="009B7ECE"/>
    <w:rsid w:val="009B7F3C"/>
    <w:rsid w:val="009B7FC4"/>
    <w:rsid w:val="009C018F"/>
    <w:rsid w:val="009C0648"/>
    <w:rsid w:val="009C0658"/>
    <w:rsid w:val="009C081A"/>
    <w:rsid w:val="009C082F"/>
    <w:rsid w:val="009C0BC7"/>
    <w:rsid w:val="009C0CED"/>
    <w:rsid w:val="009C0D80"/>
    <w:rsid w:val="009C0F9C"/>
    <w:rsid w:val="009C1070"/>
    <w:rsid w:val="009C10AB"/>
    <w:rsid w:val="009C11DA"/>
    <w:rsid w:val="009C12F2"/>
    <w:rsid w:val="009C13BF"/>
    <w:rsid w:val="009C166D"/>
    <w:rsid w:val="009C1858"/>
    <w:rsid w:val="009C1A2B"/>
    <w:rsid w:val="009C1AEF"/>
    <w:rsid w:val="009C1BA0"/>
    <w:rsid w:val="009C1E1D"/>
    <w:rsid w:val="009C1E65"/>
    <w:rsid w:val="009C1F29"/>
    <w:rsid w:val="009C20AE"/>
    <w:rsid w:val="009C2287"/>
    <w:rsid w:val="009C233B"/>
    <w:rsid w:val="009C251D"/>
    <w:rsid w:val="009C261D"/>
    <w:rsid w:val="009C2632"/>
    <w:rsid w:val="009C2881"/>
    <w:rsid w:val="009C2A5E"/>
    <w:rsid w:val="009C2EBE"/>
    <w:rsid w:val="009C328C"/>
    <w:rsid w:val="009C32A3"/>
    <w:rsid w:val="009C3637"/>
    <w:rsid w:val="009C3676"/>
    <w:rsid w:val="009C3740"/>
    <w:rsid w:val="009C37F0"/>
    <w:rsid w:val="009C384B"/>
    <w:rsid w:val="009C3882"/>
    <w:rsid w:val="009C38E3"/>
    <w:rsid w:val="009C39BF"/>
    <w:rsid w:val="009C3E42"/>
    <w:rsid w:val="009C40C5"/>
    <w:rsid w:val="009C42C4"/>
    <w:rsid w:val="009C4411"/>
    <w:rsid w:val="009C4595"/>
    <w:rsid w:val="009C4599"/>
    <w:rsid w:val="009C45CF"/>
    <w:rsid w:val="009C4702"/>
    <w:rsid w:val="009C4A4D"/>
    <w:rsid w:val="009C4AA0"/>
    <w:rsid w:val="009C4D10"/>
    <w:rsid w:val="009C4E9C"/>
    <w:rsid w:val="009C4F14"/>
    <w:rsid w:val="009C4FAC"/>
    <w:rsid w:val="009C5033"/>
    <w:rsid w:val="009C5157"/>
    <w:rsid w:val="009C5503"/>
    <w:rsid w:val="009C5549"/>
    <w:rsid w:val="009C55B0"/>
    <w:rsid w:val="009C5855"/>
    <w:rsid w:val="009C5A9D"/>
    <w:rsid w:val="009C5AE2"/>
    <w:rsid w:val="009C5BC1"/>
    <w:rsid w:val="009C5D46"/>
    <w:rsid w:val="009C5F9D"/>
    <w:rsid w:val="009C632D"/>
    <w:rsid w:val="009C6334"/>
    <w:rsid w:val="009C6517"/>
    <w:rsid w:val="009C65D7"/>
    <w:rsid w:val="009C667A"/>
    <w:rsid w:val="009C6829"/>
    <w:rsid w:val="009C694A"/>
    <w:rsid w:val="009C6AE2"/>
    <w:rsid w:val="009C6BFD"/>
    <w:rsid w:val="009C6C7A"/>
    <w:rsid w:val="009C6CC1"/>
    <w:rsid w:val="009C6CC9"/>
    <w:rsid w:val="009C6E2C"/>
    <w:rsid w:val="009C6EA5"/>
    <w:rsid w:val="009C6FEC"/>
    <w:rsid w:val="009C7064"/>
    <w:rsid w:val="009C70A7"/>
    <w:rsid w:val="009C727C"/>
    <w:rsid w:val="009C72CA"/>
    <w:rsid w:val="009C73F1"/>
    <w:rsid w:val="009C74A0"/>
    <w:rsid w:val="009C7717"/>
    <w:rsid w:val="009C79AD"/>
    <w:rsid w:val="009C7B6D"/>
    <w:rsid w:val="009C7BC7"/>
    <w:rsid w:val="009C7C7B"/>
    <w:rsid w:val="009C7DC3"/>
    <w:rsid w:val="009C7E0C"/>
    <w:rsid w:val="009C7E48"/>
    <w:rsid w:val="009C7F18"/>
    <w:rsid w:val="009D0521"/>
    <w:rsid w:val="009D0666"/>
    <w:rsid w:val="009D08C6"/>
    <w:rsid w:val="009D0908"/>
    <w:rsid w:val="009D0A2F"/>
    <w:rsid w:val="009D0A50"/>
    <w:rsid w:val="009D0A88"/>
    <w:rsid w:val="009D0C17"/>
    <w:rsid w:val="009D0C63"/>
    <w:rsid w:val="009D0C6A"/>
    <w:rsid w:val="009D0DF7"/>
    <w:rsid w:val="009D0E0B"/>
    <w:rsid w:val="009D1165"/>
    <w:rsid w:val="009D1563"/>
    <w:rsid w:val="009D166D"/>
    <w:rsid w:val="009D168F"/>
    <w:rsid w:val="009D175B"/>
    <w:rsid w:val="009D1853"/>
    <w:rsid w:val="009D18C8"/>
    <w:rsid w:val="009D196D"/>
    <w:rsid w:val="009D1A33"/>
    <w:rsid w:val="009D1A83"/>
    <w:rsid w:val="009D1D74"/>
    <w:rsid w:val="009D1FA4"/>
    <w:rsid w:val="009D1FFA"/>
    <w:rsid w:val="009D2242"/>
    <w:rsid w:val="009D2348"/>
    <w:rsid w:val="009D27CD"/>
    <w:rsid w:val="009D2C3B"/>
    <w:rsid w:val="009D2D42"/>
    <w:rsid w:val="009D2F9D"/>
    <w:rsid w:val="009D31F7"/>
    <w:rsid w:val="009D3333"/>
    <w:rsid w:val="009D3497"/>
    <w:rsid w:val="009D38E7"/>
    <w:rsid w:val="009D39E8"/>
    <w:rsid w:val="009D3BA5"/>
    <w:rsid w:val="009D3BD0"/>
    <w:rsid w:val="009D3E3E"/>
    <w:rsid w:val="009D42A9"/>
    <w:rsid w:val="009D45D8"/>
    <w:rsid w:val="009D47A5"/>
    <w:rsid w:val="009D4A67"/>
    <w:rsid w:val="009D4B0E"/>
    <w:rsid w:val="009D4CD7"/>
    <w:rsid w:val="009D52CD"/>
    <w:rsid w:val="009D5334"/>
    <w:rsid w:val="009D559F"/>
    <w:rsid w:val="009D596E"/>
    <w:rsid w:val="009D59AE"/>
    <w:rsid w:val="009D5B01"/>
    <w:rsid w:val="009D5BE7"/>
    <w:rsid w:val="009D5CA7"/>
    <w:rsid w:val="009D5D00"/>
    <w:rsid w:val="009D6119"/>
    <w:rsid w:val="009D6153"/>
    <w:rsid w:val="009D6277"/>
    <w:rsid w:val="009D62B8"/>
    <w:rsid w:val="009D63AF"/>
    <w:rsid w:val="009D657E"/>
    <w:rsid w:val="009D659F"/>
    <w:rsid w:val="009D66C3"/>
    <w:rsid w:val="009D672E"/>
    <w:rsid w:val="009D6736"/>
    <w:rsid w:val="009D6758"/>
    <w:rsid w:val="009D680B"/>
    <w:rsid w:val="009D6A17"/>
    <w:rsid w:val="009D6C1B"/>
    <w:rsid w:val="009D6CE3"/>
    <w:rsid w:val="009D6DBD"/>
    <w:rsid w:val="009D70E6"/>
    <w:rsid w:val="009D716C"/>
    <w:rsid w:val="009D71DF"/>
    <w:rsid w:val="009D724B"/>
    <w:rsid w:val="009D73FD"/>
    <w:rsid w:val="009D7562"/>
    <w:rsid w:val="009D7694"/>
    <w:rsid w:val="009D79F6"/>
    <w:rsid w:val="009D7B06"/>
    <w:rsid w:val="009D7B4E"/>
    <w:rsid w:val="009D7D50"/>
    <w:rsid w:val="009E0085"/>
    <w:rsid w:val="009E01CE"/>
    <w:rsid w:val="009E022E"/>
    <w:rsid w:val="009E0238"/>
    <w:rsid w:val="009E062A"/>
    <w:rsid w:val="009E068B"/>
    <w:rsid w:val="009E069E"/>
    <w:rsid w:val="009E0742"/>
    <w:rsid w:val="009E095E"/>
    <w:rsid w:val="009E0CBB"/>
    <w:rsid w:val="009E0F3D"/>
    <w:rsid w:val="009E0FBC"/>
    <w:rsid w:val="009E0FE7"/>
    <w:rsid w:val="009E104C"/>
    <w:rsid w:val="009E115F"/>
    <w:rsid w:val="009E11F5"/>
    <w:rsid w:val="009E1396"/>
    <w:rsid w:val="009E1405"/>
    <w:rsid w:val="009E1482"/>
    <w:rsid w:val="009E16B4"/>
    <w:rsid w:val="009E1AEE"/>
    <w:rsid w:val="009E1F14"/>
    <w:rsid w:val="009E1F1E"/>
    <w:rsid w:val="009E2342"/>
    <w:rsid w:val="009E2480"/>
    <w:rsid w:val="009E2591"/>
    <w:rsid w:val="009E2689"/>
    <w:rsid w:val="009E270A"/>
    <w:rsid w:val="009E2747"/>
    <w:rsid w:val="009E2AA7"/>
    <w:rsid w:val="009E2B1F"/>
    <w:rsid w:val="009E2C2E"/>
    <w:rsid w:val="009E2ED5"/>
    <w:rsid w:val="009E2FCA"/>
    <w:rsid w:val="009E2FFB"/>
    <w:rsid w:val="009E3165"/>
    <w:rsid w:val="009E320E"/>
    <w:rsid w:val="009E374B"/>
    <w:rsid w:val="009E3840"/>
    <w:rsid w:val="009E3920"/>
    <w:rsid w:val="009E3AB4"/>
    <w:rsid w:val="009E3D3E"/>
    <w:rsid w:val="009E411A"/>
    <w:rsid w:val="009E4190"/>
    <w:rsid w:val="009E41BA"/>
    <w:rsid w:val="009E41D4"/>
    <w:rsid w:val="009E41F2"/>
    <w:rsid w:val="009E42FB"/>
    <w:rsid w:val="009E43DD"/>
    <w:rsid w:val="009E452C"/>
    <w:rsid w:val="009E4598"/>
    <w:rsid w:val="009E466A"/>
    <w:rsid w:val="009E4732"/>
    <w:rsid w:val="009E4A9B"/>
    <w:rsid w:val="009E4B57"/>
    <w:rsid w:val="009E4F31"/>
    <w:rsid w:val="009E4FF2"/>
    <w:rsid w:val="009E5077"/>
    <w:rsid w:val="009E508F"/>
    <w:rsid w:val="009E509E"/>
    <w:rsid w:val="009E5415"/>
    <w:rsid w:val="009E5459"/>
    <w:rsid w:val="009E545B"/>
    <w:rsid w:val="009E5517"/>
    <w:rsid w:val="009E5873"/>
    <w:rsid w:val="009E5915"/>
    <w:rsid w:val="009E59D0"/>
    <w:rsid w:val="009E5D52"/>
    <w:rsid w:val="009E5DFC"/>
    <w:rsid w:val="009E5F5D"/>
    <w:rsid w:val="009E6140"/>
    <w:rsid w:val="009E62B9"/>
    <w:rsid w:val="009E62CA"/>
    <w:rsid w:val="009E62D3"/>
    <w:rsid w:val="009E6339"/>
    <w:rsid w:val="009E6398"/>
    <w:rsid w:val="009E63F7"/>
    <w:rsid w:val="009E657C"/>
    <w:rsid w:val="009E683F"/>
    <w:rsid w:val="009E69A6"/>
    <w:rsid w:val="009E6A48"/>
    <w:rsid w:val="009E6A6D"/>
    <w:rsid w:val="009E6BEE"/>
    <w:rsid w:val="009E6EAA"/>
    <w:rsid w:val="009E714A"/>
    <w:rsid w:val="009E7230"/>
    <w:rsid w:val="009E7365"/>
    <w:rsid w:val="009E73A8"/>
    <w:rsid w:val="009E743D"/>
    <w:rsid w:val="009E746B"/>
    <w:rsid w:val="009E758D"/>
    <w:rsid w:val="009E7844"/>
    <w:rsid w:val="009E79A4"/>
    <w:rsid w:val="009E7A58"/>
    <w:rsid w:val="009E7C55"/>
    <w:rsid w:val="009E7C63"/>
    <w:rsid w:val="009F0018"/>
    <w:rsid w:val="009F0048"/>
    <w:rsid w:val="009F010B"/>
    <w:rsid w:val="009F0159"/>
    <w:rsid w:val="009F02BE"/>
    <w:rsid w:val="009F02EA"/>
    <w:rsid w:val="009F0330"/>
    <w:rsid w:val="009F0492"/>
    <w:rsid w:val="009F0875"/>
    <w:rsid w:val="009F0C66"/>
    <w:rsid w:val="009F124C"/>
    <w:rsid w:val="009F133B"/>
    <w:rsid w:val="009F199B"/>
    <w:rsid w:val="009F199E"/>
    <w:rsid w:val="009F1AA1"/>
    <w:rsid w:val="009F1C23"/>
    <w:rsid w:val="009F1E49"/>
    <w:rsid w:val="009F1E8E"/>
    <w:rsid w:val="009F20DF"/>
    <w:rsid w:val="009F21A0"/>
    <w:rsid w:val="009F239D"/>
    <w:rsid w:val="009F28A2"/>
    <w:rsid w:val="009F29D4"/>
    <w:rsid w:val="009F2D4B"/>
    <w:rsid w:val="009F2DD8"/>
    <w:rsid w:val="009F2E7D"/>
    <w:rsid w:val="009F2EF0"/>
    <w:rsid w:val="009F31E9"/>
    <w:rsid w:val="009F3241"/>
    <w:rsid w:val="009F34D8"/>
    <w:rsid w:val="009F34EC"/>
    <w:rsid w:val="009F3CF6"/>
    <w:rsid w:val="009F3EC6"/>
    <w:rsid w:val="009F3F8F"/>
    <w:rsid w:val="009F4370"/>
    <w:rsid w:val="009F43C1"/>
    <w:rsid w:val="009F4439"/>
    <w:rsid w:val="009F4708"/>
    <w:rsid w:val="009F47E2"/>
    <w:rsid w:val="009F495D"/>
    <w:rsid w:val="009F495E"/>
    <w:rsid w:val="009F4976"/>
    <w:rsid w:val="009F4B3F"/>
    <w:rsid w:val="009F4BAF"/>
    <w:rsid w:val="009F508A"/>
    <w:rsid w:val="009F545C"/>
    <w:rsid w:val="009F5501"/>
    <w:rsid w:val="009F57B4"/>
    <w:rsid w:val="009F5850"/>
    <w:rsid w:val="009F592B"/>
    <w:rsid w:val="009F5C53"/>
    <w:rsid w:val="009F5DE6"/>
    <w:rsid w:val="009F68C8"/>
    <w:rsid w:val="009F6933"/>
    <w:rsid w:val="009F6A71"/>
    <w:rsid w:val="009F6B1D"/>
    <w:rsid w:val="009F6B79"/>
    <w:rsid w:val="009F6B96"/>
    <w:rsid w:val="009F6C32"/>
    <w:rsid w:val="009F6C3B"/>
    <w:rsid w:val="009F6DA2"/>
    <w:rsid w:val="009F6E01"/>
    <w:rsid w:val="009F7053"/>
    <w:rsid w:val="009F70C0"/>
    <w:rsid w:val="009F7122"/>
    <w:rsid w:val="009F718F"/>
    <w:rsid w:val="009F7754"/>
    <w:rsid w:val="009F796F"/>
    <w:rsid w:val="009F7A45"/>
    <w:rsid w:val="009F7BC7"/>
    <w:rsid w:val="009F7CA1"/>
    <w:rsid w:val="009F7CDB"/>
    <w:rsid w:val="009F7DCF"/>
    <w:rsid w:val="009F7E87"/>
    <w:rsid w:val="00A00054"/>
    <w:rsid w:val="00A00483"/>
    <w:rsid w:val="00A005BB"/>
    <w:rsid w:val="00A00685"/>
    <w:rsid w:val="00A009BB"/>
    <w:rsid w:val="00A00C3D"/>
    <w:rsid w:val="00A00E48"/>
    <w:rsid w:val="00A012BB"/>
    <w:rsid w:val="00A01317"/>
    <w:rsid w:val="00A01A88"/>
    <w:rsid w:val="00A01CF6"/>
    <w:rsid w:val="00A01DAA"/>
    <w:rsid w:val="00A0206F"/>
    <w:rsid w:val="00A02154"/>
    <w:rsid w:val="00A024C0"/>
    <w:rsid w:val="00A02988"/>
    <w:rsid w:val="00A02A10"/>
    <w:rsid w:val="00A02B8E"/>
    <w:rsid w:val="00A02C7A"/>
    <w:rsid w:val="00A02CB9"/>
    <w:rsid w:val="00A02E20"/>
    <w:rsid w:val="00A0306D"/>
    <w:rsid w:val="00A030B0"/>
    <w:rsid w:val="00A033B2"/>
    <w:rsid w:val="00A035F2"/>
    <w:rsid w:val="00A0394C"/>
    <w:rsid w:val="00A03AC1"/>
    <w:rsid w:val="00A03CE5"/>
    <w:rsid w:val="00A03EC1"/>
    <w:rsid w:val="00A03FCE"/>
    <w:rsid w:val="00A04004"/>
    <w:rsid w:val="00A042D6"/>
    <w:rsid w:val="00A042D7"/>
    <w:rsid w:val="00A046D7"/>
    <w:rsid w:val="00A04862"/>
    <w:rsid w:val="00A04BDA"/>
    <w:rsid w:val="00A04D5B"/>
    <w:rsid w:val="00A04EDF"/>
    <w:rsid w:val="00A052C3"/>
    <w:rsid w:val="00A05350"/>
    <w:rsid w:val="00A05485"/>
    <w:rsid w:val="00A05548"/>
    <w:rsid w:val="00A055B4"/>
    <w:rsid w:val="00A05693"/>
    <w:rsid w:val="00A056C5"/>
    <w:rsid w:val="00A05874"/>
    <w:rsid w:val="00A059B8"/>
    <w:rsid w:val="00A059E8"/>
    <w:rsid w:val="00A05ACD"/>
    <w:rsid w:val="00A05AFF"/>
    <w:rsid w:val="00A05B77"/>
    <w:rsid w:val="00A05C88"/>
    <w:rsid w:val="00A06660"/>
    <w:rsid w:val="00A06697"/>
    <w:rsid w:val="00A06761"/>
    <w:rsid w:val="00A067EA"/>
    <w:rsid w:val="00A0689F"/>
    <w:rsid w:val="00A06EB1"/>
    <w:rsid w:val="00A0706E"/>
    <w:rsid w:val="00A073E1"/>
    <w:rsid w:val="00A07973"/>
    <w:rsid w:val="00A07A33"/>
    <w:rsid w:val="00A07D61"/>
    <w:rsid w:val="00A10128"/>
    <w:rsid w:val="00A10787"/>
    <w:rsid w:val="00A107AE"/>
    <w:rsid w:val="00A10B12"/>
    <w:rsid w:val="00A10B3A"/>
    <w:rsid w:val="00A10BB1"/>
    <w:rsid w:val="00A10BF3"/>
    <w:rsid w:val="00A10E03"/>
    <w:rsid w:val="00A10F39"/>
    <w:rsid w:val="00A11169"/>
    <w:rsid w:val="00A11925"/>
    <w:rsid w:val="00A11AE9"/>
    <w:rsid w:val="00A11B84"/>
    <w:rsid w:val="00A11F2E"/>
    <w:rsid w:val="00A1216E"/>
    <w:rsid w:val="00A122F0"/>
    <w:rsid w:val="00A12A6B"/>
    <w:rsid w:val="00A12B65"/>
    <w:rsid w:val="00A12EA3"/>
    <w:rsid w:val="00A133A8"/>
    <w:rsid w:val="00A135F7"/>
    <w:rsid w:val="00A13611"/>
    <w:rsid w:val="00A136A9"/>
    <w:rsid w:val="00A137DA"/>
    <w:rsid w:val="00A13832"/>
    <w:rsid w:val="00A13910"/>
    <w:rsid w:val="00A13A75"/>
    <w:rsid w:val="00A13B69"/>
    <w:rsid w:val="00A140D2"/>
    <w:rsid w:val="00A1447A"/>
    <w:rsid w:val="00A144DB"/>
    <w:rsid w:val="00A14627"/>
    <w:rsid w:val="00A14654"/>
    <w:rsid w:val="00A149E7"/>
    <w:rsid w:val="00A14B44"/>
    <w:rsid w:val="00A14C01"/>
    <w:rsid w:val="00A14CEE"/>
    <w:rsid w:val="00A14E1B"/>
    <w:rsid w:val="00A14EC5"/>
    <w:rsid w:val="00A1506D"/>
    <w:rsid w:val="00A1524C"/>
    <w:rsid w:val="00A1537F"/>
    <w:rsid w:val="00A153B0"/>
    <w:rsid w:val="00A154D4"/>
    <w:rsid w:val="00A154DB"/>
    <w:rsid w:val="00A155F1"/>
    <w:rsid w:val="00A15611"/>
    <w:rsid w:val="00A15756"/>
    <w:rsid w:val="00A157B6"/>
    <w:rsid w:val="00A157EF"/>
    <w:rsid w:val="00A15884"/>
    <w:rsid w:val="00A1598C"/>
    <w:rsid w:val="00A15B5D"/>
    <w:rsid w:val="00A15CCD"/>
    <w:rsid w:val="00A15DE9"/>
    <w:rsid w:val="00A161BC"/>
    <w:rsid w:val="00A16371"/>
    <w:rsid w:val="00A1640B"/>
    <w:rsid w:val="00A1675C"/>
    <w:rsid w:val="00A16A95"/>
    <w:rsid w:val="00A16C37"/>
    <w:rsid w:val="00A16DC1"/>
    <w:rsid w:val="00A16E7A"/>
    <w:rsid w:val="00A16EB8"/>
    <w:rsid w:val="00A16F84"/>
    <w:rsid w:val="00A1702F"/>
    <w:rsid w:val="00A17055"/>
    <w:rsid w:val="00A17060"/>
    <w:rsid w:val="00A1714C"/>
    <w:rsid w:val="00A172CA"/>
    <w:rsid w:val="00A1747E"/>
    <w:rsid w:val="00A17735"/>
    <w:rsid w:val="00A17853"/>
    <w:rsid w:val="00A1787E"/>
    <w:rsid w:val="00A17BE8"/>
    <w:rsid w:val="00A17D63"/>
    <w:rsid w:val="00A17E96"/>
    <w:rsid w:val="00A17FD3"/>
    <w:rsid w:val="00A17FE1"/>
    <w:rsid w:val="00A202D2"/>
    <w:rsid w:val="00A2036F"/>
    <w:rsid w:val="00A2038A"/>
    <w:rsid w:val="00A20728"/>
    <w:rsid w:val="00A20732"/>
    <w:rsid w:val="00A2082A"/>
    <w:rsid w:val="00A208D7"/>
    <w:rsid w:val="00A209C7"/>
    <w:rsid w:val="00A20A2E"/>
    <w:rsid w:val="00A20AE2"/>
    <w:rsid w:val="00A20B29"/>
    <w:rsid w:val="00A20B4A"/>
    <w:rsid w:val="00A20EE9"/>
    <w:rsid w:val="00A20F62"/>
    <w:rsid w:val="00A21077"/>
    <w:rsid w:val="00A2120B"/>
    <w:rsid w:val="00A21334"/>
    <w:rsid w:val="00A216C5"/>
    <w:rsid w:val="00A21715"/>
    <w:rsid w:val="00A2179B"/>
    <w:rsid w:val="00A21820"/>
    <w:rsid w:val="00A21A8A"/>
    <w:rsid w:val="00A21C09"/>
    <w:rsid w:val="00A21E50"/>
    <w:rsid w:val="00A21ED4"/>
    <w:rsid w:val="00A21F3F"/>
    <w:rsid w:val="00A22005"/>
    <w:rsid w:val="00A221C7"/>
    <w:rsid w:val="00A223FC"/>
    <w:rsid w:val="00A224C0"/>
    <w:rsid w:val="00A228C8"/>
    <w:rsid w:val="00A22D7C"/>
    <w:rsid w:val="00A22FB0"/>
    <w:rsid w:val="00A230AF"/>
    <w:rsid w:val="00A23192"/>
    <w:rsid w:val="00A231CB"/>
    <w:rsid w:val="00A23207"/>
    <w:rsid w:val="00A2329F"/>
    <w:rsid w:val="00A2344B"/>
    <w:rsid w:val="00A23721"/>
    <w:rsid w:val="00A237D1"/>
    <w:rsid w:val="00A23844"/>
    <w:rsid w:val="00A23B42"/>
    <w:rsid w:val="00A23B99"/>
    <w:rsid w:val="00A23DB9"/>
    <w:rsid w:val="00A23F51"/>
    <w:rsid w:val="00A23F8D"/>
    <w:rsid w:val="00A24089"/>
    <w:rsid w:val="00A2413F"/>
    <w:rsid w:val="00A244EF"/>
    <w:rsid w:val="00A24A1C"/>
    <w:rsid w:val="00A24A3A"/>
    <w:rsid w:val="00A24A74"/>
    <w:rsid w:val="00A24A99"/>
    <w:rsid w:val="00A24D71"/>
    <w:rsid w:val="00A24EDC"/>
    <w:rsid w:val="00A24F2D"/>
    <w:rsid w:val="00A251BF"/>
    <w:rsid w:val="00A25263"/>
    <w:rsid w:val="00A252BB"/>
    <w:rsid w:val="00A254C6"/>
    <w:rsid w:val="00A25561"/>
    <w:rsid w:val="00A2568C"/>
    <w:rsid w:val="00A256A1"/>
    <w:rsid w:val="00A2570F"/>
    <w:rsid w:val="00A25741"/>
    <w:rsid w:val="00A25803"/>
    <w:rsid w:val="00A259B8"/>
    <w:rsid w:val="00A25A53"/>
    <w:rsid w:val="00A25AC8"/>
    <w:rsid w:val="00A26112"/>
    <w:rsid w:val="00A26273"/>
    <w:rsid w:val="00A265DF"/>
    <w:rsid w:val="00A26644"/>
    <w:rsid w:val="00A266D0"/>
    <w:rsid w:val="00A26A31"/>
    <w:rsid w:val="00A26A57"/>
    <w:rsid w:val="00A26AB1"/>
    <w:rsid w:val="00A26B1D"/>
    <w:rsid w:val="00A26BF4"/>
    <w:rsid w:val="00A26C3A"/>
    <w:rsid w:val="00A26DA6"/>
    <w:rsid w:val="00A27338"/>
    <w:rsid w:val="00A27347"/>
    <w:rsid w:val="00A273C8"/>
    <w:rsid w:val="00A2756F"/>
    <w:rsid w:val="00A27585"/>
    <w:rsid w:val="00A275A6"/>
    <w:rsid w:val="00A277DF"/>
    <w:rsid w:val="00A27A04"/>
    <w:rsid w:val="00A27C88"/>
    <w:rsid w:val="00A27D9D"/>
    <w:rsid w:val="00A27DA7"/>
    <w:rsid w:val="00A30141"/>
    <w:rsid w:val="00A30393"/>
    <w:rsid w:val="00A3054A"/>
    <w:rsid w:val="00A306A7"/>
    <w:rsid w:val="00A307B1"/>
    <w:rsid w:val="00A309CD"/>
    <w:rsid w:val="00A30A73"/>
    <w:rsid w:val="00A30B21"/>
    <w:rsid w:val="00A30B81"/>
    <w:rsid w:val="00A30BF2"/>
    <w:rsid w:val="00A30C6C"/>
    <w:rsid w:val="00A30CBE"/>
    <w:rsid w:val="00A30DCF"/>
    <w:rsid w:val="00A30E38"/>
    <w:rsid w:val="00A3111A"/>
    <w:rsid w:val="00A31137"/>
    <w:rsid w:val="00A314E7"/>
    <w:rsid w:val="00A3152D"/>
    <w:rsid w:val="00A315BA"/>
    <w:rsid w:val="00A31729"/>
    <w:rsid w:val="00A31764"/>
    <w:rsid w:val="00A317B0"/>
    <w:rsid w:val="00A31B39"/>
    <w:rsid w:val="00A31E69"/>
    <w:rsid w:val="00A31FEC"/>
    <w:rsid w:val="00A322A9"/>
    <w:rsid w:val="00A322DB"/>
    <w:rsid w:val="00A323EE"/>
    <w:rsid w:val="00A3267A"/>
    <w:rsid w:val="00A32792"/>
    <w:rsid w:val="00A32832"/>
    <w:rsid w:val="00A328FB"/>
    <w:rsid w:val="00A32A8E"/>
    <w:rsid w:val="00A32C37"/>
    <w:rsid w:val="00A32D0E"/>
    <w:rsid w:val="00A32D8F"/>
    <w:rsid w:val="00A33103"/>
    <w:rsid w:val="00A3325B"/>
    <w:rsid w:val="00A332E6"/>
    <w:rsid w:val="00A3333D"/>
    <w:rsid w:val="00A33537"/>
    <w:rsid w:val="00A335D3"/>
    <w:rsid w:val="00A33716"/>
    <w:rsid w:val="00A33733"/>
    <w:rsid w:val="00A337A1"/>
    <w:rsid w:val="00A33CBA"/>
    <w:rsid w:val="00A33DB7"/>
    <w:rsid w:val="00A340A2"/>
    <w:rsid w:val="00A343FE"/>
    <w:rsid w:val="00A345C6"/>
    <w:rsid w:val="00A34734"/>
    <w:rsid w:val="00A3480A"/>
    <w:rsid w:val="00A348F9"/>
    <w:rsid w:val="00A34948"/>
    <w:rsid w:val="00A34985"/>
    <w:rsid w:val="00A34A14"/>
    <w:rsid w:val="00A34DC6"/>
    <w:rsid w:val="00A34F27"/>
    <w:rsid w:val="00A3515E"/>
    <w:rsid w:val="00A351B2"/>
    <w:rsid w:val="00A3528B"/>
    <w:rsid w:val="00A352B4"/>
    <w:rsid w:val="00A35306"/>
    <w:rsid w:val="00A35478"/>
    <w:rsid w:val="00A354D2"/>
    <w:rsid w:val="00A356E3"/>
    <w:rsid w:val="00A3592E"/>
    <w:rsid w:val="00A35A09"/>
    <w:rsid w:val="00A35B89"/>
    <w:rsid w:val="00A36219"/>
    <w:rsid w:val="00A36420"/>
    <w:rsid w:val="00A3666B"/>
    <w:rsid w:val="00A36688"/>
    <w:rsid w:val="00A3669B"/>
    <w:rsid w:val="00A36767"/>
    <w:rsid w:val="00A367A9"/>
    <w:rsid w:val="00A3697D"/>
    <w:rsid w:val="00A36BA6"/>
    <w:rsid w:val="00A36C21"/>
    <w:rsid w:val="00A36C56"/>
    <w:rsid w:val="00A36D2E"/>
    <w:rsid w:val="00A36E3C"/>
    <w:rsid w:val="00A36E5B"/>
    <w:rsid w:val="00A36FA9"/>
    <w:rsid w:val="00A3723A"/>
    <w:rsid w:val="00A375B4"/>
    <w:rsid w:val="00A37624"/>
    <w:rsid w:val="00A37726"/>
    <w:rsid w:val="00A377FB"/>
    <w:rsid w:val="00A378F2"/>
    <w:rsid w:val="00A37CEB"/>
    <w:rsid w:val="00A37FE8"/>
    <w:rsid w:val="00A3F4B7"/>
    <w:rsid w:val="00A40068"/>
    <w:rsid w:val="00A401A6"/>
    <w:rsid w:val="00A40389"/>
    <w:rsid w:val="00A405E1"/>
    <w:rsid w:val="00A4067C"/>
    <w:rsid w:val="00A4070E"/>
    <w:rsid w:val="00A407D4"/>
    <w:rsid w:val="00A40ADE"/>
    <w:rsid w:val="00A40B35"/>
    <w:rsid w:val="00A40E92"/>
    <w:rsid w:val="00A4138A"/>
    <w:rsid w:val="00A41480"/>
    <w:rsid w:val="00A41597"/>
    <w:rsid w:val="00A41747"/>
    <w:rsid w:val="00A41B68"/>
    <w:rsid w:val="00A41D89"/>
    <w:rsid w:val="00A41F6B"/>
    <w:rsid w:val="00A420CD"/>
    <w:rsid w:val="00A42171"/>
    <w:rsid w:val="00A42191"/>
    <w:rsid w:val="00A422B6"/>
    <w:rsid w:val="00A4239E"/>
    <w:rsid w:val="00A42446"/>
    <w:rsid w:val="00A42490"/>
    <w:rsid w:val="00A42497"/>
    <w:rsid w:val="00A42583"/>
    <w:rsid w:val="00A4274F"/>
    <w:rsid w:val="00A42A83"/>
    <w:rsid w:val="00A42B5B"/>
    <w:rsid w:val="00A42D7C"/>
    <w:rsid w:val="00A42FF1"/>
    <w:rsid w:val="00A43035"/>
    <w:rsid w:val="00A43041"/>
    <w:rsid w:val="00A43123"/>
    <w:rsid w:val="00A431A6"/>
    <w:rsid w:val="00A437CD"/>
    <w:rsid w:val="00A438A3"/>
    <w:rsid w:val="00A43B1B"/>
    <w:rsid w:val="00A43E32"/>
    <w:rsid w:val="00A43E51"/>
    <w:rsid w:val="00A43FF5"/>
    <w:rsid w:val="00A44051"/>
    <w:rsid w:val="00A441DC"/>
    <w:rsid w:val="00A44261"/>
    <w:rsid w:val="00A442FA"/>
    <w:rsid w:val="00A44370"/>
    <w:rsid w:val="00A4460F"/>
    <w:rsid w:val="00A446D8"/>
    <w:rsid w:val="00A44C9B"/>
    <w:rsid w:val="00A44D3B"/>
    <w:rsid w:val="00A44DFF"/>
    <w:rsid w:val="00A44E4F"/>
    <w:rsid w:val="00A44F8D"/>
    <w:rsid w:val="00A45268"/>
    <w:rsid w:val="00A452FA"/>
    <w:rsid w:val="00A45437"/>
    <w:rsid w:val="00A45493"/>
    <w:rsid w:val="00A454EB"/>
    <w:rsid w:val="00A455BC"/>
    <w:rsid w:val="00A457FD"/>
    <w:rsid w:val="00A45B71"/>
    <w:rsid w:val="00A45C00"/>
    <w:rsid w:val="00A45D54"/>
    <w:rsid w:val="00A45E2E"/>
    <w:rsid w:val="00A45E35"/>
    <w:rsid w:val="00A45ED7"/>
    <w:rsid w:val="00A46161"/>
    <w:rsid w:val="00A4640C"/>
    <w:rsid w:val="00A468AC"/>
    <w:rsid w:val="00A46A2C"/>
    <w:rsid w:val="00A46AF7"/>
    <w:rsid w:val="00A46B6A"/>
    <w:rsid w:val="00A46DD7"/>
    <w:rsid w:val="00A46EC4"/>
    <w:rsid w:val="00A46F3B"/>
    <w:rsid w:val="00A47012"/>
    <w:rsid w:val="00A47077"/>
    <w:rsid w:val="00A471B9"/>
    <w:rsid w:val="00A47238"/>
    <w:rsid w:val="00A4728C"/>
    <w:rsid w:val="00A4733E"/>
    <w:rsid w:val="00A4754F"/>
    <w:rsid w:val="00A478EC"/>
    <w:rsid w:val="00A47988"/>
    <w:rsid w:val="00A47BAF"/>
    <w:rsid w:val="00A47C5E"/>
    <w:rsid w:val="00A47F35"/>
    <w:rsid w:val="00A50010"/>
    <w:rsid w:val="00A5007E"/>
    <w:rsid w:val="00A5043B"/>
    <w:rsid w:val="00A505B1"/>
    <w:rsid w:val="00A50605"/>
    <w:rsid w:val="00A50C83"/>
    <w:rsid w:val="00A50D00"/>
    <w:rsid w:val="00A50D11"/>
    <w:rsid w:val="00A50DC3"/>
    <w:rsid w:val="00A51204"/>
    <w:rsid w:val="00A51303"/>
    <w:rsid w:val="00A51464"/>
    <w:rsid w:val="00A5183A"/>
    <w:rsid w:val="00A51B58"/>
    <w:rsid w:val="00A51CB8"/>
    <w:rsid w:val="00A51E4C"/>
    <w:rsid w:val="00A52063"/>
    <w:rsid w:val="00A521A2"/>
    <w:rsid w:val="00A521D5"/>
    <w:rsid w:val="00A523F8"/>
    <w:rsid w:val="00A52481"/>
    <w:rsid w:val="00A52503"/>
    <w:rsid w:val="00A526D4"/>
    <w:rsid w:val="00A52782"/>
    <w:rsid w:val="00A528B1"/>
    <w:rsid w:val="00A52B7E"/>
    <w:rsid w:val="00A52BBF"/>
    <w:rsid w:val="00A52C1F"/>
    <w:rsid w:val="00A52DC5"/>
    <w:rsid w:val="00A52F03"/>
    <w:rsid w:val="00A5318A"/>
    <w:rsid w:val="00A533A8"/>
    <w:rsid w:val="00A533F2"/>
    <w:rsid w:val="00A53439"/>
    <w:rsid w:val="00A53513"/>
    <w:rsid w:val="00A53541"/>
    <w:rsid w:val="00A535E6"/>
    <w:rsid w:val="00A53607"/>
    <w:rsid w:val="00A5386B"/>
    <w:rsid w:val="00A53970"/>
    <w:rsid w:val="00A539DA"/>
    <w:rsid w:val="00A53B05"/>
    <w:rsid w:val="00A53B7E"/>
    <w:rsid w:val="00A53C11"/>
    <w:rsid w:val="00A53CD0"/>
    <w:rsid w:val="00A53EB8"/>
    <w:rsid w:val="00A53F26"/>
    <w:rsid w:val="00A54182"/>
    <w:rsid w:val="00A543D6"/>
    <w:rsid w:val="00A543F2"/>
    <w:rsid w:val="00A54447"/>
    <w:rsid w:val="00A54528"/>
    <w:rsid w:val="00A545A1"/>
    <w:rsid w:val="00A5471E"/>
    <w:rsid w:val="00A54721"/>
    <w:rsid w:val="00A54758"/>
    <w:rsid w:val="00A5480A"/>
    <w:rsid w:val="00A54875"/>
    <w:rsid w:val="00A54942"/>
    <w:rsid w:val="00A54E03"/>
    <w:rsid w:val="00A551F3"/>
    <w:rsid w:val="00A554B8"/>
    <w:rsid w:val="00A554C0"/>
    <w:rsid w:val="00A5551A"/>
    <w:rsid w:val="00A55571"/>
    <w:rsid w:val="00A558AD"/>
    <w:rsid w:val="00A55A8C"/>
    <w:rsid w:val="00A55BCA"/>
    <w:rsid w:val="00A55C3D"/>
    <w:rsid w:val="00A55D88"/>
    <w:rsid w:val="00A55F28"/>
    <w:rsid w:val="00A55FC9"/>
    <w:rsid w:val="00A560AE"/>
    <w:rsid w:val="00A562CB"/>
    <w:rsid w:val="00A563E6"/>
    <w:rsid w:val="00A56900"/>
    <w:rsid w:val="00A56950"/>
    <w:rsid w:val="00A56A1B"/>
    <w:rsid w:val="00A56A22"/>
    <w:rsid w:val="00A56AAB"/>
    <w:rsid w:val="00A56B26"/>
    <w:rsid w:val="00A56D07"/>
    <w:rsid w:val="00A56D31"/>
    <w:rsid w:val="00A56DE6"/>
    <w:rsid w:val="00A56EC3"/>
    <w:rsid w:val="00A56F53"/>
    <w:rsid w:val="00A5765F"/>
    <w:rsid w:val="00A57846"/>
    <w:rsid w:val="00A578C9"/>
    <w:rsid w:val="00A57B4B"/>
    <w:rsid w:val="00A57B82"/>
    <w:rsid w:val="00A57B86"/>
    <w:rsid w:val="00A57C4A"/>
    <w:rsid w:val="00A57DF2"/>
    <w:rsid w:val="00A57FE3"/>
    <w:rsid w:val="00A602E2"/>
    <w:rsid w:val="00A603DB"/>
    <w:rsid w:val="00A6042F"/>
    <w:rsid w:val="00A6077B"/>
    <w:rsid w:val="00A60918"/>
    <w:rsid w:val="00A60922"/>
    <w:rsid w:val="00A609EA"/>
    <w:rsid w:val="00A60A90"/>
    <w:rsid w:val="00A60E6A"/>
    <w:rsid w:val="00A60F78"/>
    <w:rsid w:val="00A610FB"/>
    <w:rsid w:val="00A61136"/>
    <w:rsid w:val="00A612D0"/>
    <w:rsid w:val="00A613E3"/>
    <w:rsid w:val="00A6144B"/>
    <w:rsid w:val="00A6152B"/>
    <w:rsid w:val="00A61533"/>
    <w:rsid w:val="00A615D6"/>
    <w:rsid w:val="00A61857"/>
    <w:rsid w:val="00A6197C"/>
    <w:rsid w:val="00A61C39"/>
    <w:rsid w:val="00A61DA3"/>
    <w:rsid w:val="00A61DDC"/>
    <w:rsid w:val="00A61FCE"/>
    <w:rsid w:val="00A620BB"/>
    <w:rsid w:val="00A6222E"/>
    <w:rsid w:val="00A622F9"/>
    <w:rsid w:val="00A62500"/>
    <w:rsid w:val="00A6260D"/>
    <w:rsid w:val="00A628D0"/>
    <w:rsid w:val="00A629EE"/>
    <w:rsid w:val="00A62F11"/>
    <w:rsid w:val="00A63083"/>
    <w:rsid w:val="00A630F9"/>
    <w:rsid w:val="00A63110"/>
    <w:rsid w:val="00A631AB"/>
    <w:rsid w:val="00A632FA"/>
    <w:rsid w:val="00A6338A"/>
    <w:rsid w:val="00A63398"/>
    <w:rsid w:val="00A634EE"/>
    <w:rsid w:val="00A6373C"/>
    <w:rsid w:val="00A63C26"/>
    <w:rsid w:val="00A63E13"/>
    <w:rsid w:val="00A63FA2"/>
    <w:rsid w:val="00A6444E"/>
    <w:rsid w:val="00A64476"/>
    <w:rsid w:val="00A64555"/>
    <w:rsid w:val="00A64749"/>
    <w:rsid w:val="00A64E33"/>
    <w:rsid w:val="00A64EF5"/>
    <w:rsid w:val="00A64F88"/>
    <w:rsid w:val="00A6517A"/>
    <w:rsid w:val="00A6519F"/>
    <w:rsid w:val="00A65285"/>
    <w:rsid w:val="00A652FC"/>
    <w:rsid w:val="00A653E9"/>
    <w:rsid w:val="00A654A0"/>
    <w:rsid w:val="00A65793"/>
    <w:rsid w:val="00A65D1E"/>
    <w:rsid w:val="00A65D2A"/>
    <w:rsid w:val="00A65FE8"/>
    <w:rsid w:val="00A661AD"/>
    <w:rsid w:val="00A662F2"/>
    <w:rsid w:val="00A66558"/>
    <w:rsid w:val="00A667B2"/>
    <w:rsid w:val="00A667B7"/>
    <w:rsid w:val="00A66ACE"/>
    <w:rsid w:val="00A66B4E"/>
    <w:rsid w:val="00A67045"/>
    <w:rsid w:val="00A670AE"/>
    <w:rsid w:val="00A67216"/>
    <w:rsid w:val="00A67674"/>
    <w:rsid w:val="00A67709"/>
    <w:rsid w:val="00A67A92"/>
    <w:rsid w:val="00A67BF3"/>
    <w:rsid w:val="00A67C9E"/>
    <w:rsid w:val="00A67DB8"/>
    <w:rsid w:val="00A67E6E"/>
    <w:rsid w:val="00A70611"/>
    <w:rsid w:val="00A70653"/>
    <w:rsid w:val="00A707AF"/>
    <w:rsid w:val="00A7088D"/>
    <w:rsid w:val="00A7096E"/>
    <w:rsid w:val="00A70E0D"/>
    <w:rsid w:val="00A7153D"/>
    <w:rsid w:val="00A715E0"/>
    <w:rsid w:val="00A71621"/>
    <w:rsid w:val="00A7167D"/>
    <w:rsid w:val="00A7173A"/>
    <w:rsid w:val="00A717BB"/>
    <w:rsid w:val="00A71803"/>
    <w:rsid w:val="00A71BEB"/>
    <w:rsid w:val="00A71D3C"/>
    <w:rsid w:val="00A71DBB"/>
    <w:rsid w:val="00A71F11"/>
    <w:rsid w:val="00A71FD6"/>
    <w:rsid w:val="00A71FE2"/>
    <w:rsid w:val="00A720F4"/>
    <w:rsid w:val="00A7218A"/>
    <w:rsid w:val="00A72383"/>
    <w:rsid w:val="00A72521"/>
    <w:rsid w:val="00A7256B"/>
    <w:rsid w:val="00A7266C"/>
    <w:rsid w:val="00A72B80"/>
    <w:rsid w:val="00A72CD3"/>
    <w:rsid w:val="00A72CD5"/>
    <w:rsid w:val="00A72CF2"/>
    <w:rsid w:val="00A730E4"/>
    <w:rsid w:val="00A73302"/>
    <w:rsid w:val="00A73340"/>
    <w:rsid w:val="00A73417"/>
    <w:rsid w:val="00A734AF"/>
    <w:rsid w:val="00A7366E"/>
    <w:rsid w:val="00A7392D"/>
    <w:rsid w:val="00A73933"/>
    <w:rsid w:val="00A73CA0"/>
    <w:rsid w:val="00A73CE2"/>
    <w:rsid w:val="00A73DF9"/>
    <w:rsid w:val="00A73F4D"/>
    <w:rsid w:val="00A740C2"/>
    <w:rsid w:val="00A74272"/>
    <w:rsid w:val="00A742A1"/>
    <w:rsid w:val="00A74506"/>
    <w:rsid w:val="00A74700"/>
    <w:rsid w:val="00A74900"/>
    <w:rsid w:val="00A74972"/>
    <w:rsid w:val="00A74B4C"/>
    <w:rsid w:val="00A74B50"/>
    <w:rsid w:val="00A74BE7"/>
    <w:rsid w:val="00A74D5A"/>
    <w:rsid w:val="00A74E40"/>
    <w:rsid w:val="00A74F3A"/>
    <w:rsid w:val="00A750E9"/>
    <w:rsid w:val="00A75421"/>
    <w:rsid w:val="00A75494"/>
    <w:rsid w:val="00A754E3"/>
    <w:rsid w:val="00A7550F"/>
    <w:rsid w:val="00A75584"/>
    <w:rsid w:val="00A75780"/>
    <w:rsid w:val="00A7581D"/>
    <w:rsid w:val="00A7582C"/>
    <w:rsid w:val="00A759CE"/>
    <w:rsid w:val="00A75C66"/>
    <w:rsid w:val="00A75EA0"/>
    <w:rsid w:val="00A76435"/>
    <w:rsid w:val="00A765C9"/>
    <w:rsid w:val="00A76607"/>
    <w:rsid w:val="00A76775"/>
    <w:rsid w:val="00A767DF"/>
    <w:rsid w:val="00A76822"/>
    <w:rsid w:val="00A76A67"/>
    <w:rsid w:val="00A76CFE"/>
    <w:rsid w:val="00A76D6F"/>
    <w:rsid w:val="00A76DE5"/>
    <w:rsid w:val="00A76DF9"/>
    <w:rsid w:val="00A77159"/>
    <w:rsid w:val="00A77245"/>
    <w:rsid w:val="00A772EA"/>
    <w:rsid w:val="00A77328"/>
    <w:rsid w:val="00A77390"/>
    <w:rsid w:val="00A773C5"/>
    <w:rsid w:val="00A77414"/>
    <w:rsid w:val="00A77B77"/>
    <w:rsid w:val="00A77E26"/>
    <w:rsid w:val="00A802E7"/>
    <w:rsid w:val="00A803A7"/>
    <w:rsid w:val="00A80550"/>
    <w:rsid w:val="00A805C2"/>
    <w:rsid w:val="00A8063F"/>
    <w:rsid w:val="00A808DD"/>
    <w:rsid w:val="00A80C50"/>
    <w:rsid w:val="00A80DA3"/>
    <w:rsid w:val="00A80F30"/>
    <w:rsid w:val="00A811B3"/>
    <w:rsid w:val="00A811DD"/>
    <w:rsid w:val="00A812A2"/>
    <w:rsid w:val="00A812CF"/>
    <w:rsid w:val="00A81365"/>
    <w:rsid w:val="00A81399"/>
    <w:rsid w:val="00A81442"/>
    <w:rsid w:val="00A81836"/>
    <w:rsid w:val="00A819E3"/>
    <w:rsid w:val="00A81AA1"/>
    <w:rsid w:val="00A81AB1"/>
    <w:rsid w:val="00A81AE8"/>
    <w:rsid w:val="00A81C84"/>
    <w:rsid w:val="00A81CDF"/>
    <w:rsid w:val="00A81E6A"/>
    <w:rsid w:val="00A82071"/>
    <w:rsid w:val="00A820A0"/>
    <w:rsid w:val="00A82447"/>
    <w:rsid w:val="00A82563"/>
    <w:rsid w:val="00A829AF"/>
    <w:rsid w:val="00A829BC"/>
    <w:rsid w:val="00A82A1F"/>
    <w:rsid w:val="00A82B13"/>
    <w:rsid w:val="00A82DA4"/>
    <w:rsid w:val="00A82DD0"/>
    <w:rsid w:val="00A82F42"/>
    <w:rsid w:val="00A83309"/>
    <w:rsid w:val="00A83323"/>
    <w:rsid w:val="00A83459"/>
    <w:rsid w:val="00A83546"/>
    <w:rsid w:val="00A835F4"/>
    <w:rsid w:val="00A837BE"/>
    <w:rsid w:val="00A8395B"/>
    <w:rsid w:val="00A83BF0"/>
    <w:rsid w:val="00A83D6C"/>
    <w:rsid w:val="00A83DEB"/>
    <w:rsid w:val="00A83E54"/>
    <w:rsid w:val="00A83F2D"/>
    <w:rsid w:val="00A83FF2"/>
    <w:rsid w:val="00A84051"/>
    <w:rsid w:val="00A842CE"/>
    <w:rsid w:val="00A8441F"/>
    <w:rsid w:val="00A8442C"/>
    <w:rsid w:val="00A84437"/>
    <w:rsid w:val="00A846BB"/>
    <w:rsid w:val="00A84976"/>
    <w:rsid w:val="00A849F6"/>
    <w:rsid w:val="00A84A68"/>
    <w:rsid w:val="00A84B1A"/>
    <w:rsid w:val="00A84D1F"/>
    <w:rsid w:val="00A84E32"/>
    <w:rsid w:val="00A84EDC"/>
    <w:rsid w:val="00A84F7E"/>
    <w:rsid w:val="00A85002"/>
    <w:rsid w:val="00A8505B"/>
    <w:rsid w:val="00A850D4"/>
    <w:rsid w:val="00A8512C"/>
    <w:rsid w:val="00A85356"/>
    <w:rsid w:val="00A85442"/>
    <w:rsid w:val="00A858DC"/>
    <w:rsid w:val="00A85930"/>
    <w:rsid w:val="00A85DB6"/>
    <w:rsid w:val="00A85F0C"/>
    <w:rsid w:val="00A8646C"/>
    <w:rsid w:val="00A864CC"/>
    <w:rsid w:val="00A86742"/>
    <w:rsid w:val="00A8674E"/>
    <w:rsid w:val="00A86833"/>
    <w:rsid w:val="00A86893"/>
    <w:rsid w:val="00A868E1"/>
    <w:rsid w:val="00A86950"/>
    <w:rsid w:val="00A869D7"/>
    <w:rsid w:val="00A86C2B"/>
    <w:rsid w:val="00A86C64"/>
    <w:rsid w:val="00A86E1B"/>
    <w:rsid w:val="00A86E2E"/>
    <w:rsid w:val="00A86ED1"/>
    <w:rsid w:val="00A870B2"/>
    <w:rsid w:val="00A87226"/>
    <w:rsid w:val="00A87505"/>
    <w:rsid w:val="00A877DF"/>
    <w:rsid w:val="00A878DF"/>
    <w:rsid w:val="00A87A6B"/>
    <w:rsid w:val="00A87B95"/>
    <w:rsid w:val="00A87E03"/>
    <w:rsid w:val="00A87E14"/>
    <w:rsid w:val="00A87F67"/>
    <w:rsid w:val="00A90003"/>
    <w:rsid w:val="00A90042"/>
    <w:rsid w:val="00A9026B"/>
    <w:rsid w:val="00A90481"/>
    <w:rsid w:val="00A907B6"/>
    <w:rsid w:val="00A9085F"/>
    <w:rsid w:val="00A90927"/>
    <w:rsid w:val="00A90AA5"/>
    <w:rsid w:val="00A90BC6"/>
    <w:rsid w:val="00A90CF3"/>
    <w:rsid w:val="00A90D7F"/>
    <w:rsid w:val="00A90DB8"/>
    <w:rsid w:val="00A90E4B"/>
    <w:rsid w:val="00A90F25"/>
    <w:rsid w:val="00A90F52"/>
    <w:rsid w:val="00A90FEA"/>
    <w:rsid w:val="00A91053"/>
    <w:rsid w:val="00A917A5"/>
    <w:rsid w:val="00A917FE"/>
    <w:rsid w:val="00A9194C"/>
    <w:rsid w:val="00A919BE"/>
    <w:rsid w:val="00A919DF"/>
    <w:rsid w:val="00A91C2E"/>
    <w:rsid w:val="00A91DF4"/>
    <w:rsid w:val="00A91E80"/>
    <w:rsid w:val="00A921C0"/>
    <w:rsid w:val="00A921FF"/>
    <w:rsid w:val="00A92541"/>
    <w:rsid w:val="00A92554"/>
    <w:rsid w:val="00A92658"/>
    <w:rsid w:val="00A926F5"/>
    <w:rsid w:val="00A929EA"/>
    <w:rsid w:val="00A92A3D"/>
    <w:rsid w:val="00A92A59"/>
    <w:rsid w:val="00A92ADD"/>
    <w:rsid w:val="00A92B58"/>
    <w:rsid w:val="00A92BFD"/>
    <w:rsid w:val="00A92CB6"/>
    <w:rsid w:val="00A9307E"/>
    <w:rsid w:val="00A930FF"/>
    <w:rsid w:val="00A93161"/>
    <w:rsid w:val="00A93211"/>
    <w:rsid w:val="00A932F4"/>
    <w:rsid w:val="00A9376D"/>
    <w:rsid w:val="00A9378D"/>
    <w:rsid w:val="00A937D2"/>
    <w:rsid w:val="00A93990"/>
    <w:rsid w:val="00A93A36"/>
    <w:rsid w:val="00A93C0A"/>
    <w:rsid w:val="00A93C73"/>
    <w:rsid w:val="00A93C7D"/>
    <w:rsid w:val="00A93F8F"/>
    <w:rsid w:val="00A9419E"/>
    <w:rsid w:val="00A9441D"/>
    <w:rsid w:val="00A9448C"/>
    <w:rsid w:val="00A946BE"/>
    <w:rsid w:val="00A9473B"/>
    <w:rsid w:val="00A94913"/>
    <w:rsid w:val="00A94E85"/>
    <w:rsid w:val="00A95089"/>
    <w:rsid w:val="00A95320"/>
    <w:rsid w:val="00A95510"/>
    <w:rsid w:val="00A95584"/>
    <w:rsid w:val="00A955E6"/>
    <w:rsid w:val="00A957EF"/>
    <w:rsid w:val="00A95871"/>
    <w:rsid w:val="00A95C45"/>
    <w:rsid w:val="00A95C61"/>
    <w:rsid w:val="00A95DF0"/>
    <w:rsid w:val="00A95EB1"/>
    <w:rsid w:val="00A96102"/>
    <w:rsid w:val="00A9615D"/>
    <w:rsid w:val="00A96318"/>
    <w:rsid w:val="00A963F2"/>
    <w:rsid w:val="00A96448"/>
    <w:rsid w:val="00A9651A"/>
    <w:rsid w:val="00A96537"/>
    <w:rsid w:val="00A96598"/>
    <w:rsid w:val="00A96783"/>
    <w:rsid w:val="00A96A95"/>
    <w:rsid w:val="00A96B6C"/>
    <w:rsid w:val="00A96D32"/>
    <w:rsid w:val="00A96F51"/>
    <w:rsid w:val="00A97158"/>
    <w:rsid w:val="00A97247"/>
    <w:rsid w:val="00A973D4"/>
    <w:rsid w:val="00A97542"/>
    <w:rsid w:val="00A97652"/>
    <w:rsid w:val="00A97757"/>
    <w:rsid w:val="00A97835"/>
    <w:rsid w:val="00A9798D"/>
    <w:rsid w:val="00A97AE9"/>
    <w:rsid w:val="00A97B9F"/>
    <w:rsid w:val="00A97DD9"/>
    <w:rsid w:val="00A97E60"/>
    <w:rsid w:val="00A97F69"/>
    <w:rsid w:val="00AA00E1"/>
    <w:rsid w:val="00AA01DA"/>
    <w:rsid w:val="00AA033C"/>
    <w:rsid w:val="00AA0536"/>
    <w:rsid w:val="00AA0B1F"/>
    <w:rsid w:val="00AA0C37"/>
    <w:rsid w:val="00AA0E94"/>
    <w:rsid w:val="00AA10D7"/>
    <w:rsid w:val="00AA111C"/>
    <w:rsid w:val="00AA1403"/>
    <w:rsid w:val="00AA1427"/>
    <w:rsid w:val="00AA14EC"/>
    <w:rsid w:val="00AA1777"/>
    <w:rsid w:val="00AA189A"/>
    <w:rsid w:val="00AA19AB"/>
    <w:rsid w:val="00AA1DEB"/>
    <w:rsid w:val="00AA2197"/>
    <w:rsid w:val="00AA2706"/>
    <w:rsid w:val="00AA2870"/>
    <w:rsid w:val="00AA2919"/>
    <w:rsid w:val="00AA29E0"/>
    <w:rsid w:val="00AA2AEF"/>
    <w:rsid w:val="00AA2BB8"/>
    <w:rsid w:val="00AA2C0A"/>
    <w:rsid w:val="00AA2C23"/>
    <w:rsid w:val="00AA2D23"/>
    <w:rsid w:val="00AA2E82"/>
    <w:rsid w:val="00AA2F6A"/>
    <w:rsid w:val="00AA2FBA"/>
    <w:rsid w:val="00AA3176"/>
    <w:rsid w:val="00AA3200"/>
    <w:rsid w:val="00AA321C"/>
    <w:rsid w:val="00AA3296"/>
    <w:rsid w:val="00AA32DA"/>
    <w:rsid w:val="00AA352B"/>
    <w:rsid w:val="00AA361B"/>
    <w:rsid w:val="00AA375F"/>
    <w:rsid w:val="00AA37B5"/>
    <w:rsid w:val="00AA38E3"/>
    <w:rsid w:val="00AA397D"/>
    <w:rsid w:val="00AA3FE6"/>
    <w:rsid w:val="00AA4061"/>
    <w:rsid w:val="00AA4456"/>
    <w:rsid w:val="00AA458E"/>
    <w:rsid w:val="00AA45BD"/>
    <w:rsid w:val="00AA4727"/>
    <w:rsid w:val="00AA4732"/>
    <w:rsid w:val="00AA4767"/>
    <w:rsid w:val="00AA4969"/>
    <w:rsid w:val="00AA4A70"/>
    <w:rsid w:val="00AA4ABD"/>
    <w:rsid w:val="00AA4B5B"/>
    <w:rsid w:val="00AA50CC"/>
    <w:rsid w:val="00AA51D7"/>
    <w:rsid w:val="00AA53EF"/>
    <w:rsid w:val="00AA5406"/>
    <w:rsid w:val="00AA5645"/>
    <w:rsid w:val="00AA59B5"/>
    <w:rsid w:val="00AA5D53"/>
    <w:rsid w:val="00AA5E5E"/>
    <w:rsid w:val="00AA60DE"/>
    <w:rsid w:val="00AA6179"/>
    <w:rsid w:val="00AA6317"/>
    <w:rsid w:val="00AA64BE"/>
    <w:rsid w:val="00AA654C"/>
    <w:rsid w:val="00AA6624"/>
    <w:rsid w:val="00AA66BA"/>
    <w:rsid w:val="00AA67F7"/>
    <w:rsid w:val="00AA68C2"/>
    <w:rsid w:val="00AA6906"/>
    <w:rsid w:val="00AA69DE"/>
    <w:rsid w:val="00AA6C7B"/>
    <w:rsid w:val="00AA6D4F"/>
    <w:rsid w:val="00AA6DC3"/>
    <w:rsid w:val="00AA6DFF"/>
    <w:rsid w:val="00AA6E1B"/>
    <w:rsid w:val="00AA7233"/>
    <w:rsid w:val="00AA72EF"/>
    <w:rsid w:val="00AA7312"/>
    <w:rsid w:val="00AA739F"/>
    <w:rsid w:val="00AA73AE"/>
    <w:rsid w:val="00AA7485"/>
    <w:rsid w:val="00AA763D"/>
    <w:rsid w:val="00AA7643"/>
    <w:rsid w:val="00AA77A9"/>
    <w:rsid w:val="00AA7899"/>
    <w:rsid w:val="00AA7A0E"/>
    <w:rsid w:val="00AA7B99"/>
    <w:rsid w:val="00AA7D22"/>
    <w:rsid w:val="00AA7FA7"/>
    <w:rsid w:val="00AADD1A"/>
    <w:rsid w:val="00AB029E"/>
    <w:rsid w:val="00AB0331"/>
    <w:rsid w:val="00AB051D"/>
    <w:rsid w:val="00AB0536"/>
    <w:rsid w:val="00AB05B1"/>
    <w:rsid w:val="00AB0645"/>
    <w:rsid w:val="00AB0653"/>
    <w:rsid w:val="00AB08DB"/>
    <w:rsid w:val="00AB0CF1"/>
    <w:rsid w:val="00AB0E3F"/>
    <w:rsid w:val="00AB0E73"/>
    <w:rsid w:val="00AB0FB6"/>
    <w:rsid w:val="00AB11C6"/>
    <w:rsid w:val="00AB11EA"/>
    <w:rsid w:val="00AB125C"/>
    <w:rsid w:val="00AB1424"/>
    <w:rsid w:val="00AB15D7"/>
    <w:rsid w:val="00AB1829"/>
    <w:rsid w:val="00AB186B"/>
    <w:rsid w:val="00AB19CC"/>
    <w:rsid w:val="00AB1A47"/>
    <w:rsid w:val="00AB1AD5"/>
    <w:rsid w:val="00AB1BB9"/>
    <w:rsid w:val="00AB1C0C"/>
    <w:rsid w:val="00AB1CD4"/>
    <w:rsid w:val="00AB1D39"/>
    <w:rsid w:val="00AB1D74"/>
    <w:rsid w:val="00AB1DE2"/>
    <w:rsid w:val="00AB24E0"/>
    <w:rsid w:val="00AB24FA"/>
    <w:rsid w:val="00AB2517"/>
    <w:rsid w:val="00AB2540"/>
    <w:rsid w:val="00AB25FE"/>
    <w:rsid w:val="00AB2815"/>
    <w:rsid w:val="00AB284F"/>
    <w:rsid w:val="00AB287C"/>
    <w:rsid w:val="00AB2A7F"/>
    <w:rsid w:val="00AB2B9D"/>
    <w:rsid w:val="00AB2C00"/>
    <w:rsid w:val="00AB2C46"/>
    <w:rsid w:val="00AB2D07"/>
    <w:rsid w:val="00AB2DAD"/>
    <w:rsid w:val="00AB2F59"/>
    <w:rsid w:val="00AB2F65"/>
    <w:rsid w:val="00AB30E8"/>
    <w:rsid w:val="00AB336A"/>
    <w:rsid w:val="00AB393B"/>
    <w:rsid w:val="00AB39CE"/>
    <w:rsid w:val="00AB3ADC"/>
    <w:rsid w:val="00AB3B68"/>
    <w:rsid w:val="00AB3B7F"/>
    <w:rsid w:val="00AB3BB0"/>
    <w:rsid w:val="00AB3BE0"/>
    <w:rsid w:val="00AB3CEE"/>
    <w:rsid w:val="00AB3EFF"/>
    <w:rsid w:val="00AB3F76"/>
    <w:rsid w:val="00AB3FD7"/>
    <w:rsid w:val="00AB449C"/>
    <w:rsid w:val="00AB48CC"/>
    <w:rsid w:val="00AB49C8"/>
    <w:rsid w:val="00AB4B33"/>
    <w:rsid w:val="00AB4B8D"/>
    <w:rsid w:val="00AB4E46"/>
    <w:rsid w:val="00AB4E50"/>
    <w:rsid w:val="00AB4EE3"/>
    <w:rsid w:val="00AB503D"/>
    <w:rsid w:val="00AB51A0"/>
    <w:rsid w:val="00AB5253"/>
    <w:rsid w:val="00AB583C"/>
    <w:rsid w:val="00AB584E"/>
    <w:rsid w:val="00AB58FF"/>
    <w:rsid w:val="00AB5A74"/>
    <w:rsid w:val="00AB5B8D"/>
    <w:rsid w:val="00AB5C04"/>
    <w:rsid w:val="00AB5CD0"/>
    <w:rsid w:val="00AB5CF9"/>
    <w:rsid w:val="00AB5D4B"/>
    <w:rsid w:val="00AB5F19"/>
    <w:rsid w:val="00AB5FCA"/>
    <w:rsid w:val="00AB63B5"/>
    <w:rsid w:val="00AB654F"/>
    <w:rsid w:val="00AB657B"/>
    <w:rsid w:val="00AB6626"/>
    <w:rsid w:val="00AB6708"/>
    <w:rsid w:val="00AB69EC"/>
    <w:rsid w:val="00AB6B45"/>
    <w:rsid w:val="00AB6CBC"/>
    <w:rsid w:val="00AB6DB8"/>
    <w:rsid w:val="00AB6E96"/>
    <w:rsid w:val="00AB757E"/>
    <w:rsid w:val="00AB7677"/>
    <w:rsid w:val="00AB7907"/>
    <w:rsid w:val="00AB7A4F"/>
    <w:rsid w:val="00AB7A66"/>
    <w:rsid w:val="00AB7B49"/>
    <w:rsid w:val="00AB7B78"/>
    <w:rsid w:val="00AB7CE5"/>
    <w:rsid w:val="00AB7CE8"/>
    <w:rsid w:val="00AC00CE"/>
    <w:rsid w:val="00AC0112"/>
    <w:rsid w:val="00AC0271"/>
    <w:rsid w:val="00AC028F"/>
    <w:rsid w:val="00AC03B7"/>
    <w:rsid w:val="00AC04ED"/>
    <w:rsid w:val="00AC04F1"/>
    <w:rsid w:val="00AC06AD"/>
    <w:rsid w:val="00AC0797"/>
    <w:rsid w:val="00AC0B0B"/>
    <w:rsid w:val="00AC132D"/>
    <w:rsid w:val="00AC135E"/>
    <w:rsid w:val="00AC144A"/>
    <w:rsid w:val="00AC16C8"/>
    <w:rsid w:val="00AC16EC"/>
    <w:rsid w:val="00AC1A1D"/>
    <w:rsid w:val="00AC1A7B"/>
    <w:rsid w:val="00AC1B05"/>
    <w:rsid w:val="00AC1D68"/>
    <w:rsid w:val="00AC24CE"/>
    <w:rsid w:val="00AC24D0"/>
    <w:rsid w:val="00AC251B"/>
    <w:rsid w:val="00AC256F"/>
    <w:rsid w:val="00AC282E"/>
    <w:rsid w:val="00AC29D8"/>
    <w:rsid w:val="00AC2A13"/>
    <w:rsid w:val="00AC2A25"/>
    <w:rsid w:val="00AC2AF3"/>
    <w:rsid w:val="00AC2C9C"/>
    <w:rsid w:val="00AC2D71"/>
    <w:rsid w:val="00AC2F0F"/>
    <w:rsid w:val="00AC305A"/>
    <w:rsid w:val="00AC316A"/>
    <w:rsid w:val="00AC351F"/>
    <w:rsid w:val="00AC3727"/>
    <w:rsid w:val="00AC3967"/>
    <w:rsid w:val="00AC39D5"/>
    <w:rsid w:val="00AC3B2B"/>
    <w:rsid w:val="00AC3C62"/>
    <w:rsid w:val="00AC3E3F"/>
    <w:rsid w:val="00AC3E44"/>
    <w:rsid w:val="00AC402E"/>
    <w:rsid w:val="00AC415B"/>
    <w:rsid w:val="00AC44D7"/>
    <w:rsid w:val="00AC4680"/>
    <w:rsid w:val="00AC4705"/>
    <w:rsid w:val="00AC4799"/>
    <w:rsid w:val="00AC484E"/>
    <w:rsid w:val="00AC4991"/>
    <w:rsid w:val="00AC49AB"/>
    <w:rsid w:val="00AC4A14"/>
    <w:rsid w:val="00AC4BF0"/>
    <w:rsid w:val="00AC4D87"/>
    <w:rsid w:val="00AC4EF7"/>
    <w:rsid w:val="00AC4F2B"/>
    <w:rsid w:val="00AC516E"/>
    <w:rsid w:val="00AC5723"/>
    <w:rsid w:val="00AC58DA"/>
    <w:rsid w:val="00AC6262"/>
    <w:rsid w:val="00AC6392"/>
    <w:rsid w:val="00AC63B0"/>
    <w:rsid w:val="00AC6479"/>
    <w:rsid w:val="00AC65F9"/>
    <w:rsid w:val="00AC69F9"/>
    <w:rsid w:val="00AC6B9A"/>
    <w:rsid w:val="00AC6D77"/>
    <w:rsid w:val="00AC6E1D"/>
    <w:rsid w:val="00AC6E50"/>
    <w:rsid w:val="00AC7035"/>
    <w:rsid w:val="00AC70BD"/>
    <w:rsid w:val="00AC7198"/>
    <w:rsid w:val="00AC72B5"/>
    <w:rsid w:val="00AC752E"/>
    <w:rsid w:val="00AC7550"/>
    <w:rsid w:val="00AC769D"/>
    <w:rsid w:val="00AC7820"/>
    <w:rsid w:val="00AC78F9"/>
    <w:rsid w:val="00AC7C1F"/>
    <w:rsid w:val="00AC7C42"/>
    <w:rsid w:val="00AC7C48"/>
    <w:rsid w:val="00AC7CCA"/>
    <w:rsid w:val="00AC7D29"/>
    <w:rsid w:val="00AC7EA1"/>
    <w:rsid w:val="00AD0091"/>
    <w:rsid w:val="00AD012B"/>
    <w:rsid w:val="00AD01CB"/>
    <w:rsid w:val="00AD029D"/>
    <w:rsid w:val="00AD0365"/>
    <w:rsid w:val="00AD055C"/>
    <w:rsid w:val="00AD07FD"/>
    <w:rsid w:val="00AD0918"/>
    <w:rsid w:val="00AD0A1E"/>
    <w:rsid w:val="00AD0BBB"/>
    <w:rsid w:val="00AD0F02"/>
    <w:rsid w:val="00AD112A"/>
    <w:rsid w:val="00AD128D"/>
    <w:rsid w:val="00AD12C1"/>
    <w:rsid w:val="00AD13F5"/>
    <w:rsid w:val="00AD1452"/>
    <w:rsid w:val="00AD14E7"/>
    <w:rsid w:val="00AD15C7"/>
    <w:rsid w:val="00AD1630"/>
    <w:rsid w:val="00AD17F6"/>
    <w:rsid w:val="00AD18BF"/>
    <w:rsid w:val="00AD1D8C"/>
    <w:rsid w:val="00AD1E87"/>
    <w:rsid w:val="00AD205B"/>
    <w:rsid w:val="00AD20CF"/>
    <w:rsid w:val="00AD2101"/>
    <w:rsid w:val="00AD2334"/>
    <w:rsid w:val="00AD253A"/>
    <w:rsid w:val="00AD2642"/>
    <w:rsid w:val="00AD2880"/>
    <w:rsid w:val="00AD2B57"/>
    <w:rsid w:val="00AD2F0E"/>
    <w:rsid w:val="00AD2F89"/>
    <w:rsid w:val="00AD320A"/>
    <w:rsid w:val="00AD330D"/>
    <w:rsid w:val="00AD337E"/>
    <w:rsid w:val="00AD358C"/>
    <w:rsid w:val="00AD35A8"/>
    <w:rsid w:val="00AD369D"/>
    <w:rsid w:val="00AD3B65"/>
    <w:rsid w:val="00AD3E47"/>
    <w:rsid w:val="00AD3F42"/>
    <w:rsid w:val="00AD417B"/>
    <w:rsid w:val="00AD42F7"/>
    <w:rsid w:val="00AD4498"/>
    <w:rsid w:val="00AD44D0"/>
    <w:rsid w:val="00AD478E"/>
    <w:rsid w:val="00AD47F5"/>
    <w:rsid w:val="00AD4AD7"/>
    <w:rsid w:val="00AD4B7E"/>
    <w:rsid w:val="00AD4BDF"/>
    <w:rsid w:val="00AD4F88"/>
    <w:rsid w:val="00AD4FA7"/>
    <w:rsid w:val="00AD5112"/>
    <w:rsid w:val="00AD52D7"/>
    <w:rsid w:val="00AD53B7"/>
    <w:rsid w:val="00AD53FF"/>
    <w:rsid w:val="00AD55CB"/>
    <w:rsid w:val="00AD5A28"/>
    <w:rsid w:val="00AD5C7A"/>
    <w:rsid w:val="00AD5C7F"/>
    <w:rsid w:val="00AD5CE9"/>
    <w:rsid w:val="00AD5D97"/>
    <w:rsid w:val="00AD61BD"/>
    <w:rsid w:val="00AD6372"/>
    <w:rsid w:val="00AD63E2"/>
    <w:rsid w:val="00AD650E"/>
    <w:rsid w:val="00AD65DA"/>
    <w:rsid w:val="00AD65F1"/>
    <w:rsid w:val="00AD6702"/>
    <w:rsid w:val="00AD67C0"/>
    <w:rsid w:val="00AD68A8"/>
    <w:rsid w:val="00AD6B80"/>
    <w:rsid w:val="00AD6EA9"/>
    <w:rsid w:val="00AD70AD"/>
    <w:rsid w:val="00AD7243"/>
    <w:rsid w:val="00AD741F"/>
    <w:rsid w:val="00AD7703"/>
    <w:rsid w:val="00AD779E"/>
    <w:rsid w:val="00AD78AA"/>
    <w:rsid w:val="00AD7A53"/>
    <w:rsid w:val="00AD7B21"/>
    <w:rsid w:val="00AD7B4A"/>
    <w:rsid w:val="00AD7CE8"/>
    <w:rsid w:val="00AD7EB3"/>
    <w:rsid w:val="00AD7EC3"/>
    <w:rsid w:val="00AE001B"/>
    <w:rsid w:val="00AE00B8"/>
    <w:rsid w:val="00AE0198"/>
    <w:rsid w:val="00AE0AF1"/>
    <w:rsid w:val="00AE0D27"/>
    <w:rsid w:val="00AE0EA5"/>
    <w:rsid w:val="00AE101B"/>
    <w:rsid w:val="00AE118A"/>
    <w:rsid w:val="00AE125B"/>
    <w:rsid w:val="00AE1692"/>
    <w:rsid w:val="00AE18D3"/>
    <w:rsid w:val="00AE18D5"/>
    <w:rsid w:val="00AE18F4"/>
    <w:rsid w:val="00AE1AE0"/>
    <w:rsid w:val="00AE1CA0"/>
    <w:rsid w:val="00AE1CD9"/>
    <w:rsid w:val="00AE1E1C"/>
    <w:rsid w:val="00AE2040"/>
    <w:rsid w:val="00AE204F"/>
    <w:rsid w:val="00AE205E"/>
    <w:rsid w:val="00AE22B8"/>
    <w:rsid w:val="00AE244E"/>
    <w:rsid w:val="00AE2573"/>
    <w:rsid w:val="00AE25E7"/>
    <w:rsid w:val="00AE2806"/>
    <w:rsid w:val="00AE28B9"/>
    <w:rsid w:val="00AE2DDB"/>
    <w:rsid w:val="00AE3079"/>
    <w:rsid w:val="00AE30E1"/>
    <w:rsid w:val="00AE331F"/>
    <w:rsid w:val="00AE34C5"/>
    <w:rsid w:val="00AE34E0"/>
    <w:rsid w:val="00AE34F5"/>
    <w:rsid w:val="00AE3978"/>
    <w:rsid w:val="00AE3BA6"/>
    <w:rsid w:val="00AE3E8F"/>
    <w:rsid w:val="00AE416D"/>
    <w:rsid w:val="00AE41B2"/>
    <w:rsid w:val="00AE454A"/>
    <w:rsid w:val="00AE4619"/>
    <w:rsid w:val="00AE46A7"/>
    <w:rsid w:val="00AE4743"/>
    <w:rsid w:val="00AE482E"/>
    <w:rsid w:val="00AE4838"/>
    <w:rsid w:val="00AE4877"/>
    <w:rsid w:val="00AE49EC"/>
    <w:rsid w:val="00AE4A40"/>
    <w:rsid w:val="00AE4A98"/>
    <w:rsid w:val="00AE4AEB"/>
    <w:rsid w:val="00AE4B8D"/>
    <w:rsid w:val="00AE4C8F"/>
    <w:rsid w:val="00AE4CAD"/>
    <w:rsid w:val="00AE4D56"/>
    <w:rsid w:val="00AE4DB1"/>
    <w:rsid w:val="00AE4DB2"/>
    <w:rsid w:val="00AE4DEA"/>
    <w:rsid w:val="00AE4EFB"/>
    <w:rsid w:val="00AE4FD0"/>
    <w:rsid w:val="00AE5017"/>
    <w:rsid w:val="00AE5095"/>
    <w:rsid w:val="00AE50CB"/>
    <w:rsid w:val="00AE5144"/>
    <w:rsid w:val="00AE5251"/>
    <w:rsid w:val="00AE5301"/>
    <w:rsid w:val="00AE538C"/>
    <w:rsid w:val="00AE55AC"/>
    <w:rsid w:val="00AE560C"/>
    <w:rsid w:val="00AE56C7"/>
    <w:rsid w:val="00AE572B"/>
    <w:rsid w:val="00AE586D"/>
    <w:rsid w:val="00AE5A48"/>
    <w:rsid w:val="00AE5F91"/>
    <w:rsid w:val="00AE5FB4"/>
    <w:rsid w:val="00AE63B3"/>
    <w:rsid w:val="00AE646A"/>
    <w:rsid w:val="00AE66C1"/>
    <w:rsid w:val="00AE675C"/>
    <w:rsid w:val="00AE6EFD"/>
    <w:rsid w:val="00AE6F12"/>
    <w:rsid w:val="00AE6FAA"/>
    <w:rsid w:val="00AE733A"/>
    <w:rsid w:val="00AE7384"/>
    <w:rsid w:val="00AE741B"/>
    <w:rsid w:val="00AE74D5"/>
    <w:rsid w:val="00AE751A"/>
    <w:rsid w:val="00AE75CD"/>
    <w:rsid w:val="00AE75D4"/>
    <w:rsid w:val="00AE75F5"/>
    <w:rsid w:val="00AE7619"/>
    <w:rsid w:val="00AE792B"/>
    <w:rsid w:val="00AE7A71"/>
    <w:rsid w:val="00AE7AA8"/>
    <w:rsid w:val="00AE7B1D"/>
    <w:rsid w:val="00AE7B5A"/>
    <w:rsid w:val="00AE7CEB"/>
    <w:rsid w:val="00AE7E6D"/>
    <w:rsid w:val="00AE7F11"/>
    <w:rsid w:val="00AF03EB"/>
    <w:rsid w:val="00AF04A0"/>
    <w:rsid w:val="00AF04BC"/>
    <w:rsid w:val="00AF090B"/>
    <w:rsid w:val="00AF0957"/>
    <w:rsid w:val="00AF0A3E"/>
    <w:rsid w:val="00AF0AA5"/>
    <w:rsid w:val="00AF0E73"/>
    <w:rsid w:val="00AF120A"/>
    <w:rsid w:val="00AF13DB"/>
    <w:rsid w:val="00AF1788"/>
    <w:rsid w:val="00AF1800"/>
    <w:rsid w:val="00AF1909"/>
    <w:rsid w:val="00AF1E69"/>
    <w:rsid w:val="00AF1EA4"/>
    <w:rsid w:val="00AF1EAB"/>
    <w:rsid w:val="00AF2082"/>
    <w:rsid w:val="00AF20CC"/>
    <w:rsid w:val="00AF2144"/>
    <w:rsid w:val="00AF2464"/>
    <w:rsid w:val="00AF2470"/>
    <w:rsid w:val="00AF251E"/>
    <w:rsid w:val="00AF25DF"/>
    <w:rsid w:val="00AF269E"/>
    <w:rsid w:val="00AF270C"/>
    <w:rsid w:val="00AF27EA"/>
    <w:rsid w:val="00AF2AD2"/>
    <w:rsid w:val="00AF2B21"/>
    <w:rsid w:val="00AF2E20"/>
    <w:rsid w:val="00AF2E39"/>
    <w:rsid w:val="00AF2E5C"/>
    <w:rsid w:val="00AF2E85"/>
    <w:rsid w:val="00AF3182"/>
    <w:rsid w:val="00AF321C"/>
    <w:rsid w:val="00AF32D5"/>
    <w:rsid w:val="00AF33F8"/>
    <w:rsid w:val="00AF3591"/>
    <w:rsid w:val="00AF366A"/>
    <w:rsid w:val="00AF36C6"/>
    <w:rsid w:val="00AF37F9"/>
    <w:rsid w:val="00AF3917"/>
    <w:rsid w:val="00AF3B61"/>
    <w:rsid w:val="00AF3BCC"/>
    <w:rsid w:val="00AF3C46"/>
    <w:rsid w:val="00AF3D1B"/>
    <w:rsid w:val="00AF3D1E"/>
    <w:rsid w:val="00AF3DD4"/>
    <w:rsid w:val="00AF4063"/>
    <w:rsid w:val="00AF43B8"/>
    <w:rsid w:val="00AF4573"/>
    <w:rsid w:val="00AF45C0"/>
    <w:rsid w:val="00AF49EC"/>
    <w:rsid w:val="00AF4A10"/>
    <w:rsid w:val="00AF4B07"/>
    <w:rsid w:val="00AF4B37"/>
    <w:rsid w:val="00AF4BA9"/>
    <w:rsid w:val="00AF4DDA"/>
    <w:rsid w:val="00AF4E64"/>
    <w:rsid w:val="00AF4FB0"/>
    <w:rsid w:val="00AF50AB"/>
    <w:rsid w:val="00AF51D5"/>
    <w:rsid w:val="00AF52E5"/>
    <w:rsid w:val="00AF5371"/>
    <w:rsid w:val="00AF53B0"/>
    <w:rsid w:val="00AF54C0"/>
    <w:rsid w:val="00AF5897"/>
    <w:rsid w:val="00AF59FE"/>
    <w:rsid w:val="00AF5B9E"/>
    <w:rsid w:val="00AF5C5E"/>
    <w:rsid w:val="00AF5FE1"/>
    <w:rsid w:val="00AF60C6"/>
    <w:rsid w:val="00AF60D7"/>
    <w:rsid w:val="00AF62E0"/>
    <w:rsid w:val="00AF6386"/>
    <w:rsid w:val="00AF645F"/>
    <w:rsid w:val="00AF6702"/>
    <w:rsid w:val="00AF6A0F"/>
    <w:rsid w:val="00AF6A18"/>
    <w:rsid w:val="00AF6B4F"/>
    <w:rsid w:val="00AF6D9F"/>
    <w:rsid w:val="00AF6EDC"/>
    <w:rsid w:val="00AF6F03"/>
    <w:rsid w:val="00AF7387"/>
    <w:rsid w:val="00AF73FF"/>
    <w:rsid w:val="00AF7563"/>
    <w:rsid w:val="00AF790F"/>
    <w:rsid w:val="00AF7E7E"/>
    <w:rsid w:val="00AF7ECE"/>
    <w:rsid w:val="00B00350"/>
    <w:rsid w:val="00B004DB"/>
    <w:rsid w:val="00B004E9"/>
    <w:rsid w:val="00B00781"/>
    <w:rsid w:val="00B00ABE"/>
    <w:rsid w:val="00B00D03"/>
    <w:rsid w:val="00B00DBE"/>
    <w:rsid w:val="00B00E8E"/>
    <w:rsid w:val="00B0102D"/>
    <w:rsid w:val="00B010AF"/>
    <w:rsid w:val="00B0134C"/>
    <w:rsid w:val="00B014AD"/>
    <w:rsid w:val="00B01602"/>
    <w:rsid w:val="00B01639"/>
    <w:rsid w:val="00B01717"/>
    <w:rsid w:val="00B018EF"/>
    <w:rsid w:val="00B01A99"/>
    <w:rsid w:val="00B01BC8"/>
    <w:rsid w:val="00B01C7A"/>
    <w:rsid w:val="00B01C8B"/>
    <w:rsid w:val="00B02408"/>
    <w:rsid w:val="00B027CC"/>
    <w:rsid w:val="00B02871"/>
    <w:rsid w:val="00B02B5C"/>
    <w:rsid w:val="00B02B8F"/>
    <w:rsid w:val="00B02BF4"/>
    <w:rsid w:val="00B02C7E"/>
    <w:rsid w:val="00B02F16"/>
    <w:rsid w:val="00B02F4E"/>
    <w:rsid w:val="00B02F55"/>
    <w:rsid w:val="00B02F9D"/>
    <w:rsid w:val="00B03101"/>
    <w:rsid w:val="00B03112"/>
    <w:rsid w:val="00B031A1"/>
    <w:rsid w:val="00B0324B"/>
    <w:rsid w:val="00B03334"/>
    <w:rsid w:val="00B035C1"/>
    <w:rsid w:val="00B03824"/>
    <w:rsid w:val="00B03B57"/>
    <w:rsid w:val="00B03D12"/>
    <w:rsid w:val="00B03DAC"/>
    <w:rsid w:val="00B03E8D"/>
    <w:rsid w:val="00B03F65"/>
    <w:rsid w:val="00B0418E"/>
    <w:rsid w:val="00B04192"/>
    <w:rsid w:val="00B041C3"/>
    <w:rsid w:val="00B045D2"/>
    <w:rsid w:val="00B0460F"/>
    <w:rsid w:val="00B04820"/>
    <w:rsid w:val="00B0486F"/>
    <w:rsid w:val="00B04931"/>
    <w:rsid w:val="00B0497A"/>
    <w:rsid w:val="00B049AF"/>
    <w:rsid w:val="00B04A95"/>
    <w:rsid w:val="00B04CA7"/>
    <w:rsid w:val="00B04CC6"/>
    <w:rsid w:val="00B04CCD"/>
    <w:rsid w:val="00B04E14"/>
    <w:rsid w:val="00B05005"/>
    <w:rsid w:val="00B051A8"/>
    <w:rsid w:val="00B052A6"/>
    <w:rsid w:val="00B0537C"/>
    <w:rsid w:val="00B0537D"/>
    <w:rsid w:val="00B0545C"/>
    <w:rsid w:val="00B055F3"/>
    <w:rsid w:val="00B058AA"/>
    <w:rsid w:val="00B0598F"/>
    <w:rsid w:val="00B05A79"/>
    <w:rsid w:val="00B05B79"/>
    <w:rsid w:val="00B05D6B"/>
    <w:rsid w:val="00B05E17"/>
    <w:rsid w:val="00B05E2B"/>
    <w:rsid w:val="00B05E8F"/>
    <w:rsid w:val="00B06091"/>
    <w:rsid w:val="00B06323"/>
    <w:rsid w:val="00B065D6"/>
    <w:rsid w:val="00B06777"/>
    <w:rsid w:val="00B067AB"/>
    <w:rsid w:val="00B067C1"/>
    <w:rsid w:val="00B067DC"/>
    <w:rsid w:val="00B068E2"/>
    <w:rsid w:val="00B068E7"/>
    <w:rsid w:val="00B06A42"/>
    <w:rsid w:val="00B06A76"/>
    <w:rsid w:val="00B06B7E"/>
    <w:rsid w:val="00B06BAB"/>
    <w:rsid w:val="00B06CA3"/>
    <w:rsid w:val="00B06D3D"/>
    <w:rsid w:val="00B071FD"/>
    <w:rsid w:val="00B0763F"/>
    <w:rsid w:val="00B0764C"/>
    <w:rsid w:val="00B0795A"/>
    <w:rsid w:val="00B07DA5"/>
    <w:rsid w:val="00B07F48"/>
    <w:rsid w:val="00B10158"/>
    <w:rsid w:val="00B1016F"/>
    <w:rsid w:val="00B10A1E"/>
    <w:rsid w:val="00B10A32"/>
    <w:rsid w:val="00B10BD1"/>
    <w:rsid w:val="00B10D8C"/>
    <w:rsid w:val="00B10F1F"/>
    <w:rsid w:val="00B10F9F"/>
    <w:rsid w:val="00B11005"/>
    <w:rsid w:val="00B11036"/>
    <w:rsid w:val="00B11405"/>
    <w:rsid w:val="00B114D7"/>
    <w:rsid w:val="00B1150F"/>
    <w:rsid w:val="00B11946"/>
    <w:rsid w:val="00B11C09"/>
    <w:rsid w:val="00B11C5A"/>
    <w:rsid w:val="00B11D1A"/>
    <w:rsid w:val="00B11D59"/>
    <w:rsid w:val="00B11DC1"/>
    <w:rsid w:val="00B11F5E"/>
    <w:rsid w:val="00B120AD"/>
    <w:rsid w:val="00B1229E"/>
    <w:rsid w:val="00B125BD"/>
    <w:rsid w:val="00B1264A"/>
    <w:rsid w:val="00B1271C"/>
    <w:rsid w:val="00B128B1"/>
    <w:rsid w:val="00B12A91"/>
    <w:rsid w:val="00B12AB2"/>
    <w:rsid w:val="00B12D92"/>
    <w:rsid w:val="00B12EA9"/>
    <w:rsid w:val="00B12EB1"/>
    <w:rsid w:val="00B130A8"/>
    <w:rsid w:val="00B13229"/>
    <w:rsid w:val="00B1368B"/>
    <w:rsid w:val="00B13697"/>
    <w:rsid w:val="00B1373F"/>
    <w:rsid w:val="00B138AB"/>
    <w:rsid w:val="00B13987"/>
    <w:rsid w:val="00B139EB"/>
    <w:rsid w:val="00B13A1C"/>
    <w:rsid w:val="00B13BC5"/>
    <w:rsid w:val="00B13EEB"/>
    <w:rsid w:val="00B13F11"/>
    <w:rsid w:val="00B140DA"/>
    <w:rsid w:val="00B14114"/>
    <w:rsid w:val="00B142DF"/>
    <w:rsid w:val="00B14359"/>
    <w:rsid w:val="00B14441"/>
    <w:rsid w:val="00B14583"/>
    <w:rsid w:val="00B145EC"/>
    <w:rsid w:val="00B146EB"/>
    <w:rsid w:val="00B147A1"/>
    <w:rsid w:val="00B147B9"/>
    <w:rsid w:val="00B148DE"/>
    <w:rsid w:val="00B14982"/>
    <w:rsid w:val="00B1498D"/>
    <w:rsid w:val="00B14B8C"/>
    <w:rsid w:val="00B14C06"/>
    <w:rsid w:val="00B14F8F"/>
    <w:rsid w:val="00B1527B"/>
    <w:rsid w:val="00B1538E"/>
    <w:rsid w:val="00B15403"/>
    <w:rsid w:val="00B15579"/>
    <w:rsid w:val="00B15587"/>
    <w:rsid w:val="00B155CC"/>
    <w:rsid w:val="00B1587C"/>
    <w:rsid w:val="00B1597D"/>
    <w:rsid w:val="00B15B4D"/>
    <w:rsid w:val="00B15C7F"/>
    <w:rsid w:val="00B15FBF"/>
    <w:rsid w:val="00B1601F"/>
    <w:rsid w:val="00B160DB"/>
    <w:rsid w:val="00B16229"/>
    <w:rsid w:val="00B1645B"/>
    <w:rsid w:val="00B164C5"/>
    <w:rsid w:val="00B1657D"/>
    <w:rsid w:val="00B16741"/>
    <w:rsid w:val="00B16874"/>
    <w:rsid w:val="00B16D06"/>
    <w:rsid w:val="00B16D80"/>
    <w:rsid w:val="00B17098"/>
    <w:rsid w:val="00B170CC"/>
    <w:rsid w:val="00B172FC"/>
    <w:rsid w:val="00B1746A"/>
    <w:rsid w:val="00B1752D"/>
    <w:rsid w:val="00B17588"/>
    <w:rsid w:val="00B1758D"/>
    <w:rsid w:val="00B175DC"/>
    <w:rsid w:val="00B17A82"/>
    <w:rsid w:val="00B17F8A"/>
    <w:rsid w:val="00B2012E"/>
    <w:rsid w:val="00B2026E"/>
    <w:rsid w:val="00B204D2"/>
    <w:rsid w:val="00B2079A"/>
    <w:rsid w:val="00B2081F"/>
    <w:rsid w:val="00B2098D"/>
    <w:rsid w:val="00B20CD6"/>
    <w:rsid w:val="00B21098"/>
    <w:rsid w:val="00B21187"/>
    <w:rsid w:val="00B212EC"/>
    <w:rsid w:val="00B21546"/>
    <w:rsid w:val="00B216AA"/>
    <w:rsid w:val="00B217C7"/>
    <w:rsid w:val="00B218B7"/>
    <w:rsid w:val="00B21B21"/>
    <w:rsid w:val="00B21EC9"/>
    <w:rsid w:val="00B2206C"/>
    <w:rsid w:val="00B220A1"/>
    <w:rsid w:val="00B220C4"/>
    <w:rsid w:val="00B221B5"/>
    <w:rsid w:val="00B22215"/>
    <w:rsid w:val="00B2231F"/>
    <w:rsid w:val="00B224A4"/>
    <w:rsid w:val="00B22534"/>
    <w:rsid w:val="00B225F5"/>
    <w:rsid w:val="00B226E4"/>
    <w:rsid w:val="00B227BC"/>
    <w:rsid w:val="00B227F4"/>
    <w:rsid w:val="00B22A4F"/>
    <w:rsid w:val="00B22ADA"/>
    <w:rsid w:val="00B22B40"/>
    <w:rsid w:val="00B231B9"/>
    <w:rsid w:val="00B232AA"/>
    <w:rsid w:val="00B23364"/>
    <w:rsid w:val="00B23621"/>
    <w:rsid w:val="00B23848"/>
    <w:rsid w:val="00B2384E"/>
    <w:rsid w:val="00B24046"/>
    <w:rsid w:val="00B241E4"/>
    <w:rsid w:val="00B24255"/>
    <w:rsid w:val="00B24280"/>
    <w:rsid w:val="00B242C6"/>
    <w:rsid w:val="00B2443B"/>
    <w:rsid w:val="00B24525"/>
    <w:rsid w:val="00B245F3"/>
    <w:rsid w:val="00B248B0"/>
    <w:rsid w:val="00B24936"/>
    <w:rsid w:val="00B24B18"/>
    <w:rsid w:val="00B24B43"/>
    <w:rsid w:val="00B24C7F"/>
    <w:rsid w:val="00B24F1D"/>
    <w:rsid w:val="00B25624"/>
    <w:rsid w:val="00B256A8"/>
    <w:rsid w:val="00B256BE"/>
    <w:rsid w:val="00B259AB"/>
    <w:rsid w:val="00B259D2"/>
    <w:rsid w:val="00B25DC4"/>
    <w:rsid w:val="00B25DF9"/>
    <w:rsid w:val="00B2619D"/>
    <w:rsid w:val="00B26251"/>
    <w:rsid w:val="00B262C3"/>
    <w:rsid w:val="00B263DE"/>
    <w:rsid w:val="00B26455"/>
    <w:rsid w:val="00B26489"/>
    <w:rsid w:val="00B2649F"/>
    <w:rsid w:val="00B264E0"/>
    <w:rsid w:val="00B26611"/>
    <w:rsid w:val="00B268B1"/>
    <w:rsid w:val="00B26A25"/>
    <w:rsid w:val="00B26A30"/>
    <w:rsid w:val="00B26A6C"/>
    <w:rsid w:val="00B26A9E"/>
    <w:rsid w:val="00B26C23"/>
    <w:rsid w:val="00B26D15"/>
    <w:rsid w:val="00B26D93"/>
    <w:rsid w:val="00B26EC2"/>
    <w:rsid w:val="00B26F05"/>
    <w:rsid w:val="00B27057"/>
    <w:rsid w:val="00B27252"/>
    <w:rsid w:val="00B2751F"/>
    <w:rsid w:val="00B27881"/>
    <w:rsid w:val="00B27ABA"/>
    <w:rsid w:val="00B27EB5"/>
    <w:rsid w:val="00B27F9A"/>
    <w:rsid w:val="00B30208"/>
    <w:rsid w:val="00B302D8"/>
    <w:rsid w:val="00B30356"/>
    <w:rsid w:val="00B306B6"/>
    <w:rsid w:val="00B307B8"/>
    <w:rsid w:val="00B307E3"/>
    <w:rsid w:val="00B309B0"/>
    <w:rsid w:val="00B30A5A"/>
    <w:rsid w:val="00B30A5F"/>
    <w:rsid w:val="00B30B0F"/>
    <w:rsid w:val="00B30CA7"/>
    <w:rsid w:val="00B30F12"/>
    <w:rsid w:val="00B310B3"/>
    <w:rsid w:val="00B311C6"/>
    <w:rsid w:val="00B3120E"/>
    <w:rsid w:val="00B314AA"/>
    <w:rsid w:val="00B317E9"/>
    <w:rsid w:val="00B31919"/>
    <w:rsid w:val="00B3198A"/>
    <w:rsid w:val="00B31D78"/>
    <w:rsid w:val="00B31DD3"/>
    <w:rsid w:val="00B31F25"/>
    <w:rsid w:val="00B32120"/>
    <w:rsid w:val="00B3214C"/>
    <w:rsid w:val="00B325B9"/>
    <w:rsid w:val="00B32860"/>
    <w:rsid w:val="00B32939"/>
    <w:rsid w:val="00B3293E"/>
    <w:rsid w:val="00B32C05"/>
    <w:rsid w:val="00B32CA5"/>
    <w:rsid w:val="00B32CB5"/>
    <w:rsid w:val="00B32DEF"/>
    <w:rsid w:val="00B32E89"/>
    <w:rsid w:val="00B32FED"/>
    <w:rsid w:val="00B33434"/>
    <w:rsid w:val="00B3351D"/>
    <w:rsid w:val="00B33562"/>
    <w:rsid w:val="00B3372C"/>
    <w:rsid w:val="00B337CD"/>
    <w:rsid w:val="00B338E3"/>
    <w:rsid w:val="00B339CD"/>
    <w:rsid w:val="00B33F4D"/>
    <w:rsid w:val="00B34017"/>
    <w:rsid w:val="00B3457C"/>
    <w:rsid w:val="00B34621"/>
    <w:rsid w:val="00B348DF"/>
    <w:rsid w:val="00B3492E"/>
    <w:rsid w:val="00B34EEB"/>
    <w:rsid w:val="00B34F34"/>
    <w:rsid w:val="00B35039"/>
    <w:rsid w:val="00B3523B"/>
    <w:rsid w:val="00B35373"/>
    <w:rsid w:val="00B3555D"/>
    <w:rsid w:val="00B3577D"/>
    <w:rsid w:val="00B359ED"/>
    <w:rsid w:val="00B35BBB"/>
    <w:rsid w:val="00B35C54"/>
    <w:rsid w:val="00B35D37"/>
    <w:rsid w:val="00B35D9D"/>
    <w:rsid w:val="00B36359"/>
    <w:rsid w:val="00B364E4"/>
    <w:rsid w:val="00B364ED"/>
    <w:rsid w:val="00B36561"/>
    <w:rsid w:val="00B3673D"/>
    <w:rsid w:val="00B369B5"/>
    <w:rsid w:val="00B36AEB"/>
    <w:rsid w:val="00B36D1B"/>
    <w:rsid w:val="00B37016"/>
    <w:rsid w:val="00B37041"/>
    <w:rsid w:val="00B370B9"/>
    <w:rsid w:val="00B370BC"/>
    <w:rsid w:val="00B371D5"/>
    <w:rsid w:val="00B371DB"/>
    <w:rsid w:val="00B373E2"/>
    <w:rsid w:val="00B37410"/>
    <w:rsid w:val="00B374C3"/>
    <w:rsid w:val="00B37566"/>
    <w:rsid w:val="00B37608"/>
    <w:rsid w:val="00B37631"/>
    <w:rsid w:val="00B3766F"/>
    <w:rsid w:val="00B376AA"/>
    <w:rsid w:val="00B3775B"/>
    <w:rsid w:val="00B377C2"/>
    <w:rsid w:val="00B377CF"/>
    <w:rsid w:val="00B377F7"/>
    <w:rsid w:val="00B37913"/>
    <w:rsid w:val="00B37A8C"/>
    <w:rsid w:val="00B37F25"/>
    <w:rsid w:val="00B37F7D"/>
    <w:rsid w:val="00B37FF7"/>
    <w:rsid w:val="00B40104"/>
    <w:rsid w:val="00B401BE"/>
    <w:rsid w:val="00B402BF"/>
    <w:rsid w:val="00B4040F"/>
    <w:rsid w:val="00B404F2"/>
    <w:rsid w:val="00B407D4"/>
    <w:rsid w:val="00B408BC"/>
    <w:rsid w:val="00B40A86"/>
    <w:rsid w:val="00B40CC3"/>
    <w:rsid w:val="00B40D1F"/>
    <w:rsid w:val="00B40D24"/>
    <w:rsid w:val="00B40E6E"/>
    <w:rsid w:val="00B40F3C"/>
    <w:rsid w:val="00B410FC"/>
    <w:rsid w:val="00B411C0"/>
    <w:rsid w:val="00B41265"/>
    <w:rsid w:val="00B413A2"/>
    <w:rsid w:val="00B41742"/>
    <w:rsid w:val="00B41838"/>
    <w:rsid w:val="00B4199C"/>
    <w:rsid w:val="00B41C39"/>
    <w:rsid w:val="00B41D69"/>
    <w:rsid w:val="00B41ED0"/>
    <w:rsid w:val="00B41FBD"/>
    <w:rsid w:val="00B41FF1"/>
    <w:rsid w:val="00B4213A"/>
    <w:rsid w:val="00B423CF"/>
    <w:rsid w:val="00B42433"/>
    <w:rsid w:val="00B425A6"/>
    <w:rsid w:val="00B42798"/>
    <w:rsid w:val="00B4284B"/>
    <w:rsid w:val="00B4299F"/>
    <w:rsid w:val="00B42D50"/>
    <w:rsid w:val="00B42DDF"/>
    <w:rsid w:val="00B42E0D"/>
    <w:rsid w:val="00B43159"/>
    <w:rsid w:val="00B4353F"/>
    <w:rsid w:val="00B436F3"/>
    <w:rsid w:val="00B43794"/>
    <w:rsid w:val="00B43A77"/>
    <w:rsid w:val="00B43A9A"/>
    <w:rsid w:val="00B43F02"/>
    <w:rsid w:val="00B43F81"/>
    <w:rsid w:val="00B442FF"/>
    <w:rsid w:val="00B443FE"/>
    <w:rsid w:val="00B4466C"/>
    <w:rsid w:val="00B44841"/>
    <w:rsid w:val="00B44B11"/>
    <w:rsid w:val="00B44B6E"/>
    <w:rsid w:val="00B44CB1"/>
    <w:rsid w:val="00B44EAA"/>
    <w:rsid w:val="00B45081"/>
    <w:rsid w:val="00B450A4"/>
    <w:rsid w:val="00B450D0"/>
    <w:rsid w:val="00B4512D"/>
    <w:rsid w:val="00B4524F"/>
    <w:rsid w:val="00B45307"/>
    <w:rsid w:val="00B4533A"/>
    <w:rsid w:val="00B453BB"/>
    <w:rsid w:val="00B454AB"/>
    <w:rsid w:val="00B45531"/>
    <w:rsid w:val="00B455A1"/>
    <w:rsid w:val="00B455AB"/>
    <w:rsid w:val="00B45770"/>
    <w:rsid w:val="00B457BD"/>
    <w:rsid w:val="00B45BF4"/>
    <w:rsid w:val="00B45CEF"/>
    <w:rsid w:val="00B45DC3"/>
    <w:rsid w:val="00B45EFD"/>
    <w:rsid w:val="00B46049"/>
    <w:rsid w:val="00B4646E"/>
    <w:rsid w:val="00B46665"/>
    <w:rsid w:val="00B46678"/>
    <w:rsid w:val="00B468CC"/>
    <w:rsid w:val="00B4697C"/>
    <w:rsid w:val="00B46CD2"/>
    <w:rsid w:val="00B46D31"/>
    <w:rsid w:val="00B46E36"/>
    <w:rsid w:val="00B46EB6"/>
    <w:rsid w:val="00B46FFA"/>
    <w:rsid w:val="00B473E3"/>
    <w:rsid w:val="00B4753E"/>
    <w:rsid w:val="00B4789C"/>
    <w:rsid w:val="00B478EB"/>
    <w:rsid w:val="00B4795B"/>
    <w:rsid w:val="00B47B4E"/>
    <w:rsid w:val="00B47EBD"/>
    <w:rsid w:val="00B47F20"/>
    <w:rsid w:val="00B47F35"/>
    <w:rsid w:val="00B47FC8"/>
    <w:rsid w:val="00B50286"/>
    <w:rsid w:val="00B50446"/>
    <w:rsid w:val="00B507C9"/>
    <w:rsid w:val="00B508E0"/>
    <w:rsid w:val="00B50C0F"/>
    <w:rsid w:val="00B50E58"/>
    <w:rsid w:val="00B5119E"/>
    <w:rsid w:val="00B511A1"/>
    <w:rsid w:val="00B51269"/>
    <w:rsid w:val="00B515EE"/>
    <w:rsid w:val="00B516D0"/>
    <w:rsid w:val="00B5178D"/>
    <w:rsid w:val="00B51CB5"/>
    <w:rsid w:val="00B51F2D"/>
    <w:rsid w:val="00B51F35"/>
    <w:rsid w:val="00B52171"/>
    <w:rsid w:val="00B52303"/>
    <w:rsid w:val="00B529DB"/>
    <w:rsid w:val="00B52A9F"/>
    <w:rsid w:val="00B52AA2"/>
    <w:rsid w:val="00B52AB8"/>
    <w:rsid w:val="00B52B67"/>
    <w:rsid w:val="00B52C2F"/>
    <w:rsid w:val="00B52CCD"/>
    <w:rsid w:val="00B52CDE"/>
    <w:rsid w:val="00B52DF9"/>
    <w:rsid w:val="00B5306A"/>
    <w:rsid w:val="00B530C6"/>
    <w:rsid w:val="00B5313F"/>
    <w:rsid w:val="00B53247"/>
    <w:rsid w:val="00B53508"/>
    <w:rsid w:val="00B5375E"/>
    <w:rsid w:val="00B53782"/>
    <w:rsid w:val="00B5386F"/>
    <w:rsid w:val="00B538DC"/>
    <w:rsid w:val="00B53A8A"/>
    <w:rsid w:val="00B53A8E"/>
    <w:rsid w:val="00B53C6F"/>
    <w:rsid w:val="00B53CD9"/>
    <w:rsid w:val="00B53CF5"/>
    <w:rsid w:val="00B53D08"/>
    <w:rsid w:val="00B53EC5"/>
    <w:rsid w:val="00B53F7C"/>
    <w:rsid w:val="00B53FB0"/>
    <w:rsid w:val="00B54201"/>
    <w:rsid w:val="00B5424F"/>
    <w:rsid w:val="00B542C9"/>
    <w:rsid w:val="00B54328"/>
    <w:rsid w:val="00B54330"/>
    <w:rsid w:val="00B547BF"/>
    <w:rsid w:val="00B54AFF"/>
    <w:rsid w:val="00B54B93"/>
    <w:rsid w:val="00B54C96"/>
    <w:rsid w:val="00B54CA0"/>
    <w:rsid w:val="00B54D06"/>
    <w:rsid w:val="00B54D81"/>
    <w:rsid w:val="00B54E1C"/>
    <w:rsid w:val="00B54EAF"/>
    <w:rsid w:val="00B54EC7"/>
    <w:rsid w:val="00B54F8E"/>
    <w:rsid w:val="00B550F7"/>
    <w:rsid w:val="00B550FE"/>
    <w:rsid w:val="00B55167"/>
    <w:rsid w:val="00B55235"/>
    <w:rsid w:val="00B554A0"/>
    <w:rsid w:val="00B55659"/>
    <w:rsid w:val="00B556A9"/>
    <w:rsid w:val="00B55812"/>
    <w:rsid w:val="00B5596C"/>
    <w:rsid w:val="00B559E5"/>
    <w:rsid w:val="00B55C4D"/>
    <w:rsid w:val="00B55DEE"/>
    <w:rsid w:val="00B562EB"/>
    <w:rsid w:val="00B563F8"/>
    <w:rsid w:val="00B56420"/>
    <w:rsid w:val="00B5647B"/>
    <w:rsid w:val="00B565E8"/>
    <w:rsid w:val="00B56777"/>
    <w:rsid w:val="00B56797"/>
    <w:rsid w:val="00B568CD"/>
    <w:rsid w:val="00B56AE1"/>
    <w:rsid w:val="00B56B57"/>
    <w:rsid w:val="00B56C97"/>
    <w:rsid w:val="00B56DAB"/>
    <w:rsid w:val="00B57089"/>
    <w:rsid w:val="00B5727B"/>
    <w:rsid w:val="00B57309"/>
    <w:rsid w:val="00B57352"/>
    <w:rsid w:val="00B574DD"/>
    <w:rsid w:val="00B57667"/>
    <w:rsid w:val="00B57B35"/>
    <w:rsid w:val="00B57BA8"/>
    <w:rsid w:val="00B600F7"/>
    <w:rsid w:val="00B602FE"/>
    <w:rsid w:val="00B60406"/>
    <w:rsid w:val="00B6061F"/>
    <w:rsid w:val="00B6068C"/>
    <w:rsid w:val="00B60707"/>
    <w:rsid w:val="00B607BD"/>
    <w:rsid w:val="00B6099D"/>
    <w:rsid w:val="00B60DCA"/>
    <w:rsid w:val="00B60E06"/>
    <w:rsid w:val="00B60E58"/>
    <w:rsid w:val="00B60F8A"/>
    <w:rsid w:val="00B611CC"/>
    <w:rsid w:val="00B612D1"/>
    <w:rsid w:val="00B615DC"/>
    <w:rsid w:val="00B61935"/>
    <w:rsid w:val="00B61A8B"/>
    <w:rsid w:val="00B61AD8"/>
    <w:rsid w:val="00B61B7D"/>
    <w:rsid w:val="00B61DEE"/>
    <w:rsid w:val="00B61E38"/>
    <w:rsid w:val="00B620CA"/>
    <w:rsid w:val="00B62147"/>
    <w:rsid w:val="00B623B8"/>
    <w:rsid w:val="00B62A65"/>
    <w:rsid w:val="00B62B0D"/>
    <w:rsid w:val="00B62EC1"/>
    <w:rsid w:val="00B630A7"/>
    <w:rsid w:val="00B63598"/>
    <w:rsid w:val="00B63AD0"/>
    <w:rsid w:val="00B63B13"/>
    <w:rsid w:val="00B63B4B"/>
    <w:rsid w:val="00B63FF1"/>
    <w:rsid w:val="00B64024"/>
    <w:rsid w:val="00B646BC"/>
    <w:rsid w:val="00B6490E"/>
    <w:rsid w:val="00B649A3"/>
    <w:rsid w:val="00B64CD7"/>
    <w:rsid w:val="00B64CF5"/>
    <w:rsid w:val="00B64CF6"/>
    <w:rsid w:val="00B64D7E"/>
    <w:rsid w:val="00B64D97"/>
    <w:rsid w:val="00B64E53"/>
    <w:rsid w:val="00B64F25"/>
    <w:rsid w:val="00B65216"/>
    <w:rsid w:val="00B652CE"/>
    <w:rsid w:val="00B652DB"/>
    <w:rsid w:val="00B654C8"/>
    <w:rsid w:val="00B65778"/>
    <w:rsid w:val="00B657ED"/>
    <w:rsid w:val="00B65825"/>
    <w:rsid w:val="00B659C3"/>
    <w:rsid w:val="00B65A35"/>
    <w:rsid w:val="00B65AC4"/>
    <w:rsid w:val="00B65AFB"/>
    <w:rsid w:val="00B65B2D"/>
    <w:rsid w:val="00B65B66"/>
    <w:rsid w:val="00B65C34"/>
    <w:rsid w:val="00B65D2F"/>
    <w:rsid w:val="00B65F0D"/>
    <w:rsid w:val="00B65F47"/>
    <w:rsid w:val="00B66271"/>
    <w:rsid w:val="00B662F9"/>
    <w:rsid w:val="00B663DE"/>
    <w:rsid w:val="00B6655A"/>
    <w:rsid w:val="00B66637"/>
    <w:rsid w:val="00B66738"/>
    <w:rsid w:val="00B6690C"/>
    <w:rsid w:val="00B669A1"/>
    <w:rsid w:val="00B669AE"/>
    <w:rsid w:val="00B66BDD"/>
    <w:rsid w:val="00B66C5C"/>
    <w:rsid w:val="00B66C98"/>
    <w:rsid w:val="00B670F3"/>
    <w:rsid w:val="00B67151"/>
    <w:rsid w:val="00B6727B"/>
    <w:rsid w:val="00B67425"/>
    <w:rsid w:val="00B67435"/>
    <w:rsid w:val="00B67666"/>
    <w:rsid w:val="00B6768F"/>
    <w:rsid w:val="00B676B5"/>
    <w:rsid w:val="00B677D6"/>
    <w:rsid w:val="00B67B45"/>
    <w:rsid w:val="00B67B75"/>
    <w:rsid w:val="00B67B80"/>
    <w:rsid w:val="00B67BEF"/>
    <w:rsid w:val="00B67C72"/>
    <w:rsid w:val="00B67CFF"/>
    <w:rsid w:val="00B67D49"/>
    <w:rsid w:val="00B67F97"/>
    <w:rsid w:val="00B70077"/>
    <w:rsid w:val="00B7031F"/>
    <w:rsid w:val="00B706B0"/>
    <w:rsid w:val="00B707F2"/>
    <w:rsid w:val="00B70924"/>
    <w:rsid w:val="00B70936"/>
    <w:rsid w:val="00B70AFA"/>
    <w:rsid w:val="00B70C26"/>
    <w:rsid w:val="00B70C4C"/>
    <w:rsid w:val="00B70CD2"/>
    <w:rsid w:val="00B70D1B"/>
    <w:rsid w:val="00B70D86"/>
    <w:rsid w:val="00B70E10"/>
    <w:rsid w:val="00B710CE"/>
    <w:rsid w:val="00B71101"/>
    <w:rsid w:val="00B714C4"/>
    <w:rsid w:val="00B71559"/>
    <w:rsid w:val="00B718F3"/>
    <w:rsid w:val="00B71B1B"/>
    <w:rsid w:val="00B71B46"/>
    <w:rsid w:val="00B71CF5"/>
    <w:rsid w:val="00B71DAC"/>
    <w:rsid w:val="00B71E18"/>
    <w:rsid w:val="00B71E71"/>
    <w:rsid w:val="00B71F44"/>
    <w:rsid w:val="00B72011"/>
    <w:rsid w:val="00B72089"/>
    <w:rsid w:val="00B7226C"/>
    <w:rsid w:val="00B723C2"/>
    <w:rsid w:val="00B7240C"/>
    <w:rsid w:val="00B7250A"/>
    <w:rsid w:val="00B7254B"/>
    <w:rsid w:val="00B726BC"/>
    <w:rsid w:val="00B7270B"/>
    <w:rsid w:val="00B72719"/>
    <w:rsid w:val="00B72801"/>
    <w:rsid w:val="00B72932"/>
    <w:rsid w:val="00B72A45"/>
    <w:rsid w:val="00B72AC8"/>
    <w:rsid w:val="00B72B2B"/>
    <w:rsid w:val="00B72B35"/>
    <w:rsid w:val="00B72CEF"/>
    <w:rsid w:val="00B72F42"/>
    <w:rsid w:val="00B72F6F"/>
    <w:rsid w:val="00B72FD0"/>
    <w:rsid w:val="00B73101"/>
    <w:rsid w:val="00B732D3"/>
    <w:rsid w:val="00B7335D"/>
    <w:rsid w:val="00B73444"/>
    <w:rsid w:val="00B73483"/>
    <w:rsid w:val="00B735AB"/>
    <w:rsid w:val="00B736B6"/>
    <w:rsid w:val="00B73775"/>
    <w:rsid w:val="00B737F2"/>
    <w:rsid w:val="00B739CC"/>
    <w:rsid w:val="00B739DF"/>
    <w:rsid w:val="00B73AF2"/>
    <w:rsid w:val="00B73C82"/>
    <w:rsid w:val="00B73CF9"/>
    <w:rsid w:val="00B73E06"/>
    <w:rsid w:val="00B73E7B"/>
    <w:rsid w:val="00B73EFC"/>
    <w:rsid w:val="00B740FF"/>
    <w:rsid w:val="00B74153"/>
    <w:rsid w:val="00B74261"/>
    <w:rsid w:val="00B74389"/>
    <w:rsid w:val="00B743CB"/>
    <w:rsid w:val="00B7445E"/>
    <w:rsid w:val="00B746A9"/>
    <w:rsid w:val="00B748A0"/>
    <w:rsid w:val="00B749AB"/>
    <w:rsid w:val="00B74B2B"/>
    <w:rsid w:val="00B74BCD"/>
    <w:rsid w:val="00B74CB0"/>
    <w:rsid w:val="00B74CF1"/>
    <w:rsid w:val="00B74D16"/>
    <w:rsid w:val="00B74F0C"/>
    <w:rsid w:val="00B75170"/>
    <w:rsid w:val="00B75255"/>
    <w:rsid w:val="00B75336"/>
    <w:rsid w:val="00B758F2"/>
    <w:rsid w:val="00B75A4B"/>
    <w:rsid w:val="00B75B45"/>
    <w:rsid w:val="00B75DE9"/>
    <w:rsid w:val="00B75FCD"/>
    <w:rsid w:val="00B760B4"/>
    <w:rsid w:val="00B76158"/>
    <w:rsid w:val="00B7619B"/>
    <w:rsid w:val="00B7620D"/>
    <w:rsid w:val="00B76350"/>
    <w:rsid w:val="00B766BF"/>
    <w:rsid w:val="00B76794"/>
    <w:rsid w:val="00B76A2A"/>
    <w:rsid w:val="00B76AA8"/>
    <w:rsid w:val="00B76E12"/>
    <w:rsid w:val="00B76E77"/>
    <w:rsid w:val="00B76F19"/>
    <w:rsid w:val="00B76F92"/>
    <w:rsid w:val="00B76FE9"/>
    <w:rsid w:val="00B77154"/>
    <w:rsid w:val="00B773D3"/>
    <w:rsid w:val="00B77560"/>
    <w:rsid w:val="00B776D0"/>
    <w:rsid w:val="00B777E7"/>
    <w:rsid w:val="00B779A8"/>
    <w:rsid w:val="00B77A11"/>
    <w:rsid w:val="00B77B52"/>
    <w:rsid w:val="00B77BC9"/>
    <w:rsid w:val="00B77C41"/>
    <w:rsid w:val="00B801F5"/>
    <w:rsid w:val="00B8022A"/>
    <w:rsid w:val="00B802F0"/>
    <w:rsid w:val="00B80307"/>
    <w:rsid w:val="00B80494"/>
    <w:rsid w:val="00B80497"/>
    <w:rsid w:val="00B8050B"/>
    <w:rsid w:val="00B8053A"/>
    <w:rsid w:val="00B8054E"/>
    <w:rsid w:val="00B8079E"/>
    <w:rsid w:val="00B80881"/>
    <w:rsid w:val="00B808DA"/>
    <w:rsid w:val="00B80D4F"/>
    <w:rsid w:val="00B80DFC"/>
    <w:rsid w:val="00B80E20"/>
    <w:rsid w:val="00B80FA5"/>
    <w:rsid w:val="00B80FE4"/>
    <w:rsid w:val="00B81195"/>
    <w:rsid w:val="00B81291"/>
    <w:rsid w:val="00B81325"/>
    <w:rsid w:val="00B81379"/>
    <w:rsid w:val="00B814D2"/>
    <w:rsid w:val="00B818DF"/>
    <w:rsid w:val="00B81AA0"/>
    <w:rsid w:val="00B81B92"/>
    <w:rsid w:val="00B81BDC"/>
    <w:rsid w:val="00B81CA5"/>
    <w:rsid w:val="00B81D4E"/>
    <w:rsid w:val="00B81FEB"/>
    <w:rsid w:val="00B8207D"/>
    <w:rsid w:val="00B82086"/>
    <w:rsid w:val="00B822CE"/>
    <w:rsid w:val="00B82342"/>
    <w:rsid w:val="00B823C1"/>
    <w:rsid w:val="00B8241A"/>
    <w:rsid w:val="00B82544"/>
    <w:rsid w:val="00B826BF"/>
    <w:rsid w:val="00B826E8"/>
    <w:rsid w:val="00B828FC"/>
    <w:rsid w:val="00B8291C"/>
    <w:rsid w:val="00B82920"/>
    <w:rsid w:val="00B82BBD"/>
    <w:rsid w:val="00B82DFF"/>
    <w:rsid w:val="00B82F28"/>
    <w:rsid w:val="00B83199"/>
    <w:rsid w:val="00B8322E"/>
    <w:rsid w:val="00B83265"/>
    <w:rsid w:val="00B83277"/>
    <w:rsid w:val="00B832AB"/>
    <w:rsid w:val="00B832DA"/>
    <w:rsid w:val="00B833AC"/>
    <w:rsid w:val="00B834A3"/>
    <w:rsid w:val="00B835F9"/>
    <w:rsid w:val="00B83797"/>
    <w:rsid w:val="00B8379E"/>
    <w:rsid w:val="00B8379F"/>
    <w:rsid w:val="00B83CC4"/>
    <w:rsid w:val="00B83E7D"/>
    <w:rsid w:val="00B840B9"/>
    <w:rsid w:val="00B843C6"/>
    <w:rsid w:val="00B8454F"/>
    <w:rsid w:val="00B84597"/>
    <w:rsid w:val="00B84608"/>
    <w:rsid w:val="00B8490F"/>
    <w:rsid w:val="00B849D3"/>
    <w:rsid w:val="00B84ABA"/>
    <w:rsid w:val="00B84B7A"/>
    <w:rsid w:val="00B84E88"/>
    <w:rsid w:val="00B84F45"/>
    <w:rsid w:val="00B84F9D"/>
    <w:rsid w:val="00B85075"/>
    <w:rsid w:val="00B852FA"/>
    <w:rsid w:val="00B854A9"/>
    <w:rsid w:val="00B854DD"/>
    <w:rsid w:val="00B85567"/>
    <w:rsid w:val="00B856AB"/>
    <w:rsid w:val="00B859AD"/>
    <w:rsid w:val="00B85C04"/>
    <w:rsid w:val="00B85CEC"/>
    <w:rsid w:val="00B85CF8"/>
    <w:rsid w:val="00B85F5B"/>
    <w:rsid w:val="00B85FA1"/>
    <w:rsid w:val="00B86124"/>
    <w:rsid w:val="00B861F2"/>
    <w:rsid w:val="00B86282"/>
    <w:rsid w:val="00B8632B"/>
    <w:rsid w:val="00B863D8"/>
    <w:rsid w:val="00B8643D"/>
    <w:rsid w:val="00B868AC"/>
    <w:rsid w:val="00B8696F"/>
    <w:rsid w:val="00B86CA2"/>
    <w:rsid w:val="00B86F12"/>
    <w:rsid w:val="00B87162"/>
    <w:rsid w:val="00B87266"/>
    <w:rsid w:val="00B87503"/>
    <w:rsid w:val="00B87908"/>
    <w:rsid w:val="00B87CD2"/>
    <w:rsid w:val="00B87E12"/>
    <w:rsid w:val="00B901A7"/>
    <w:rsid w:val="00B90443"/>
    <w:rsid w:val="00B905A5"/>
    <w:rsid w:val="00B905CE"/>
    <w:rsid w:val="00B905DC"/>
    <w:rsid w:val="00B9074F"/>
    <w:rsid w:val="00B90775"/>
    <w:rsid w:val="00B908C1"/>
    <w:rsid w:val="00B90D3F"/>
    <w:rsid w:val="00B90F17"/>
    <w:rsid w:val="00B91141"/>
    <w:rsid w:val="00B911A7"/>
    <w:rsid w:val="00B91290"/>
    <w:rsid w:val="00B9157E"/>
    <w:rsid w:val="00B91835"/>
    <w:rsid w:val="00B918D9"/>
    <w:rsid w:val="00B918F1"/>
    <w:rsid w:val="00B91D94"/>
    <w:rsid w:val="00B91DE7"/>
    <w:rsid w:val="00B91E85"/>
    <w:rsid w:val="00B91F82"/>
    <w:rsid w:val="00B920CB"/>
    <w:rsid w:val="00B92139"/>
    <w:rsid w:val="00B921CC"/>
    <w:rsid w:val="00B922EB"/>
    <w:rsid w:val="00B924B4"/>
    <w:rsid w:val="00B924B7"/>
    <w:rsid w:val="00B92581"/>
    <w:rsid w:val="00B926AE"/>
    <w:rsid w:val="00B92732"/>
    <w:rsid w:val="00B9286B"/>
    <w:rsid w:val="00B92936"/>
    <w:rsid w:val="00B92939"/>
    <w:rsid w:val="00B92E92"/>
    <w:rsid w:val="00B92F5C"/>
    <w:rsid w:val="00B9305C"/>
    <w:rsid w:val="00B9317F"/>
    <w:rsid w:val="00B9322B"/>
    <w:rsid w:val="00B93589"/>
    <w:rsid w:val="00B9361B"/>
    <w:rsid w:val="00B936D0"/>
    <w:rsid w:val="00B9378A"/>
    <w:rsid w:val="00B9397D"/>
    <w:rsid w:val="00B93A67"/>
    <w:rsid w:val="00B93CFC"/>
    <w:rsid w:val="00B93F23"/>
    <w:rsid w:val="00B94041"/>
    <w:rsid w:val="00B941F6"/>
    <w:rsid w:val="00B944C4"/>
    <w:rsid w:val="00B94572"/>
    <w:rsid w:val="00B947A0"/>
    <w:rsid w:val="00B94A42"/>
    <w:rsid w:val="00B94EB0"/>
    <w:rsid w:val="00B94EBA"/>
    <w:rsid w:val="00B94EBD"/>
    <w:rsid w:val="00B94F73"/>
    <w:rsid w:val="00B9503D"/>
    <w:rsid w:val="00B950B3"/>
    <w:rsid w:val="00B951D9"/>
    <w:rsid w:val="00B952F9"/>
    <w:rsid w:val="00B95B47"/>
    <w:rsid w:val="00B95C78"/>
    <w:rsid w:val="00B95CC7"/>
    <w:rsid w:val="00B95DAE"/>
    <w:rsid w:val="00B95E30"/>
    <w:rsid w:val="00B95F0D"/>
    <w:rsid w:val="00B95F45"/>
    <w:rsid w:val="00B95F82"/>
    <w:rsid w:val="00B96138"/>
    <w:rsid w:val="00B9614A"/>
    <w:rsid w:val="00B961C5"/>
    <w:rsid w:val="00B964F4"/>
    <w:rsid w:val="00B9677F"/>
    <w:rsid w:val="00B96BA5"/>
    <w:rsid w:val="00B96D68"/>
    <w:rsid w:val="00B9721F"/>
    <w:rsid w:val="00B9728C"/>
    <w:rsid w:val="00B97401"/>
    <w:rsid w:val="00B9748A"/>
    <w:rsid w:val="00B9753D"/>
    <w:rsid w:val="00B9758C"/>
    <w:rsid w:val="00B97BC8"/>
    <w:rsid w:val="00B97C2B"/>
    <w:rsid w:val="00B97D54"/>
    <w:rsid w:val="00B97D8E"/>
    <w:rsid w:val="00B98F88"/>
    <w:rsid w:val="00BA0348"/>
    <w:rsid w:val="00BA0430"/>
    <w:rsid w:val="00BA0783"/>
    <w:rsid w:val="00BA0868"/>
    <w:rsid w:val="00BA0A12"/>
    <w:rsid w:val="00BA0C70"/>
    <w:rsid w:val="00BA1150"/>
    <w:rsid w:val="00BA1457"/>
    <w:rsid w:val="00BA1571"/>
    <w:rsid w:val="00BA1605"/>
    <w:rsid w:val="00BA1665"/>
    <w:rsid w:val="00BA171D"/>
    <w:rsid w:val="00BA1861"/>
    <w:rsid w:val="00BA1902"/>
    <w:rsid w:val="00BA1CA2"/>
    <w:rsid w:val="00BA1F27"/>
    <w:rsid w:val="00BA2050"/>
    <w:rsid w:val="00BA2106"/>
    <w:rsid w:val="00BA2138"/>
    <w:rsid w:val="00BA2300"/>
    <w:rsid w:val="00BA237D"/>
    <w:rsid w:val="00BA24DB"/>
    <w:rsid w:val="00BA2509"/>
    <w:rsid w:val="00BA27C5"/>
    <w:rsid w:val="00BA2951"/>
    <w:rsid w:val="00BA2A04"/>
    <w:rsid w:val="00BA2B79"/>
    <w:rsid w:val="00BA2CD6"/>
    <w:rsid w:val="00BA2CF1"/>
    <w:rsid w:val="00BA2D43"/>
    <w:rsid w:val="00BA304C"/>
    <w:rsid w:val="00BA3071"/>
    <w:rsid w:val="00BA30D6"/>
    <w:rsid w:val="00BA3107"/>
    <w:rsid w:val="00BA354B"/>
    <w:rsid w:val="00BA359C"/>
    <w:rsid w:val="00BA3602"/>
    <w:rsid w:val="00BA374E"/>
    <w:rsid w:val="00BA3911"/>
    <w:rsid w:val="00BA3927"/>
    <w:rsid w:val="00BA3B56"/>
    <w:rsid w:val="00BA3C24"/>
    <w:rsid w:val="00BA3D13"/>
    <w:rsid w:val="00BA3E2B"/>
    <w:rsid w:val="00BA42D1"/>
    <w:rsid w:val="00BA44DF"/>
    <w:rsid w:val="00BA46E0"/>
    <w:rsid w:val="00BA4809"/>
    <w:rsid w:val="00BA4887"/>
    <w:rsid w:val="00BA49EE"/>
    <w:rsid w:val="00BA4AFD"/>
    <w:rsid w:val="00BA4DD1"/>
    <w:rsid w:val="00BA510E"/>
    <w:rsid w:val="00BA51A2"/>
    <w:rsid w:val="00BA523D"/>
    <w:rsid w:val="00BA5312"/>
    <w:rsid w:val="00BA5325"/>
    <w:rsid w:val="00BA54A6"/>
    <w:rsid w:val="00BA554F"/>
    <w:rsid w:val="00BA5608"/>
    <w:rsid w:val="00BA57EC"/>
    <w:rsid w:val="00BA58A2"/>
    <w:rsid w:val="00BA5A9C"/>
    <w:rsid w:val="00BA5B40"/>
    <w:rsid w:val="00BA5F53"/>
    <w:rsid w:val="00BA5FF2"/>
    <w:rsid w:val="00BA60EF"/>
    <w:rsid w:val="00BA6114"/>
    <w:rsid w:val="00BA635E"/>
    <w:rsid w:val="00BA64BD"/>
    <w:rsid w:val="00BA6610"/>
    <w:rsid w:val="00BA662D"/>
    <w:rsid w:val="00BA68DD"/>
    <w:rsid w:val="00BA6CD1"/>
    <w:rsid w:val="00BA6D09"/>
    <w:rsid w:val="00BA76C1"/>
    <w:rsid w:val="00BA7762"/>
    <w:rsid w:val="00BA7854"/>
    <w:rsid w:val="00BA785A"/>
    <w:rsid w:val="00BA7910"/>
    <w:rsid w:val="00BA79E9"/>
    <w:rsid w:val="00BA7DD3"/>
    <w:rsid w:val="00BA7F7E"/>
    <w:rsid w:val="00BB00C8"/>
    <w:rsid w:val="00BB00E9"/>
    <w:rsid w:val="00BB0233"/>
    <w:rsid w:val="00BB02C6"/>
    <w:rsid w:val="00BB02C8"/>
    <w:rsid w:val="00BB034D"/>
    <w:rsid w:val="00BB0467"/>
    <w:rsid w:val="00BB04ED"/>
    <w:rsid w:val="00BB0816"/>
    <w:rsid w:val="00BB0851"/>
    <w:rsid w:val="00BB0CDE"/>
    <w:rsid w:val="00BB0DE8"/>
    <w:rsid w:val="00BB1083"/>
    <w:rsid w:val="00BB10BC"/>
    <w:rsid w:val="00BB1368"/>
    <w:rsid w:val="00BB1482"/>
    <w:rsid w:val="00BB1676"/>
    <w:rsid w:val="00BB17BC"/>
    <w:rsid w:val="00BB180A"/>
    <w:rsid w:val="00BB1CC4"/>
    <w:rsid w:val="00BB1E85"/>
    <w:rsid w:val="00BB1F3F"/>
    <w:rsid w:val="00BB2220"/>
    <w:rsid w:val="00BB232C"/>
    <w:rsid w:val="00BB25B7"/>
    <w:rsid w:val="00BB27CC"/>
    <w:rsid w:val="00BB2855"/>
    <w:rsid w:val="00BB2894"/>
    <w:rsid w:val="00BB2BF9"/>
    <w:rsid w:val="00BB2E1A"/>
    <w:rsid w:val="00BB2E71"/>
    <w:rsid w:val="00BB2E75"/>
    <w:rsid w:val="00BB2EAF"/>
    <w:rsid w:val="00BB2F6D"/>
    <w:rsid w:val="00BB2FC3"/>
    <w:rsid w:val="00BB30E3"/>
    <w:rsid w:val="00BB30FC"/>
    <w:rsid w:val="00BB32BB"/>
    <w:rsid w:val="00BB33E2"/>
    <w:rsid w:val="00BB3523"/>
    <w:rsid w:val="00BB362E"/>
    <w:rsid w:val="00BB3A5A"/>
    <w:rsid w:val="00BB3BD3"/>
    <w:rsid w:val="00BB3CC9"/>
    <w:rsid w:val="00BB3DCE"/>
    <w:rsid w:val="00BB3E87"/>
    <w:rsid w:val="00BB3F4E"/>
    <w:rsid w:val="00BB40EF"/>
    <w:rsid w:val="00BB42C4"/>
    <w:rsid w:val="00BB43D1"/>
    <w:rsid w:val="00BB447B"/>
    <w:rsid w:val="00BB45B2"/>
    <w:rsid w:val="00BB49DC"/>
    <w:rsid w:val="00BB4B77"/>
    <w:rsid w:val="00BB4D76"/>
    <w:rsid w:val="00BB4E97"/>
    <w:rsid w:val="00BB50AE"/>
    <w:rsid w:val="00BB5150"/>
    <w:rsid w:val="00BB5252"/>
    <w:rsid w:val="00BB5258"/>
    <w:rsid w:val="00BB53A1"/>
    <w:rsid w:val="00BB559A"/>
    <w:rsid w:val="00BB5A72"/>
    <w:rsid w:val="00BB5AEB"/>
    <w:rsid w:val="00BB5BC4"/>
    <w:rsid w:val="00BB5D03"/>
    <w:rsid w:val="00BB6192"/>
    <w:rsid w:val="00BB624C"/>
    <w:rsid w:val="00BB652C"/>
    <w:rsid w:val="00BB664B"/>
    <w:rsid w:val="00BB693D"/>
    <w:rsid w:val="00BB6AF4"/>
    <w:rsid w:val="00BB6B42"/>
    <w:rsid w:val="00BB6CB6"/>
    <w:rsid w:val="00BB6CC6"/>
    <w:rsid w:val="00BB6EBC"/>
    <w:rsid w:val="00BB6F98"/>
    <w:rsid w:val="00BB745E"/>
    <w:rsid w:val="00BB759E"/>
    <w:rsid w:val="00BB75CF"/>
    <w:rsid w:val="00BB775A"/>
    <w:rsid w:val="00BB7ACD"/>
    <w:rsid w:val="00BB7C46"/>
    <w:rsid w:val="00BB7E1E"/>
    <w:rsid w:val="00BB7E75"/>
    <w:rsid w:val="00BB7EF3"/>
    <w:rsid w:val="00BC007D"/>
    <w:rsid w:val="00BC01FE"/>
    <w:rsid w:val="00BC047C"/>
    <w:rsid w:val="00BC04DE"/>
    <w:rsid w:val="00BC0552"/>
    <w:rsid w:val="00BC05C2"/>
    <w:rsid w:val="00BC060C"/>
    <w:rsid w:val="00BC07C2"/>
    <w:rsid w:val="00BC0B17"/>
    <w:rsid w:val="00BC0B95"/>
    <w:rsid w:val="00BC0EBF"/>
    <w:rsid w:val="00BC10A0"/>
    <w:rsid w:val="00BC1105"/>
    <w:rsid w:val="00BC143B"/>
    <w:rsid w:val="00BC153B"/>
    <w:rsid w:val="00BC1736"/>
    <w:rsid w:val="00BC17A2"/>
    <w:rsid w:val="00BC1842"/>
    <w:rsid w:val="00BC18A1"/>
    <w:rsid w:val="00BC1952"/>
    <w:rsid w:val="00BC1993"/>
    <w:rsid w:val="00BC1D4D"/>
    <w:rsid w:val="00BC1D5D"/>
    <w:rsid w:val="00BC1EA6"/>
    <w:rsid w:val="00BC2209"/>
    <w:rsid w:val="00BC2214"/>
    <w:rsid w:val="00BC2392"/>
    <w:rsid w:val="00BC24E2"/>
    <w:rsid w:val="00BC26D5"/>
    <w:rsid w:val="00BC26D6"/>
    <w:rsid w:val="00BC273C"/>
    <w:rsid w:val="00BC2754"/>
    <w:rsid w:val="00BC2A08"/>
    <w:rsid w:val="00BC2C27"/>
    <w:rsid w:val="00BC2E1D"/>
    <w:rsid w:val="00BC2ECE"/>
    <w:rsid w:val="00BC305E"/>
    <w:rsid w:val="00BC3459"/>
    <w:rsid w:val="00BC355F"/>
    <w:rsid w:val="00BC36DE"/>
    <w:rsid w:val="00BC36F9"/>
    <w:rsid w:val="00BC38A9"/>
    <w:rsid w:val="00BC3C3B"/>
    <w:rsid w:val="00BC3D58"/>
    <w:rsid w:val="00BC3DE6"/>
    <w:rsid w:val="00BC3EB0"/>
    <w:rsid w:val="00BC3EC0"/>
    <w:rsid w:val="00BC3F67"/>
    <w:rsid w:val="00BC4048"/>
    <w:rsid w:val="00BC41BE"/>
    <w:rsid w:val="00BC430C"/>
    <w:rsid w:val="00BC46ED"/>
    <w:rsid w:val="00BC487F"/>
    <w:rsid w:val="00BC4893"/>
    <w:rsid w:val="00BC4B6A"/>
    <w:rsid w:val="00BC4C09"/>
    <w:rsid w:val="00BC54C0"/>
    <w:rsid w:val="00BC550A"/>
    <w:rsid w:val="00BC55C8"/>
    <w:rsid w:val="00BC56CF"/>
    <w:rsid w:val="00BC59D5"/>
    <w:rsid w:val="00BC5D43"/>
    <w:rsid w:val="00BC5F6F"/>
    <w:rsid w:val="00BC619D"/>
    <w:rsid w:val="00BC61B4"/>
    <w:rsid w:val="00BC6223"/>
    <w:rsid w:val="00BC62AC"/>
    <w:rsid w:val="00BC655B"/>
    <w:rsid w:val="00BC6682"/>
    <w:rsid w:val="00BC66FA"/>
    <w:rsid w:val="00BC67FC"/>
    <w:rsid w:val="00BC6995"/>
    <w:rsid w:val="00BC6AD4"/>
    <w:rsid w:val="00BC6B27"/>
    <w:rsid w:val="00BC6C15"/>
    <w:rsid w:val="00BC6DED"/>
    <w:rsid w:val="00BC6F1A"/>
    <w:rsid w:val="00BC6F8D"/>
    <w:rsid w:val="00BC7000"/>
    <w:rsid w:val="00BC71F8"/>
    <w:rsid w:val="00BC7382"/>
    <w:rsid w:val="00BC7625"/>
    <w:rsid w:val="00BC762F"/>
    <w:rsid w:val="00BC76C7"/>
    <w:rsid w:val="00BC7710"/>
    <w:rsid w:val="00BC7793"/>
    <w:rsid w:val="00BC7D97"/>
    <w:rsid w:val="00BD0003"/>
    <w:rsid w:val="00BD0157"/>
    <w:rsid w:val="00BD0468"/>
    <w:rsid w:val="00BD0480"/>
    <w:rsid w:val="00BD04D1"/>
    <w:rsid w:val="00BD057E"/>
    <w:rsid w:val="00BD0604"/>
    <w:rsid w:val="00BD0ABB"/>
    <w:rsid w:val="00BD0B20"/>
    <w:rsid w:val="00BD0B5D"/>
    <w:rsid w:val="00BD0BDF"/>
    <w:rsid w:val="00BD11B6"/>
    <w:rsid w:val="00BD129D"/>
    <w:rsid w:val="00BD151A"/>
    <w:rsid w:val="00BD167F"/>
    <w:rsid w:val="00BD180D"/>
    <w:rsid w:val="00BD1BCD"/>
    <w:rsid w:val="00BD1D19"/>
    <w:rsid w:val="00BD1D31"/>
    <w:rsid w:val="00BD1DF6"/>
    <w:rsid w:val="00BD1EEB"/>
    <w:rsid w:val="00BD1F56"/>
    <w:rsid w:val="00BD2706"/>
    <w:rsid w:val="00BD280C"/>
    <w:rsid w:val="00BD2A7B"/>
    <w:rsid w:val="00BD2ABB"/>
    <w:rsid w:val="00BD2C22"/>
    <w:rsid w:val="00BD2D73"/>
    <w:rsid w:val="00BD2D82"/>
    <w:rsid w:val="00BD2EE2"/>
    <w:rsid w:val="00BD310F"/>
    <w:rsid w:val="00BD3153"/>
    <w:rsid w:val="00BD32FE"/>
    <w:rsid w:val="00BD345A"/>
    <w:rsid w:val="00BD355A"/>
    <w:rsid w:val="00BD35DA"/>
    <w:rsid w:val="00BD361F"/>
    <w:rsid w:val="00BD3726"/>
    <w:rsid w:val="00BD372D"/>
    <w:rsid w:val="00BD3A02"/>
    <w:rsid w:val="00BD3B80"/>
    <w:rsid w:val="00BD3BCB"/>
    <w:rsid w:val="00BD3D9F"/>
    <w:rsid w:val="00BD3DB1"/>
    <w:rsid w:val="00BD3E56"/>
    <w:rsid w:val="00BD3F69"/>
    <w:rsid w:val="00BD4022"/>
    <w:rsid w:val="00BD40A4"/>
    <w:rsid w:val="00BD435C"/>
    <w:rsid w:val="00BD44A4"/>
    <w:rsid w:val="00BD4645"/>
    <w:rsid w:val="00BD471D"/>
    <w:rsid w:val="00BD48B2"/>
    <w:rsid w:val="00BD4E15"/>
    <w:rsid w:val="00BD4F51"/>
    <w:rsid w:val="00BD4FAE"/>
    <w:rsid w:val="00BD531E"/>
    <w:rsid w:val="00BD531F"/>
    <w:rsid w:val="00BD5386"/>
    <w:rsid w:val="00BD53AF"/>
    <w:rsid w:val="00BD5527"/>
    <w:rsid w:val="00BD5584"/>
    <w:rsid w:val="00BD5AF6"/>
    <w:rsid w:val="00BD5B3F"/>
    <w:rsid w:val="00BD5BC2"/>
    <w:rsid w:val="00BD5D2A"/>
    <w:rsid w:val="00BD5E19"/>
    <w:rsid w:val="00BD668E"/>
    <w:rsid w:val="00BD69F2"/>
    <w:rsid w:val="00BD6B5C"/>
    <w:rsid w:val="00BD6CC2"/>
    <w:rsid w:val="00BD705C"/>
    <w:rsid w:val="00BD70D2"/>
    <w:rsid w:val="00BD7199"/>
    <w:rsid w:val="00BD727E"/>
    <w:rsid w:val="00BD72E8"/>
    <w:rsid w:val="00BD764B"/>
    <w:rsid w:val="00BD7669"/>
    <w:rsid w:val="00BD7740"/>
    <w:rsid w:val="00BD7E39"/>
    <w:rsid w:val="00BE0192"/>
    <w:rsid w:val="00BE0368"/>
    <w:rsid w:val="00BE0581"/>
    <w:rsid w:val="00BE05B4"/>
    <w:rsid w:val="00BE0654"/>
    <w:rsid w:val="00BE0710"/>
    <w:rsid w:val="00BE075A"/>
    <w:rsid w:val="00BE079B"/>
    <w:rsid w:val="00BE084B"/>
    <w:rsid w:val="00BE0880"/>
    <w:rsid w:val="00BE0D88"/>
    <w:rsid w:val="00BE0EAF"/>
    <w:rsid w:val="00BE1074"/>
    <w:rsid w:val="00BE158F"/>
    <w:rsid w:val="00BE15EF"/>
    <w:rsid w:val="00BE168D"/>
    <w:rsid w:val="00BE172E"/>
    <w:rsid w:val="00BE17D3"/>
    <w:rsid w:val="00BE1867"/>
    <w:rsid w:val="00BE1874"/>
    <w:rsid w:val="00BE18A9"/>
    <w:rsid w:val="00BE192A"/>
    <w:rsid w:val="00BE19C1"/>
    <w:rsid w:val="00BE1F6F"/>
    <w:rsid w:val="00BE21CD"/>
    <w:rsid w:val="00BE2357"/>
    <w:rsid w:val="00BE239A"/>
    <w:rsid w:val="00BE24BC"/>
    <w:rsid w:val="00BE2699"/>
    <w:rsid w:val="00BE2772"/>
    <w:rsid w:val="00BE27DD"/>
    <w:rsid w:val="00BE28EC"/>
    <w:rsid w:val="00BE296E"/>
    <w:rsid w:val="00BE2AB8"/>
    <w:rsid w:val="00BE2B9C"/>
    <w:rsid w:val="00BE2BA3"/>
    <w:rsid w:val="00BE2C53"/>
    <w:rsid w:val="00BE2CE8"/>
    <w:rsid w:val="00BE2D35"/>
    <w:rsid w:val="00BE2E54"/>
    <w:rsid w:val="00BE2F3C"/>
    <w:rsid w:val="00BE2F4C"/>
    <w:rsid w:val="00BE306F"/>
    <w:rsid w:val="00BE311F"/>
    <w:rsid w:val="00BE3141"/>
    <w:rsid w:val="00BE32AC"/>
    <w:rsid w:val="00BE3325"/>
    <w:rsid w:val="00BE33CA"/>
    <w:rsid w:val="00BE36B0"/>
    <w:rsid w:val="00BE36FD"/>
    <w:rsid w:val="00BE390B"/>
    <w:rsid w:val="00BE3AA9"/>
    <w:rsid w:val="00BE3ECA"/>
    <w:rsid w:val="00BE404B"/>
    <w:rsid w:val="00BE4050"/>
    <w:rsid w:val="00BE42AF"/>
    <w:rsid w:val="00BE434C"/>
    <w:rsid w:val="00BE44E2"/>
    <w:rsid w:val="00BE4728"/>
    <w:rsid w:val="00BE486C"/>
    <w:rsid w:val="00BE4CB3"/>
    <w:rsid w:val="00BE4D05"/>
    <w:rsid w:val="00BE4DC8"/>
    <w:rsid w:val="00BE4DCC"/>
    <w:rsid w:val="00BE4DFF"/>
    <w:rsid w:val="00BE4E40"/>
    <w:rsid w:val="00BE4E4D"/>
    <w:rsid w:val="00BE4E51"/>
    <w:rsid w:val="00BE526C"/>
    <w:rsid w:val="00BE5311"/>
    <w:rsid w:val="00BE53D9"/>
    <w:rsid w:val="00BE53FB"/>
    <w:rsid w:val="00BE54B3"/>
    <w:rsid w:val="00BE5BB1"/>
    <w:rsid w:val="00BE5BB6"/>
    <w:rsid w:val="00BE5D08"/>
    <w:rsid w:val="00BE61BE"/>
    <w:rsid w:val="00BE657D"/>
    <w:rsid w:val="00BE6759"/>
    <w:rsid w:val="00BE6809"/>
    <w:rsid w:val="00BE6937"/>
    <w:rsid w:val="00BE696E"/>
    <w:rsid w:val="00BE69C4"/>
    <w:rsid w:val="00BE6CB0"/>
    <w:rsid w:val="00BE6D7A"/>
    <w:rsid w:val="00BE6DA9"/>
    <w:rsid w:val="00BE6E78"/>
    <w:rsid w:val="00BE6EE2"/>
    <w:rsid w:val="00BE70AE"/>
    <w:rsid w:val="00BE7206"/>
    <w:rsid w:val="00BE73CE"/>
    <w:rsid w:val="00BE756D"/>
    <w:rsid w:val="00BE773F"/>
    <w:rsid w:val="00BE7779"/>
    <w:rsid w:val="00BE79D9"/>
    <w:rsid w:val="00BE7A49"/>
    <w:rsid w:val="00BE7A6E"/>
    <w:rsid w:val="00BE7B67"/>
    <w:rsid w:val="00BE7BF4"/>
    <w:rsid w:val="00BE7C93"/>
    <w:rsid w:val="00BE7CA0"/>
    <w:rsid w:val="00BE7CA5"/>
    <w:rsid w:val="00BE7E48"/>
    <w:rsid w:val="00BF0042"/>
    <w:rsid w:val="00BF02B3"/>
    <w:rsid w:val="00BF030E"/>
    <w:rsid w:val="00BF0341"/>
    <w:rsid w:val="00BF04B6"/>
    <w:rsid w:val="00BF0515"/>
    <w:rsid w:val="00BF053F"/>
    <w:rsid w:val="00BF0701"/>
    <w:rsid w:val="00BF0959"/>
    <w:rsid w:val="00BF09C0"/>
    <w:rsid w:val="00BF0AB2"/>
    <w:rsid w:val="00BF0B6E"/>
    <w:rsid w:val="00BF0BC5"/>
    <w:rsid w:val="00BF0C65"/>
    <w:rsid w:val="00BF0CC8"/>
    <w:rsid w:val="00BF0D5B"/>
    <w:rsid w:val="00BF0FA1"/>
    <w:rsid w:val="00BF11BE"/>
    <w:rsid w:val="00BF12F3"/>
    <w:rsid w:val="00BF13F8"/>
    <w:rsid w:val="00BF14E5"/>
    <w:rsid w:val="00BF15FA"/>
    <w:rsid w:val="00BF1718"/>
    <w:rsid w:val="00BF1835"/>
    <w:rsid w:val="00BF1A2C"/>
    <w:rsid w:val="00BF1AA3"/>
    <w:rsid w:val="00BF1B72"/>
    <w:rsid w:val="00BF1C61"/>
    <w:rsid w:val="00BF1CAB"/>
    <w:rsid w:val="00BF1F1C"/>
    <w:rsid w:val="00BF1FA7"/>
    <w:rsid w:val="00BF203E"/>
    <w:rsid w:val="00BF209A"/>
    <w:rsid w:val="00BF213F"/>
    <w:rsid w:val="00BF2266"/>
    <w:rsid w:val="00BF24C9"/>
    <w:rsid w:val="00BF27FE"/>
    <w:rsid w:val="00BF29E0"/>
    <w:rsid w:val="00BF2A85"/>
    <w:rsid w:val="00BF2B34"/>
    <w:rsid w:val="00BF2B58"/>
    <w:rsid w:val="00BF2C8D"/>
    <w:rsid w:val="00BF2DE5"/>
    <w:rsid w:val="00BF2E87"/>
    <w:rsid w:val="00BF2FF0"/>
    <w:rsid w:val="00BF3243"/>
    <w:rsid w:val="00BF329E"/>
    <w:rsid w:val="00BF32DC"/>
    <w:rsid w:val="00BF334B"/>
    <w:rsid w:val="00BF34B8"/>
    <w:rsid w:val="00BF3771"/>
    <w:rsid w:val="00BF392E"/>
    <w:rsid w:val="00BF3991"/>
    <w:rsid w:val="00BF3A75"/>
    <w:rsid w:val="00BF3B34"/>
    <w:rsid w:val="00BF3CE0"/>
    <w:rsid w:val="00BF3D0B"/>
    <w:rsid w:val="00BF3EE3"/>
    <w:rsid w:val="00BF3F7E"/>
    <w:rsid w:val="00BF405E"/>
    <w:rsid w:val="00BF419A"/>
    <w:rsid w:val="00BF4373"/>
    <w:rsid w:val="00BF439F"/>
    <w:rsid w:val="00BF4463"/>
    <w:rsid w:val="00BF459C"/>
    <w:rsid w:val="00BF469D"/>
    <w:rsid w:val="00BF4753"/>
    <w:rsid w:val="00BF47E9"/>
    <w:rsid w:val="00BF48B3"/>
    <w:rsid w:val="00BF4A7A"/>
    <w:rsid w:val="00BF4AA1"/>
    <w:rsid w:val="00BF4ADA"/>
    <w:rsid w:val="00BF4D8D"/>
    <w:rsid w:val="00BF4F7A"/>
    <w:rsid w:val="00BF51C6"/>
    <w:rsid w:val="00BF53C9"/>
    <w:rsid w:val="00BF53F6"/>
    <w:rsid w:val="00BF5972"/>
    <w:rsid w:val="00BF5D5E"/>
    <w:rsid w:val="00BF5F20"/>
    <w:rsid w:val="00BF611F"/>
    <w:rsid w:val="00BF61FF"/>
    <w:rsid w:val="00BF636D"/>
    <w:rsid w:val="00BF64F3"/>
    <w:rsid w:val="00BF659C"/>
    <w:rsid w:val="00BF6841"/>
    <w:rsid w:val="00BF69C0"/>
    <w:rsid w:val="00BF6ACD"/>
    <w:rsid w:val="00BF6B38"/>
    <w:rsid w:val="00BF6CC4"/>
    <w:rsid w:val="00BF6D1F"/>
    <w:rsid w:val="00BF6ED6"/>
    <w:rsid w:val="00BF7141"/>
    <w:rsid w:val="00BF7142"/>
    <w:rsid w:val="00BF7226"/>
    <w:rsid w:val="00BF7304"/>
    <w:rsid w:val="00BF7384"/>
    <w:rsid w:val="00BF79C8"/>
    <w:rsid w:val="00BF7DDB"/>
    <w:rsid w:val="00BF7E36"/>
    <w:rsid w:val="00BF7EA7"/>
    <w:rsid w:val="00BF7F0D"/>
    <w:rsid w:val="00C00023"/>
    <w:rsid w:val="00C001C4"/>
    <w:rsid w:val="00C00600"/>
    <w:rsid w:val="00C0092F"/>
    <w:rsid w:val="00C00A3D"/>
    <w:rsid w:val="00C00F32"/>
    <w:rsid w:val="00C00F3A"/>
    <w:rsid w:val="00C011BD"/>
    <w:rsid w:val="00C0122B"/>
    <w:rsid w:val="00C0124B"/>
    <w:rsid w:val="00C01296"/>
    <w:rsid w:val="00C0135E"/>
    <w:rsid w:val="00C013B0"/>
    <w:rsid w:val="00C01407"/>
    <w:rsid w:val="00C01458"/>
    <w:rsid w:val="00C01926"/>
    <w:rsid w:val="00C0193C"/>
    <w:rsid w:val="00C0198A"/>
    <w:rsid w:val="00C01A25"/>
    <w:rsid w:val="00C01AD1"/>
    <w:rsid w:val="00C01AEB"/>
    <w:rsid w:val="00C01B19"/>
    <w:rsid w:val="00C01CB4"/>
    <w:rsid w:val="00C022F9"/>
    <w:rsid w:val="00C0256A"/>
    <w:rsid w:val="00C02577"/>
    <w:rsid w:val="00C027A7"/>
    <w:rsid w:val="00C02A32"/>
    <w:rsid w:val="00C02BA7"/>
    <w:rsid w:val="00C02C4C"/>
    <w:rsid w:val="00C02C93"/>
    <w:rsid w:val="00C02D7D"/>
    <w:rsid w:val="00C02F62"/>
    <w:rsid w:val="00C030EB"/>
    <w:rsid w:val="00C032CD"/>
    <w:rsid w:val="00C03480"/>
    <w:rsid w:val="00C0351A"/>
    <w:rsid w:val="00C036E9"/>
    <w:rsid w:val="00C03784"/>
    <w:rsid w:val="00C0394E"/>
    <w:rsid w:val="00C03998"/>
    <w:rsid w:val="00C03D7D"/>
    <w:rsid w:val="00C03E2B"/>
    <w:rsid w:val="00C03E59"/>
    <w:rsid w:val="00C03FEF"/>
    <w:rsid w:val="00C040E2"/>
    <w:rsid w:val="00C04153"/>
    <w:rsid w:val="00C041F3"/>
    <w:rsid w:val="00C0423A"/>
    <w:rsid w:val="00C046E0"/>
    <w:rsid w:val="00C048A9"/>
    <w:rsid w:val="00C0496C"/>
    <w:rsid w:val="00C04AD3"/>
    <w:rsid w:val="00C04CB3"/>
    <w:rsid w:val="00C04CE2"/>
    <w:rsid w:val="00C04FFB"/>
    <w:rsid w:val="00C05210"/>
    <w:rsid w:val="00C05315"/>
    <w:rsid w:val="00C0535B"/>
    <w:rsid w:val="00C0546E"/>
    <w:rsid w:val="00C0570D"/>
    <w:rsid w:val="00C05990"/>
    <w:rsid w:val="00C059E3"/>
    <w:rsid w:val="00C05BBE"/>
    <w:rsid w:val="00C05BF0"/>
    <w:rsid w:val="00C05CDD"/>
    <w:rsid w:val="00C05F2C"/>
    <w:rsid w:val="00C05F4E"/>
    <w:rsid w:val="00C061F6"/>
    <w:rsid w:val="00C064A4"/>
    <w:rsid w:val="00C0657E"/>
    <w:rsid w:val="00C066B6"/>
    <w:rsid w:val="00C066CB"/>
    <w:rsid w:val="00C067E0"/>
    <w:rsid w:val="00C06948"/>
    <w:rsid w:val="00C06951"/>
    <w:rsid w:val="00C06A1E"/>
    <w:rsid w:val="00C06AE0"/>
    <w:rsid w:val="00C06B65"/>
    <w:rsid w:val="00C06D44"/>
    <w:rsid w:val="00C06E44"/>
    <w:rsid w:val="00C0701E"/>
    <w:rsid w:val="00C07098"/>
    <w:rsid w:val="00C0723A"/>
    <w:rsid w:val="00C07264"/>
    <w:rsid w:val="00C07277"/>
    <w:rsid w:val="00C0739A"/>
    <w:rsid w:val="00C07584"/>
    <w:rsid w:val="00C0794A"/>
    <w:rsid w:val="00C07993"/>
    <w:rsid w:val="00C07AC7"/>
    <w:rsid w:val="00C07B8C"/>
    <w:rsid w:val="00C07DEA"/>
    <w:rsid w:val="00C07DF3"/>
    <w:rsid w:val="00C07F1E"/>
    <w:rsid w:val="00C07F76"/>
    <w:rsid w:val="00C102AC"/>
    <w:rsid w:val="00C103E7"/>
    <w:rsid w:val="00C10440"/>
    <w:rsid w:val="00C1056F"/>
    <w:rsid w:val="00C10983"/>
    <w:rsid w:val="00C10AAC"/>
    <w:rsid w:val="00C10BFE"/>
    <w:rsid w:val="00C10CA9"/>
    <w:rsid w:val="00C10DCF"/>
    <w:rsid w:val="00C10EFD"/>
    <w:rsid w:val="00C10F01"/>
    <w:rsid w:val="00C1102B"/>
    <w:rsid w:val="00C11090"/>
    <w:rsid w:val="00C1111B"/>
    <w:rsid w:val="00C11167"/>
    <w:rsid w:val="00C11284"/>
    <w:rsid w:val="00C11294"/>
    <w:rsid w:val="00C11315"/>
    <w:rsid w:val="00C113DF"/>
    <w:rsid w:val="00C11A66"/>
    <w:rsid w:val="00C11BE8"/>
    <w:rsid w:val="00C11BEA"/>
    <w:rsid w:val="00C11CA3"/>
    <w:rsid w:val="00C11D67"/>
    <w:rsid w:val="00C1228E"/>
    <w:rsid w:val="00C1261D"/>
    <w:rsid w:val="00C127C0"/>
    <w:rsid w:val="00C12C65"/>
    <w:rsid w:val="00C13067"/>
    <w:rsid w:val="00C131CE"/>
    <w:rsid w:val="00C1332B"/>
    <w:rsid w:val="00C1345C"/>
    <w:rsid w:val="00C13473"/>
    <w:rsid w:val="00C135CC"/>
    <w:rsid w:val="00C136B1"/>
    <w:rsid w:val="00C138EA"/>
    <w:rsid w:val="00C13ACB"/>
    <w:rsid w:val="00C13B7D"/>
    <w:rsid w:val="00C13BE9"/>
    <w:rsid w:val="00C13CE2"/>
    <w:rsid w:val="00C144B6"/>
    <w:rsid w:val="00C144D4"/>
    <w:rsid w:val="00C144E4"/>
    <w:rsid w:val="00C14538"/>
    <w:rsid w:val="00C145A1"/>
    <w:rsid w:val="00C148CC"/>
    <w:rsid w:val="00C148DC"/>
    <w:rsid w:val="00C14977"/>
    <w:rsid w:val="00C14A27"/>
    <w:rsid w:val="00C14EDA"/>
    <w:rsid w:val="00C14FB7"/>
    <w:rsid w:val="00C15184"/>
    <w:rsid w:val="00C152AA"/>
    <w:rsid w:val="00C152ED"/>
    <w:rsid w:val="00C15727"/>
    <w:rsid w:val="00C15762"/>
    <w:rsid w:val="00C159BD"/>
    <w:rsid w:val="00C15C20"/>
    <w:rsid w:val="00C15CA6"/>
    <w:rsid w:val="00C15E84"/>
    <w:rsid w:val="00C15EA0"/>
    <w:rsid w:val="00C16123"/>
    <w:rsid w:val="00C1615B"/>
    <w:rsid w:val="00C1630A"/>
    <w:rsid w:val="00C1674E"/>
    <w:rsid w:val="00C169CE"/>
    <w:rsid w:val="00C16AA7"/>
    <w:rsid w:val="00C16BF7"/>
    <w:rsid w:val="00C16CAE"/>
    <w:rsid w:val="00C16EC6"/>
    <w:rsid w:val="00C16EED"/>
    <w:rsid w:val="00C173EC"/>
    <w:rsid w:val="00C1747E"/>
    <w:rsid w:val="00C175A5"/>
    <w:rsid w:val="00C17A1B"/>
    <w:rsid w:val="00C17B83"/>
    <w:rsid w:val="00C17BBE"/>
    <w:rsid w:val="00C17FCC"/>
    <w:rsid w:val="00C20142"/>
    <w:rsid w:val="00C20157"/>
    <w:rsid w:val="00C20296"/>
    <w:rsid w:val="00C20513"/>
    <w:rsid w:val="00C20683"/>
    <w:rsid w:val="00C2071A"/>
    <w:rsid w:val="00C20850"/>
    <w:rsid w:val="00C20882"/>
    <w:rsid w:val="00C20C1B"/>
    <w:rsid w:val="00C20CD5"/>
    <w:rsid w:val="00C20D93"/>
    <w:rsid w:val="00C20EDE"/>
    <w:rsid w:val="00C210EE"/>
    <w:rsid w:val="00C211E1"/>
    <w:rsid w:val="00C215C8"/>
    <w:rsid w:val="00C219A1"/>
    <w:rsid w:val="00C21B72"/>
    <w:rsid w:val="00C21F3B"/>
    <w:rsid w:val="00C22139"/>
    <w:rsid w:val="00C22165"/>
    <w:rsid w:val="00C222DC"/>
    <w:rsid w:val="00C22335"/>
    <w:rsid w:val="00C224B0"/>
    <w:rsid w:val="00C224E4"/>
    <w:rsid w:val="00C22807"/>
    <w:rsid w:val="00C2285A"/>
    <w:rsid w:val="00C228E2"/>
    <w:rsid w:val="00C22AC3"/>
    <w:rsid w:val="00C22B6B"/>
    <w:rsid w:val="00C22C12"/>
    <w:rsid w:val="00C22D55"/>
    <w:rsid w:val="00C22E0C"/>
    <w:rsid w:val="00C22E49"/>
    <w:rsid w:val="00C22E8B"/>
    <w:rsid w:val="00C22F14"/>
    <w:rsid w:val="00C231D8"/>
    <w:rsid w:val="00C234F6"/>
    <w:rsid w:val="00C2354A"/>
    <w:rsid w:val="00C238D0"/>
    <w:rsid w:val="00C239F0"/>
    <w:rsid w:val="00C23E47"/>
    <w:rsid w:val="00C23E7F"/>
    <w:rsid w:val="00C23F08"/>
    <w:rsid w:val="00C23FF4"/>
    <w:rsid w:val="00C24098"/>
    <w:rsid w:val="00C2466C"/>
    <w:rsid w:val="00C246CB"/>
    <w:rsid w:val="00C2496F"/>
    <w:rsid w:val="00C24DB2"/>
    <w:rsid w:val="00C250B5"/>
    <w:rsid w:val="00C251DC"/>
    <w:rsid w:val="00C252F4"/>
    <w:rsid w:val="00C25B39"/>
    <w:rsid w:val="00C25DFF"/>
    <w:rsid w:val="00C25E6C"/>
    <w:rsid w:val="00C26068"/>
    <w:rsid w:val="00C260A1"/>
    <w:rsid w:val="00C2624A"/>
    <w:rsid w:val="00C2637E"/>
    <w:rsid w:val="00C26618"/>
    <w:rsid w:val="00C26738"/>
    <w:rsid w:val="00C26960"/>
    <w:rsid w:val="00C26A80"/>
    <w:rsid w:val="00C26ABA"/>
    <w:rsid w:val="00C26E19"/>
    <w:rsid w:val="00C270A0"/>
    <w:rsid w:val="00C273C4"/>
    <w:rsid w:val="00C27482"/>
    <w:rsid w:val="00C2752F"/>
    <w:rsid w:val="00C2769D"/>
    <w:rsid w:val="00C278A4"/>
    <w:rsid w:val="00C27916"/>
    <w:rsid w:val="00C2798F"/>
    <w:rsid w:val="00C279A9"/>
    <w:rsid w:val="00C27B17"/>
    <w:rsid w:val="00C27C62"/>
    <w:rsid w:val="00C27C9D"/>
    <w:rsid w:val="00C27E18"/>
    <w:rsid w:val="00C30045"/>
    <w:rsid w:val="00C30069"/>
    <w:rsid w:val="00C3036F"/>
    <w:rsid w:val="00C304D9"/>
    <w:rsid w:val="00C30590"/>
    <w:rsid w:val="00C308B8"/>
    <w:rsid w:val="00C30BA3"/>
    <w:rsid w:val="00C30CD4"/>
    <w:rsid w:val="00C310EC"/>
    <w:rsid w:val="00C3114B"/>
    <w:rsid w:val="00C31214"/>
    <w:rsid w:val="00C312E5"/>
    <w:rsid w:val="00C31310"/>
    <w:rsid w:val="00C3152B"/>
    <w:rsid w:val="00C31548"/>
    <w:rsid w:val="00C31613"/>
    <w:rsid w:val="00C318AE"/>
    <w:rsid w:val="00C319E1"/>
    <w:rsid w:val="00C31A27"/>
    <w:rsid w:val="00C31D81"/>
    <w:rsid w:val="00C31F7E"/>
    <w:rsid w:val="00C32130"/>
    <w:rsid w:val="00C32184"/>
    <w:rsid w:val="00C32243"/>
    <w:rsid w:val="00C322E2"/>
    <w:rsid w:val="00C3231F"/>
    <w:rsid w:val="00C323AE"/>
    <w:rsid w:val="00C32585"/>
    <w:rsid w:val="00C32632"/>
    <w:rsid w:val="00C32849"/>
    <w:rsid w:val="00C32851"/>
    <w:rsid w:val="00C32A00"/>
    <w:rsid w:val="00C32A2A"/>
    <w:rsid w:val="00C32A9D"/>
    <w:rsid w:val="00C32BA5"/>
    <w:rsid w:val="00C32C0C"/>
    <w:rsid w:val="00C32C5F"/>
    <w:rsid w:val="00C32C7B"/>
    <w:rsid w:val="00C32DAF"/>
    <w:rsid w:val="00C32ED9"/>
    <w:rsid w:val="00C32F06"/>
    <w:rsid w:val="00C3308A"/>
    <w:rsid w:val="00C3310F"/>
    <w:rsid w:val="00C33150"/>
    <w:rsid w:val="00C33648"/>
    <w:rsid w:val="00C3370E"/>
    <w:rsid w:val="00C3381F"/>
    <w:rsid w:val="00C33917"/>
    <w:rsid w:val="00C33B1A"/>
    <w:rsid w:val="00C33C1E"/>
    <w:rsid w:val="00C33D05"/>
    <w:rsid w:val="00C33D6D"/>
    <w:rsid w:val="00C33DA6"/>
    <w:rsid w:val="00C33E3B"/>
    <w:rsid w:val="00C33F09"/>
    <w:rsid w:val="00C34031"/>
    <w:rsid w:val="00C3406D"/>
    <w:rsid w:val="00C3422A"/>
    <w:rsid w:val="00C3440E"/>
    <w:rsid w:val="00C344F0"/>
    <w:rsid w:val="00C34518"/>
    <w:rsid w:val="00C34644"/>
    <w:rsid w:val="00C34832"/>
    <w:rsid w:val="00C348FA"/>
    <w:rsid w:val="00C349B5"/>
    <w:rsid w:val="00C34BA3"/>
    <w:rsid w:val="00C34C34"/>
    <w:rsid w:val="00C34EB5"/>
    <w:rsid w:val="00C34F00"/>
    <w:rsid w:val="00C35076"/>
    <w:rsid w:val="00C35110"/>
    <w:rsid w:val="00C3516F"/>
    <w:rsid w:val="00C3522D"/>
    <w:rsid w:val="00C353F3"/>
    <w:rsid w:val="00C3548B"/>
    <w:rsid w:val="00C3555B"/>
    <w:rsid w:val="00C355AC"/>
    <w:rsid w:val="00C35635"/>
    <w:rsid w:val="00C35637"/>
    <w:rsid w:val="00C35777"/>
    <w:rsid w:val="00C35793"/>
    <w:rsid w:val="00C358E0"/>
    <w:rsid w:val="00C35BAC"/>
    <w:rsid w:val="00C35C31"/>
    <w:rsid w:val="00C35CFE"/>
    <w:rsid w:val="00C35D69"/>
    <w:rsid w:val="00C35FD5"/>
    <w:rsid w:val="00C36045"/>
    <w:rsid w:val="00C3608A"/>
    <w:rsid w:val="00C3648C"/>
    <w:rsid w:val="00C365F8"/>
    <w:rsid w:val="00C3661C"/>
    <w:rsid w:val="00C366AD"/>
    <w:rsid w:val="00C36859"/>
    <w:rsid w:val="00C36909"/>
    <w:rsid w:val="00C36A40"/>
    <w:rsid w:val="00C36B74"/>
    <w:rsid w:val="00C36B97"/>
    <w:rsid w:val="00C3701B"/>
    <w:rsid w:val="00C3741E"/>
    <w:rsid w:val="00C37603"/>
    <w:rsid w:val="00C377F5"/>
    <w:rsid w:val="00C379AB"/>
    <w:rsid w:val="00C37C6E"/>
    <w:rsid w:val="00C37C8F"/>
    <w:rsid w:val="00C37DFE"/>
    <w:rsid w:val="00C40085"/>
    <w:rsid w:val="00C402DC"/>
    <w:rsid w:val="00C40567"/>
    <w:rsid w:val="00C407E8"/>
    <w:rsid w:val="00C4084D"/>
    <w:rsid w:val="00C4088F"/>
    <w:rsid w:val="00C409A7"/>
    <w:rsid w:val="00C410BA"/>
    <w:rsid w:val="00C411A8"/>
    <w:rsid w:val="00C4129F"/>
    <w:rsid w:val="00C415D7"/>
    <w:rsid w:val="00C4171A"/>
    <w:rsid w:val="00C41739"/>
    <w:rsid w:val="00C41A0B"/>
    <w:rsid w:val="00C41B35"/>
    <w:rsid w:val="00C41C0B"/>
    <w:rsid w:val="00C41C35"/>
    <w:rsid w:val="00C41CF2"/>
    <w:rsid w:val="00C42165"/>
    <w:rsid w:val="00C4234C"/>
    <w:rsid w:val="00C423EA"/>
    <w:rsid w:val="00C4265C"/>
    <w:rsid w:val="00C428EF"/>
    <w:rsid w:val="00C42A50"/>
    <w:rsid w:val="00C42B0B"/>
    <w:rsid w:val="00C42BC1"/>
    <w:rsid w:val="00C42CC4"/>
    <w:rsid w:val="00C42D23"/>
    <w:rsid w:val="00C43235"/>
    <w:rsid w:val="00C43314"/>
    <w:rsid w:val="00C433BD"/>
    <w:rsid w:val="00C43495"/>
    <w:rsid w:val="00C435C9"/>
    <w:rsid w:val="00C43627"/>
    <w:rsid w:val="00C437DF"/>
    <w:rsid w:val="00C439BF"/>
    <w:rsid w:val="00C43B07"/>
    <w:rsid w:val="00C43B94"/>
    <w:rsid w:val="00C43C78"/>
    <w:rsid w:val="00C43D30"/>
    <w:rsid w:val="00C43DFA"/>
    <w:rsid w:val="00C43E4A"/>
    <w:rsid w:val="00C43E85"/>
    <w:rsid w:val="00C43F5D"/>
    <w:rsid w:val="00C440EE"/>
    <w:rsid w:val="00C4412E"/>
    <w:rsid w:val="00C44279"/>
    <w:rsid w:val="00C44633"/>
    <w:rsid w:val="00C44672"/>
    <w:rsid w:val="00C44708"/>
    <w:rsid w:val="00C44793"/>
    <w:rsid w:val="00C447C5"/>
    <w:rsid w:val="00C44887"/>
    <w:rsid w:val="00C44A94"/>
    <w:rsid w:val="00C44AA7"/>
    <w:rsid w:val="00C44C03"/>
    <w:rsid w:val="00C44C5A"/>
    <w:rsid w:val="00C44D6D"/>
    <w:rsid w:val="00C451C6"/>
    <w:rsid w:val="00C4520E"/>
    <w:rsid w:val="00C45376"/>
    <w:rsid w:val="00C4538D"/>
    <w:rsid w:val="00C456CE"/>
    <w:rsid w:val="00C45A7C"/>
    <w:rsid w:val="00C45DE0"/>
    <w:rsid w:val="00C45F7E"/>
    <w:rsid w:val="00C45F97"/>
    <w:rsid w:val="00C4607A"/>
    <w:rsid w:val="00C4623E"/>
    <w:rsid w:val="00C46380"/>
    <w:rsid w:val="00C463C5"/>
    <w:rsid w:val="00C463F6"/>
    <w:rsid w:val="00C46599"/>
    <w:rsid w:val="00C465F4"/>
    <w:rsid w:val="00C467F7"/>
    <w:rsid w:val="00C46ADB"/>
    <w:rsid w:val="00C46C4A"/>
    <w:rsid w:val="00C46E10"/>
    <w:rsid w:val="00C46F63"/>
    <w:rsid w:val="00C4707E"/>
    <w:rsid w:val="00C47208"/>
    <w:rsid w:val="00C4754E"/>
    <w:rsid w:val="00C475AF"/>
    <w:rsid w:val="00C47794"/>
    <w:rsid w:val="00C4783E"/>
    <w:rsid w:val="00C4791A"/>
    <w:rsid w:val="00C47986"/>
    <w:rsid w:val="00C479A1"/>
    <w:rsid w:val="00C47A62"/>
    <w:rsid w:val="00C47A72"/>
    <w:rsid w:val="00C47BA7"/>
    <w:rsid w:val="00C47D2B"/>
    <w:rsid w:val="00C47D81"/>
    <w:rsid w:val="00C47F14"/>
    <w:rsid w:val="00C47F8E"/>
    <w:rsid w:val="00C5015A"/>
    <w:rsid w:val="00C50488"/>
    <w:rsid w:val="00C50527"/>
    <w:rsid w:val="00C50828"/>
    <w:rsid w:val="00C509CD"/>
    <w:rsid w:val="00C50C0C"/>
    <w:rsid w:val="00C50E39"/>
    <w:rsid w:val="00C50F16"/>
    <w:rsid w:val="00C51724"/>
    <w:rsid w:val="00C51917"/>
    <w:rsid w:val="00C51B97"/>
    <w:rsid w:val="00C51D6D"/>
    <w:rsid w:val="00C51E30"/>
    <w:rsid w:val="00C5209C"/>
    <w:rsid w:val="00C5265F"/>
    <w:rsid w:val="00C5275F"/>
    <w:rsid w:val="00C52960"/>
    <w:rsid w:val="00C52A24"/>
    <w:rsid w:val="00C52A47"/>
    <w:rsid w:val="00C53104"/>
    <w:rsid w:val="00C5310E"/>
    <w:rsid w:val="00C5310F"/>
    <w:rsid w:val="00C53167"/>
    <w:rsid w:val="00C5335D"/>
    <w:rsid w:val="00C533E3"/>
    <w:rsid w:val="00C534CA"/>
    <w:rsid w:val="00C5365A"/>
    <w:rsid w:val="00C53868"/>
    <w:rsid w:val="00C53895"/>
    <w:rsid w:val="00C5389A"/>
    <w:rsid w:val="00C539CF"/>
    <w:rsid w:val="00C53D93"/>
    <w:rsid w:val="00C53DBA"/>
    <w:rsid w:val="00C53E55"/>
    <w:rsid w:val="00C53FBD"/>
    <w:rsid w:val="00C540AA"/>
    <w:rsid w:val="00C542B6"/>
    <w:rsid w:val="00C54346"/>
    <w:rsid w:val="00C54384"/>
    <w:rsid w:val="00C54860"/>
    <w:rsid w:val="00C54883"/>
    <w:rsid w:val="00C548BB"/>
    <w:rsid w:val="00C54990"/>
    <w:rsid w:val="00C549CC"/>
    <w:rsid w:val="00C54A74"/>
    <w:rsid w:val="00C54BD2"/>
    <w:rsid w:val="00C54C27"/>
    <w:rsid w:val="00C54CFF"/>
    <w:rsid w:val="00C54DF4"/>
    <w:rsid w:val="00C54F7F"/>
    <w:rsid w:val="00C552CF"/>
    <w:rsid w:val="00C55340"/>
    <w:rsid w:val="00C55452"/>
    <w:rsid w:val="00C554F2"/>
    <w:rsid w:val="00C55638"/>
    <w:rsid w:val="00C55721"/>
    <w:rsid w:val="00C55A9D"/>
    <w:rsid w:val="00C55EF8"/>
    <w:rsid w:val="00C55F72"/>
    <w:rsid w:val="00C56003"/>
    <w:rsid w:val="00C562DB"/>
    <w:rsid w:val="00C56328"/>
    <w:rsid w:val="00C56609"/>
    <w:rsid w:val="00C566BD"/>
    <w:rsid w:val="00C56744"/>
    <w:rsid w:val="00C5687A"/>
    <w:rsid w:val="00C568A4"/>
    <w:rsid w:val="00C568B0"/>
    <w:rsid w:val="00C569BC"/>
    <w:rsid w:val="00C569EE"/>
    <w:rsid w:val="00C56B9C"/>
    <w:rsid w:val="00C56C39"/>
    <w:rsid w:val="00C56D99"/>
    <w:rsid w:val="00C570DC"/>
    <w:rsid w:val="00C57227"/>
    <w:rsid w:val="00C57323"/>
    <w:rsid w:val="00C57389"/>
    <w:rsid w:val="00C573B7"/>
    <w:rsid w:val="00C5743D"/>
    <w:rsid w:val="00C57447"/>
    <w:rsid w:val="00C57989"/>
    <w:rsid w:val="00C57B77"/>
    <w:rsid w:val="00C57B9F"/>
    <w:rsid w:val="00C57C9A"/>
    <w:rsid w:val="00C57DBA"/>
    <w:rsid w:val="00C57DD8"/>
    <w:rsid w:val="00C57F77"/>
    <w:rsid w:val="00C60007"/>
    <w:rsid w:val="00C600AA"/>
    <w:rsid w:val="00C6031B"/>
    <w:rsid w:val="00C604F5"/>
    <w:rsid w:val="00C605CE"/>
    <w:rsid w:val="00C60672"/>
    <w:rsid w:val="00C607FD"/>
    <w:rsid w:val="00C608F9"/>
    <w:rsid w:val="00C60AAA"/>
    <w:rsid w:val="00C60E21"/>
    <w:rsid w:val="00C611D4"/>
    <w:rsid w:val="00C61349"/>
    <w:rsid w:val="00C61369"/>
    <w:rsid w:val="00C614BC"/>
    <w:rsid w:val="00C614CA"/>
    <w:rsid w:val="00C6154D"/>
    <w:rsid w:val="00C615A0"/>
    <w:rsid w:val="00C617EE"/>
    <w:rsid w:val="00C619DE"/>
    <w:rsid w:val="00C61A56"/>
    <w:rsid w:val="00C61A89"/>
    <w:rsid w:val="00C61AF3"/>
    <w:rsid w:val="00C622AF"/>
    <w:rsid w:val="00C622FB"/>
    <w:rsid w:val="00C626D7"/>
    <w:rsid w:val="00C6298E"/>
    <w:rsid w:val="00C62BC6"/>
    <w:rsid w:val="00C62F04"/>
    <w:rsid w:val="00C631B8"/>
    <w:rsid w:val="00C63425"/>
    <w:rsid w:val="00C63588"/>
    <w:rsid w:val="00C635C7"/>
    <w:rsid w:val="00C63712"/>
    <w:rsid w:val="00C63759"/>
    <w:rsid w:val="00C637D0"/>
    <w:rsid w:val="00C63FB0"/>
    <w:rsid w:val="00C642AA"/>
    <w:rsid w:val="00C643C1"/>
    <w:rsid w:val="00C64836"/>
    <w:rsid w:val="00C64EE7"/>
    <w:rsid w:val="00C65080"/>
    <w:rsid w:val="00C652B1"/>
    <w:rsid w:val="00C652EA"/>
    <w:rsid w:val="00C6550C"/>
    <w:rsid w:val="00C65540"/>
    <w:rsid w:val="00C65570"/>
    <w:rsid w:val="00C655D3"/>
    <w:rsid w:val="00C65739"/>
    <w:rsid w:val="00C65850"/>
    <w:rsid w:val="00C6587F"/>
    <w:rsid w:val="00C65955"/>
    <w:rsid w:val="00C65BC0"/>
    <w:rsid w:val="00C65E38"/>
    <w:rsid w:val="00C65EDB"/>
    <w:rsid w:val="00C65F63"/>
    <w:rsid w:val="00C66349"/>
    <w:rsid w:val="00C6641E"/>
    <w:rsid w:val="00C6653A"/>
    <w:rsid w:val="00C666D5"/>
    <w:rsid w:val="00C66908"/>
    <w:rsid w:val="00C66993"/>
    <w:rsid w:val="00C669D8"/>
    <w:rsid w:val="00C66A14"/>
    <w:rsid w:val="00C66CFF"/>
    <w:rsid w:val="00C66DD5"/>
    <w:rsid w:val="00C66E5E"/>
    <w:rsid w:val="00C66EBD"/>
    <w:rsid w:val="00C66FD8"/>
    <w:rsid w:val="00C6726A"/>
    <w:rsid w:val="00C6773A"/>
    <w:rsid w:val="00C67796"/>
    <w:rsid w:val="00C6790C"/>
    <w:rsid w:val="00C67B17"/>
    <w:rsid w:val="00C67F9E"/>
    <w:rsid w:val="00C67FDC"/>
    <w:rsid w:val="00C70016"/>
    <w:rsid w:val="00C7006A"/>
    <w:rsid w:val="00C700F4"/>
    <w:rsid w:val="00C70188"/>
    <w:rsid w:val="00C70300"/>
    <w:rsid w:val="00C7048F"/>
    <w:rsid w:val="00C70A22"/>
    <w:rsid w:val="00C70A87"/>
    <w:rsid w:val="00C70AD6"/>
    <w:rsid w:val="00C70C13"/>
    <w:rsid w:val="00C710FB"/>
    <w:rsid w:val="00C711BF"/>
    <w:rsid w:val="00C71266"/>
    <w:rsid w:val="00C71705"/>
    <w:rsid w:val="00C71A22"/>
    <w:rsid w:val="00C71AC7"/>
    <w:rsid w:val="00C71B3D"/>
    <w:rsid w:val="00C71D58"/>
    <w:rsid w:val="00C71E5D"/>
    <w:rsid w:val="00C71F58"/>
    <w:rsid w:val="00C7223D"/>
    <w:rsid w:val="00C722B1"/>
    <w:rsid w:val="00C722B9"/>
    <w:rsid w:val="00C72301"/>
    <w:rsid w:val="00C72309"/>
    <w:rsid w:val="00C72514"/>
    <w:rsid w:val="00C7256D"/>
    <w:rsid w:val="00C7266A"/>
    <w:rsid w:val="00C7289D"/>
    <w:rsid w:val="00C72984"/>
    <w:rsid w:val="00C72F65"/>
    <w:rsid w:val="00C73159"/>
    <w:rsid w:val="00C7315E"/>
    <w:rsid w:val="00C73226"/>
    <w:rsid w:val="00C73250"/>
    <w:rsid w:val="00C73283"/>
    <w:rsid w:val="00C7344D"/>
    <w:rsid w:val="00C734A0"/>
    <w:rsid w:val="00C73583"/>
    <w:rsid w:val="00C736D8"/>
    <w:rsid w:val="00C73A63"/>
    <w:rsid w:val="00C73A73"/>
    <w:rsid w:val="00C73CAB"/>
    <w:rsid w:val="00C73CBE"/>
    <w:rsid w:val="00C743ED"/>
    <w:rsid w:val="00C7466B"/>
    <w:rsid w:val="00C74748"/>
    <w:rsid w:val="00C747B9"/>
    <w:rsid w:val="00C74AF8"/>
    <w:rsid w:val="00C74C04"/>
    <w:rsid w:val="00C74CFE"/>
    <w:rsid w:val="00C74D51"/>
    <w:rsid w:val="00C74EBD"/>
    <w:rsid w:val="00C74F53"/>
    <w:rsid w:val="00C74F71"/>
    <w:rsid w:val="00C74FB4"/>
    <w:rsid w:val="00C750BF"/>
    <w:rsid w:val="00C750EC"/>
    <w:rsid w:val="00C75275"/>
    <w:rsid w:val="00C752D4"/>
    <w:rsid w:val="00C75457"/>
    <w:rsid w:val="00C75471"/>
    <w:rsid w:val="00C7554E"/>
    <w:rsid w:val="00C75728"/>
    <w:rsid w:val="00C75731"/>
    <w:rsid w:val="00C75A2F"/>
    <w:rsid w:val="00C75B32"/>
    <w:rsid w:val="00C75EC1"/>
    <w:rsid w:val="00C75F39"/>
    <w:rsid w:val="00C75FCE"/>
    <w:rsid w:val="00C767D7"/>
    <w:rsid w:val="00C7682C"/>
    <w:rsid w:val="00C76870"/>
    <w:rsid w:val="00C768D5"/>
    <w:rsid w:val="00C76CC1"/>
    <w:rsid w:val="00C76D02"/>
    <w:rsid w:val="00C76F83"/>
    <w:rsid w:val="00C77333"/>
    <w:rsid w:val="00C773AC"/>
    <w:rsid w:val="00C775A4"/>
    <w:rsid w:val="00C77751"/>
    <w:rsid w:val="00C778AE"/>
    <w:rsid w:val="00C77919"/>
    <w:rsid w:val="00C77A5A"/>
    <w:rsid w:val="00C77AC1"/>
    <w:rsid w:val="00C77C01"/>
    <w:rsid w:val="00C77D51"/>
    <w:rsid w:val="00C77D6D"/>
    <w:rsid w:val="00C77D93"/>
    <w:rsid w:val="00C77F29"/>
    <w:rsid w:val="00C80085"/>
    <w:rsid w:val="00C800B5"/>
    <w:rsid w:val="00C8027A"/>
    <w:rsid w:val="00C803D5"/>
    <w:rsid w:val="00C805D0"/>
    <w:rsid w:val="00C8063C"/>
    <w:rsid w:val="00C80774"/>
    <w:rsid w:val="00C80A37"/>
    <w:rsid w:val="00C80AEF"/>
    <w:rsid w:val="00C80D23"/>
    <w:rsid w:val="00C80E6B"/>
    <w:rsid w:val="00C80F8B"/>
    <w:rsid w:val="00C81063"/>
    <w:rsid w:val="00C812A1"/>
    <w:rsid w:val="00C8149D"/>
    <w:rsid w:val="00C81533"/>
    <w:rsid w:val="00C815BA"/>
    <w:rsid w:val="00C81745"/>
    <w:rsid w:val="00C81AF4"/>
    <w:rsid w:val="00C81D11"/>
    <w:rsid w:val="00C81D15"/>
    <w:rsid w:val="00C81D1A"/>
    <w:rsid w:val="00C81F58"/>
    <w:rsid w:val="00C820F2"/>
    <w:rsid w:val="00C82374"/>
    <w:rsid w:val="00C824FA"/>
    <w:rsid w:val="00C82655"/>
    <w:rsid w:val="00C8265B"/>
    <w:rsid w:val="00C826DA"/>
    <w:rsid w:val="00C82AE3"/>
    <w:rsid w:val="00C82BDC"/>
    <w:rsid w:val="00C82F9D"/>
    <w:rsid w:val="00C834BD"/>
    <w:rsid w:val="00C836D9"/>
    <w:rsid w:val="00C83761"/>
    <w:rsid w:val="00C838CD"/>
    <w:rsid w:val="00C83909"/>
    <w:rsid w:val="00C839BF"/>
    <w:rsid w:val="00C83D01"/>
    <w:rsid w:val="00C83D6B"/>
    <w:rsid w:val="00C83E3D"/>
    <w:rsid w:val="00C83E81"/>
    <w:rsid w:val="00C84041"/>
    <w:rsid w:val="00C84518"/>
    <w:rsid w:val="00C84527"/>
    <w:rsid w:val="00C848D6"/>
    <w:rsid w:val="00C8495A"/>
    <w:rsid w:val="00C84985"/>
    <w:rsid w:val="00C84ACA"/>
    <w:rsid w:val="00C84D94"/>
    <w:rsid w:val="00C84E49"/>
    <w:rsid w:val="00C84E4C"/>
    <w:rsid w:val="00C84F39"/>
    <w:rsid w:val="00C84F8D"/>
    <w:rsid w:val="00C84F9D"/>
    <w:rsid w:val="00C8509F"/>
    <w:rsid w:val="00C851C9"/>
    <w:rsid w:val="00C851DE"/>
    <w:rsid w:val="00C85420"/>
    <w:rsid w:val="00C854E7"/>
    <w:rsid w:val="00C85517"/>
    <w:rsid w:val="00C85635"/>
    <w:rsid w:val="00C856AB"/>
    <w:rsid w:val="00C857AC"/>
    <w:rsid w:val="00C85878"/>
    <w:rsid w:val="00C8594C"/>
    <w:rsid w:val="00C85ACE"/>
    <w:rsid w:val="00C85B43"/>
    <w:rsid w:val="00C85CF7"/>
    <w:rsid w:val="00C85D76"/>
    <w:rsid w:val="00C85DA7"/>
    <w:rsid w:val="00C85E30"/>
    <w:rsid w:val="00C85F0F"/>
    <w:rsid w:val="00C861E0"/>
    <w:rsid w:val="00C8630D"/>
    <w:rsid w:val="00C86351"/>
    <w:rsid w:val="00C8635B"/>
    <w:rsid w:val="00C863C3"/>
    <w:rsid w:val="00C8643D"/>
    <w:rsid w:val="00C86895"/>
    <w:rsid w:val="00C86C50"/>
    <w:rsid w:val="00C86C99"/>
    <w:rsid w:val="00C86CD9"/>
    <w:rsid w:val="00C86E27"/>
    <w:rsid w:val="00C86F8A"/>
    <w:rsid w:val="00C870E3"/>
    <w:rsid w:val="00C8711A"/>
    <w:rsid w:val="00C87145"/>
    <w:rsid w:val="00C8718F"/>
    <w:rsid w:val="00C87213"/>
    <w:rsid w:val="00C8744F"/>
    <w:rsid w:val="00C874AE"/>
    <w:rsid w:val="00C87776"/>
    <w:rsid w:val="00C87C1B"/>
    <w:rsid w:val="00C90303"/>
    <w:rsid w:val="00C9038B"/>
    <w:rsid w:val="00C903DF"/>
    <w:rsid w:val="00C904CB"/>
    <w:rsid w:val="00C90535"/>
    <w:rsid w:val="00C9063B"/>
    <w:rsid w:val="00C9071F"/>
    <w:rsid w:val="00C90778"/>
    <w:rsid w:val="00C9085F"/>
    <w:rsid w:val="00C909D0"/>
    <w:rsid w:val="00C90C5B"/>
    <w:rsid w:val="00C90DAD"/>
    <w:rsid w:val="00C90DB0"/>
    <w:rsid w:val="00C90E98"/>
    <w:rsid w:val="00C90EE4"/>
    <w:rsid w:val="00C91093"/>
    <w:rsid w:val="00C91223"/>
    <w:rsid w:val="00C912EF"/>
    <w:rsid w:val="00C91372"/>
    <w:rsid w:val="00C91436"/>
    <w:rsid w:val="00C91490"/>
    <w:rsid w:val="00C9152D"/>
    <w:rsid w:val="00C9163B"/>
    <w:rsid w:val="00C9178B"/>
    <w:rsid w:val="00C918EF"/>
    <w:rsid w:val="00C91958"/>
    <w:rsid w:val="00C91984"/>
    <w:rsid w:val="00C91A6E"/>
    <w:rsid w:val="00C91C32"/>
    <w:rsid w:val="00C91D4B"/>
    <w:rsid w:val="00C91D6D"/>
    <w:rsid w:val="00C91DCE"/>
    <w:rsid w:val="00C91E7C"/>
    <w:rsid w:val="00C920E2"/>
    <w:rsid w:val="00C92384"/>
    <w:rsid w:val="00C92391"/>
    <w:rsid w:val="00C923BE"/>
    <w:rsid w:val="00C927E7"/>
    <w:rsid w:val="00C92AE7"/>
    <w:rsid w:val="00C92C64"/>
    <w:rsid w:val="00C92CC5"/>
    <w:rsid w:val="00C92D62"/>
    <w:rsid w:val="00C92D98"/>
    <w:rsid w:val="00C92F21"/>
    <w:rsid w:val="00C9309D"/>
    <w:rsid w:val="00C93122"/>
    <w:rsid w:val="00C9318E"/>
    <w:rsid w:val="00C931B8"/>
    <w:rsid w:val="00C931C5"/>
    <w:rsid w:val="00C931FA"/>
    <w:rsid w:val="00C93251"/>
    <w:rsid w:val="00C9337A"/>
    <w:rsid w:val="00C934A3"/>
    <w:rsid w:val="00C93503"/>
    <w:rsid w:val="00C9355A"/>
    <w:rsid w:val="00C935AA"/>
    <w:rsid w:val="00C93632"/>
    <w:rsid w:val="00C93677"/>
    <w:rsid w:val="00C9372F"/>
    <w:rsid w:val="00C93AD7"/>
    <w:rsid w:val="00C93DC2"/>
    <w:rsid w:val="00C93E4B"/>
    <w:rsid w:val="00C9414D"/>
    <w:rsid w:val="00C9417C"/>
    <w:rsid w:val="00C941BB"/>
    <w:rsid w:val="00C9420A"/>
    <w:rsid w:val="00C943C0"/>
    <w:rsid w:val="00C948AE"/>
    <w:rsid w:val="00C94A73"/>
    <w:rsid w:val="00C94C3A"/>
    <w:rsid w:val="00C94C5A"/>
    <w:rsid w:val="00C94D4F"/>
    <w:rsid w:val="00C94F54"/>
    <w:rsid w:val="00C94F62"/>
    <w:rsid w:val="00C94F73"/>
    <w:rsid w:val="00C95010"/>
    <w:rsid w:val="00C95107"/>
    <w:rsid w:val="00C95139"/>
    <w:rsid w:val="00C951A2"/>
    <w:rsid w:val="00C953BE"/>
    <w:rsid w:val="00C953E9"/>
    <w:rsid w:val="00C95426"/>
    <w:rsid w:val="00C95687"/>
    <w:rsid w:val="00C95721"/>
    <w:rsid w:val="00C95729"/>
    <w:rsid w:val="00C95731"/>
    <w:rsid w:val="00C95732"/>
    <w:rsid w:val="00C957B1"/>
    <w:rsid w:val="00C9585A"/>
    <w:rsid w:val="00C9588A"/>
    <w:rsid w:val="00C95923"/>
    <w:rsid w:val="00C95994"/>
    <w:rsid w:val="00C95A3E"/>
    <w:rsid w:val="00C95A54"/>
    <w:rsid w:val="00C95BB8"/>
    <w:rsid w:val="00C95DBF"/>
    <w:rsid w:val="00C95F06"/>
    <w:rsid w:val="00C96077"/>
    <w:rsid w:val="00C96258"/>
    <w:rsid w:val="00C9641F"/>
    <w:rsid w:val="00C96466"/>
    <w:rsid w:val="00C96617"/>
    <w:rsid w:val="00C9670C"/>
    <w:rsid w:val="00C96A3C"/>
    <w:rsid w:val="00C96AFD"/>
    <w:rsid w:val="00C96B7E"/>
    <w:rsid w:val="00C96D8D"/>
    <w:rsid w:val="00C96E57"/>
    <w:rsid w:val="00C97005"/>
    <w:rsid w:val="00C9702D"/>
    <w:rsid w:val="00C970B6"/>
    <w:rsid w:val="00C97106"/>
    <w:rsid w:val="00C9713A"/>
    <w:rsid w:val="00C97209"/>
    <w:rsid w:val="00C9742E"/>
    <w:rsid w:val="00C97556"/>
    <w:rsid w:val="00C97576"/>
    <w:rsid w:val="00C97630"/>
    <w:rsid w:val="00C97BD1"/>
    <w:rsid w:val="00C97C39"/>
    <w:rsid w:val="00C97DBF"/>
    <w:rsid w:val="00C97EEC"/>
    <w:rsid w:val="00C97EED"/>
    <w:rsid w:val="00CA006E"/>
    <w:rsid w:val="00CA0383"/>
    <w:rsid w:val="00CA057A"/>
    <w:rsid w:val="00CA065E"/>
    <w:rsid w:val="00CA06BC"/>
    <w:rsid w:val="00CA0897"/>
    <w:rsid w:val="00CA09C7"/>
    <w:rsid w:val="00CA0A51"/>
    <w:rsid w:val="00CA0B35"/>
    <w:rsid w:val="00CA0B6C"/>
    <w:rsid w:val="00CA0BBD"/>
    <w:rsid w:val="00CA0C1C"/>
    <w:rsid w:val="00CA0F26"/>
    <w:rsid w:val="00CA1038"/>
    <w:rsid w:val="00CA1197"/>
    <w:rsid w:val="00CA132F"/>
    <w:rsid w:val="00CA1373"/>
    <w:rsid w:val="00CA1645"/>
    <w:rsid w:val="00CA182B"/>
    <w:rsid w:val="00CA186A"/>
    <w:rsid w:val="00CA1870"/>
    <w:rsid w:val="00CA1952"/>
    <w:rsid w:val="00CA1C31"/>
    <w:rsid w:val="00CA1FE1"/>
    <w:rsid w:val="00CA209F"/>
    <w:rsid w:val="00CA21F2"/>
    <w:rsid w:val="00CA226A"/>
    <w:rsid w:val="00CA2304"/>
    <w:rsid w:val="00CA235A"/>
    <w:rsid w:val="00CA241D"/>
    <w:rsid w:val="00CA24BA"/>
    <w:rsid w:val="00CA2630"/>
    <w:rsid w:val="00CA2938"/>
    <w:rsid w:val="00CA2994"/>
    <w:rsid w:val="00CA2BF4"/>
    <w:rsid w:val="00CA2F25"/>
    <w:rsid w:val="00CA3059"/>
    <w:rsid w:val="00CA3268"/>
    <w:rsid w:val="00CA3334"/>
    <w:rsid w:val="00CA3402"/>
    <w:rsid w:val="00CA34E0"/>
    <w:rsid w:val="00CA3518"/>
    <w:rsid w:val="00CA3B32"/>
    <w:rsid w:val="00CA3B9E"/>
    <w:rsid w:val="00CA3E34"/>
    <w:rsid w:val="00CA3ECB"/>
    <w:rsid w:val="00CA3F14"/>
    <w:rsid w:val="00CA40AB"/>
    <w:rsid w:val="00CA40B0"/>
    <w:rsid w:val="00CA41A5"/>
    <w:rsid w:val="00CA4246"/>
    <w:rsid w:val="00CA4284"/>
    <w:rsid w:val="00CA43F8"/>
    <w:rsid w:val="00CA443E"/>
    <w:rsid w:val="00CA4472"/>
    <w:rsid w:val="00CA4508"/>
    <w:rsid w:val="00CA463F"/>
    <w:rsid w:val="00CA49DA"/>
    <w:rsid w:val="00CA4C1C"/>
    <w:rsid w:val="00CA4D6D"/>
    <w:rsid w:val="00CA4DC1"/>
    <w:rsid w:val="00CA4DFC"/>
    <w:rsid w:val="00CA4E0F"/>
    <w:rsid w:val="00CA4FC9"/>
    <w:rsid w:val="00CA53A0"/>
    <w:rsid w:val="00CA5676"/>
    <w:rsid w:val="00CA568E"/>
    <w:rsid w:val="00CA56F0"/>
    <w:rsid w:val="00CA578B"/>
    <w:rsid w:val="00CA5959"/>
    <w:rsid w:val="00CA5CC8"/>
    <w:rsid w:val="00CA603A"/>
    <w:rsid w:val="00CA6136"/>
    <w:rsid w:val="00CA6294"/>
    <w:rsid w:val="00CA6430"/>
    <w:rsid w:val="00CA64DC"/>
    <w:rsid w:val="00CA6557"/>
    <w:rsid w:val="00CA65DD"/>
    <w:rsid w:val="00CA6AF4"/>
    <w:rsid w:val="00CA6AFC"/>
    <w:rsid w:val="00CA6E24"/>
    <w:rsid w:val="00CA6ED9"/>
    <w:rsid w:val="00CA6EE9"/>
    <w:rsid w:val="00CA702E"/>
    <w:rsid w:val="00CA7199"/>
    <w:rsid w:val="00CA72BA"/>
    <w:rsid w:val="00CA7300"/>
    <w:rsid w:val="00CA74D4"/>
    <w:rsid w:val="00CA74DF"/>
    <w:rsid w:val="00CA75A1"/>
    <w:rsid w:val="00CA7727"/>
    <w:rsid w:val="00CA774C"/>
    <w:rsid w:val="00CA798A"/>
    <w:rsid w:val="00CA7B3C"/>
    <w:rsid w:val="00CA7BBF"/>
    <w:rsid w:val="00CA7DA2"/>
    <w:rsid w:val="00CA7ECD"/>
    <w:rsid w:val="00CA7F03"/>
    <w:rsid w:val="00CA7F30"/>
    <w:rsid w:val="00CA7F8B"/>
    <w:rsid w:val="00CA7FD2"/>
    <w:rsid w:val="00CB0100"/>
    <w:rsid w:val="00CB0129"/>
    <w:rsid w:val="00CB0264"/>
    <w:rsid w:val="00CB0344"/>
    <w:rsid w:val="00CB042C"/>
    <w:rsid w:val="00CB0672"/>
    <w:rsid w:val="00CB06C2"/>
    <w:rsid w:val="00CB07CC"/>
    <w:rsid w:val="00CB092E"/>
    <w:rsid w:val="00CB093E"/>
    <w:rsid w:val="00CB0B45"/>
    <w:rsid w:val="00CB0BBA"/>
    <w:rsid w:val="00CB0BF8"/>
    <w:rsid w:val="00CB0CF7"/>
    <w:rsid w:val="00CB0D7F"/>
    <w:rsid w:val="00CB0DE6"/>
    <w:rsid w:val="00CB0EBA"/>
    <w:rsid w:val="00CB0FD2"/>
    <w:rsid w:val="00CB0FD6"/>
    <w:rsid w:val="00CB101E"/>
    <w:rsid w:val="00CB122F"/>
    <w:rsid w:val="00CB1232"/>
    <w:rsid w:val="00CB147B"/>
    <w:rsid w:val="00CB14F7"/>
    <w:rsid w:val="00CB1ABF"/>
    <w:rsid w:val="00CB1AE9"/>
    <w:rsid w:val="00CB1B4C"/>
    <w:rsid w:val="00CB1BAE"/>
    <w:rsid w:val="00CB1C26"/>
    <w:rsid w:val="00CB1D50"/>
    <w:rsid w:val="00CB1DFF"/>
    <w:rsid w:val="00CB20F5"/>
    <w:rsid w:val="00CB2431"/>
    <w:rsid w:val="00CB2434"/>
    <w:rsid w:val="00CB2468"/>
    <w:rsid w:val="00CB2498"/>
    <w:rsid w:val="00CB25A7"/>
    <w:rsid w:val="00CB266D"/>
    <w:rsid w:val="00CB2691"/>
    <w:rsid w:val="00CB280A"/>
    <w:rsid w:val="00CB28E4"/>
    <w:rsid w:val="00CB298C"/>
    <w:rsid w:val="00CB2BFF"/>
    <w:rsid w:val="00CB2C67"/>
    <w:rsid w:val="00CB2DEC"/>
    <w:rsid w:val="00CB32AC"/>
    <w:rsid w:val="00CB3319"/>
    <w:rsid w:val="00CB331D"/>
    <w:rsid w:val="00CB33CB"/>
    <w:rsid w:val="00CB35A5"/>
    <w:rsid w:val="00CB3659"/>
    <w:rsid w:val="00CB3701"/>
    <w:rsid w:val="00CB378B"/>
    <w:rsid w:val="00CB385F"/>
    <w:rsid w:val="00CB39FB"/>
    <w:rsid w:val="00CB3A68"/>
    <w:rsid w:val="00CB3BE5"/>
    <w:rsid w:val="00CB3E5B"/>
    <w:rsid w:val="00CB40DE"/>
    <w:rsid w:val="00CB4172"/>
    <w:rsid w:val="00CB44BA"/>
    <w:rsid w:val="00CB45F3"/>
    <w:rsid w:val="00CB46F4"/>
    <w:rsid w:val="00CB4848"/>
    <w:rsid w:val="00CB4FD4"/>
    <w:rsid w:val="00CB50D3"/>
    <w:rsid w:val="00CB517C"/>
    <w:rsid w:val="00CB51A1"/>
    <w:rsid w:val="00CB5265"/>
    <w:rsid w:val="00CB545F"/>
    <w:rsid w:val="00CB5B2F"/>
    <w:rsid w:val="00CB5C0D"/>
    <w:rsid w:val="00CB5C80"/>
    <w:rsid w:val="00CB5CC9"/>
    <w:rsid w:val="00CB5CFA"/>
    <w:rsid w:val="00CB5DB1"/>
    <w:rsid w:val="00CB5EF7"/>
    <w:rsid w:val="00CB608D"/>
    <w:rsid w:val="00CB616E"/>
    <w:rsid w:val="00CB6187"/>
    <w:rsid w:val="00CB62A5"/>
    <w:rsid w:val="00CB62DA"/>
    <w:rsid w:val="00CB630F"/>
    <w:rsid w:val="00CB63A0"/>
    <w:rsid w:val="00CB6726"/>
    <w:rsid w:val="00CB67F9"/>
    <w:rsid w:val="00CB6887"/>
    <w:rsid w:val="00CB68AC"/>
    <w:rsid w:val="00CB6AAD"/>
    <w:rsid w:val="00CB6B59"/>
    <w:rsid w:val="00CB6BDB"/>
    <w:rsid w:val="00CB6D3B"/>
    <w:rsid w:val="00CB6DDC"/>
    <w:rsid w:val="00CB6E5C"/>
    <w:rsid w:val="00CB71B6"/>
    <w:rsid w:val="00CB71BA"/>
    <w:rsid w:val="00CB74DC"/>
    <w:rsid w:val="00CB760C"/>
    <w:rsid w:val="00CB7679"/>
    <w:rsid w:val="00CB7853"/>
    <w:rsid w:val="00CB7A7F"/>
    <w:rsid w:val="00CB7C1F"/>
    <w:rsid w:val="00CB7C33"/>
    <w:rsid w:val="00CB7C77"/>
    <w:rsid w:val="00CB7E69"/>
    <w:rsid w:val="00CC00E9"/>
    <w:rsid w:val="00CC0274"/>
    <w:rsid w:val="00CC02FE"/>
    <w:rsid w:val="00CC058F"/>
    <w:rsid w:val="00CC05EF"/>
    <w:rsid w:val="00CC08B0"/>
    <w:rsid w:val="00CC0C34"/>
    <w:rsid w:val="00CC0D56"/>
    <w:rsid w:val="00CC0DEB"/>
    <w:rsid w:val="00CC117D"/>
    <w:rsid w:val="00CC1206"/>
    <w:rsid w:val="00CC12C9"/>
    <w:rsid w:val="00CC12F3"/>
    <w:rsid w:val="00CC16B5"/>
    <w:rsid w:val="00CC1760"/>
    <w:rsid w:val="00CC17F5"/>
    <w:rsid w:val="00CC1A7A"/>
    <w:rsid w:val="00CC1C56"/>
    <w:rsid w:val="00CC1CD0"/>
    <w:rsid w:val="00CC1D3F"/>
    <w:rsid w:val="00CC1D4C"/>
    <w:rsid w:val="00CC2317"/>
    <w:rsid w:val="00CC2546"/>
    <w:rsid w:val="00CC2659"/>
    <w:rsid w:val="00CC273A"/>
    <w:rsid w:val="00CC27CC"/>
    <w:rsid w:val="00CC29C7"/>
    <w:rsid w:val="00CC2B8E"/>
    <w:rsid w:val="00CC2C79"/>
    <w:rsid w:val="00CC2D1F"/>
    <w:rsid w:val="00CC2F07"/>
    <w:rsid w:val="00CC33F5"/>
    <w:rsid w:val="00CC35E1"/>
    <w:rsid w:val="00CC367C"/>
    <w:rsid w:val="00CC391D"/>
    <w:rsid w:val="00CC3D09"/>
    <w:rsid w:val="00CC3D79"/>
    <w:rsid w:val="00CC3D83"/>
    <w:rsid w:val="00CC3EE8"/>
    <w:rsid w:val="00CC3FC2"/>
    <w:rsid w:val="00CC4043"/>
    <w:rsid w:val="00CC40B1"/>
    <w:rsid w:val="00CC40B6"/>
    <w:rsid w:val="00CC4164"/>
    <w:rsid w:val="00CC4429"/>
    <w:rsid w:val="00CC482E"/>
    <w:rsid w:val="00CC4944"/>
    <w:rsid w:val="00CC4A11"/>
    <w:rsid w:val="00CC4CB7"/>
    <w:rsid w:val="00CC4CC9"/>
    <w:rsid w:val="00CC4CDF"/>
    <w:rsid w:val="00CC4EB0"/>
    <w:rsid w:val="00CC4F8C"/>
    <w:rsid w:val="00CC51C0"/>
    <w:rsid w:val="00CC5572"/>
    <w:rsid w:val="00CC5791"/>
    <w:rsid w:val="00CC5961"/>
    <w:rsid w:val="00CC59AE"/>
    <w:rsid w:val="00CC5C9D"/>
    <w:rsid w:val="00CC5F42"/>
    <w:rsid w:val="00CC5F6B"/>
    <w:rsid w:val="00CC6021"/>
    <w:rsid w:val="00CC63DA"/>
    <w:rsid w:val="00CC64A4"/>
    <w:rsid w:val="00CC656C"/>
    <w:rsid w:val="00CC66AD"/>
    <w:rsid w:val="00CC6796"/>
    <w:rsid w:val="00CC680F"/>
    <w:rsid w:val="00CC6AB6"/>
    <w:rsid w:val="00CC6E5E"/>
    <w:rsid w:val="00CC6E9F"/>
    <w:rsid w:val="00CC7099"/>
    <w:rsid w:val="00CC710C"/>
    <w:rsid w:val="00CC7342"/>
    <w:rsid w:val="00CC762F"/>
    <w:rsid w:val="00CC764B"/>
    <w:rsid w:val="00CC780C"/>
    <w:rsid w:val="00CC7CDF"/>
    <w:rsid w:val="00CD0127"/>
    <w:rsid w:val="00CD013A"/>
    <w:rsid w:val="00CD0186"/>
    <w:rsid w:val="00CD02ED"/>
    <w:rsid w:val="00CD0438"/>
    <w:rsid w:val="00CD0677"/>
    <w:rsid w:val="00CD06F0"/>
    <w:rsid w:val="00CD071B"/>
    <w:rsid w:val="00CD08AB"/>
    <w:rsid w:val="00CD0B05"/>
    <w:rsid w:val="00CD0EC1"/>
    <w:rsid w:val="00CD0F57"/>
    <w:rsid w:val="00CD105C"/>
    <w:rsid w:val="00CD12EC"/>
    <w:rsid w:val="00CD12F4"/>
    <w:rsid w:val="00CD13C6"/>
    <w:rsid w:val="00CD13CC"/>
    <w:rsid w:val="00CD1647"/>
    <w:rsid w:val="00CD1A0D"/>
    <w:rsid w:val="00CD1A35"/>
    <w:rsid w:val="00CD1C62"/>
    <w:rsid w:val="00CD1DFC"/>
    <w:rsid w:val="00CD1F8A"/>
    <w:rsid w:val="00CD2019"/>
    <w:rsid w:val="00CD21AA"/>
    <w:rsid w:val="00CD25DA"/>
    <w:rsid w:val="00CD2880"/>
    <w:rsid w:val="00CD29D5"/>
    <w:rsid w:val="00CD2A46"/>
    <w:rsid w:val="00CD2BC7"/>
    <w:rsid w:val="00CD2BD5"/>
    <w:rsid w:val="00CD2D70"/>
    <w:rsid w:val="00CD2EF5"/>
    <w:rsid w:val="00CD2F24"/>
    <w:rsid w:val="00CD2F2A"/>
    <w:rsid w:val="00CD3130"/>
    <w:rsid w:val="00CD3303"/>
    <w:rsid w:val="00CD3487"/>
    <w:rsid w:val="00CD34FA"/>
    <w:rsid w:val="00CD35EF"/>
    <w:rsid w:val="00CD3717"/>
    <w:rsid w:val="00CD371E"/>
    <w:rsid w:val="00CD3972"/>
    <w:rsid w:val="00CD3A0D"/>
    <w:rsid w:val="00CD3A4A"/>
    <w:rsid w:val="00CD3AB3"/>
    <w:rsid w:val="00CD3B95"/>
    <w:rsid w:val="00CD3CF0"/>
    <w:rsid w:val="00CD3FFE"/>
    <w:rsid w:val="00CD407B"/>
    <w:rsid w:val="00CD417F"/>
    <w:rsid w:val="00CD4335"/>
    <w:rsid w:val="00CD471C"/>
    <w:rsid w:val="00CD4749"/>
    <w:rsid w:val="00CD4BEF"/>
    <w:rsid w:val="00CD5002"/>
    <w:rsid w:val="00CD513E"/>
    <w:rsid w:val="00CD52C4"/>
    <w:rsid w:val="00CD52F0"/>
    <w:rsid w:val="00CD5727"/>
    <w:rsid w:val="00CD5A43"/>
    <w:rsid w:val="00CD5BCF"/>
    <w:rsid w:val="00CD5E31"/>
    <w:rsid w:val="00CD5E77"/>
    <w:rsid w:val="00CD5EA1"/>
    <w:rsid w:val="00CD60AC"/>
    <w:rsid w:val="00CD616B"/>
    <w:rsid w:val="00CD63F7"/>
    <w:rsid w:val="00CD63F8"/>
    <w:rsid w:val="00CD67A8"/>
    <w:rsid w:val="00CD686A"/>
    <w:rsid w:val="00CD6A00"/>
    <w:rsid w:val="00CD6C0A"/>
    <w:rsid w:val="00CD6CF7"/>
    <w:rsid w:val="00CD6E64"/>
    <w:rsid w:val="00CD71E8"/>
    <w:rsid w:val="00CD7243"/>
    <w:rsid w:val="00CD727A"/>
    <w:rsid w:val="00CD7306"/>
    <w:rsid w:val="00CD736E"/>
    <w:rsid w:val="00CD755A"/>
    <w:rsid w:val="00CD7637"/>
    <w:rsid w:val="00CD7901"/>
    <w:rsid w:val="00CD794B"/>
    <w:rsid w:val="00CD79B1"/>
    <w:rsid w:val="00CD7AB4"/>
    <w:rsid w:val="00CD7EBD"/>
    <w:rsid w:val="00CD7ED5"/>
    <w:rsid w:val="00CD7EEA"/>
    <w:rsid w:val="00CD7EF2"/>
    <w:rsid w:val="00CD7FF7"/>
    <w:rsid w:val="00CE005C"/>
    <w:rsid w:val="00CE00C2"/>
    <w:rsid w:val="00CE0261"/>
    <w:rsid w:val="00CE02B1"/>
    <w:rsid w:val="00CE030A"/>
    <w:rsid w:val="00CE044F"/>
    <w:rsid w:val="00CE0604"/>
    <w:rsid w:val="00CE0658"/>
    <w:rsid w:val="00CE0731"/>
    <w:rsid w:val="00CE0856"/>
    <w:rsid w:val="00CE0874"/>
    <w:rsid w:val="00CE0DAE"/>
    <w:rsid w:val="00CE0DE8"/>
    <w:rsid w:val="00CE1042"/>
    <w:rsid w:val="00CE10B2"/>
    <w:rsid w:val="00CE113B"/>
    <w:rsid w:val="00CE12D2"/>
    <w:rsid w:val="00CE1561"/>
    <w:rsid w:val="00CE176F"/>
    <w:rsid w:val="00CE1816"/>
    <w:rsid w:val="00CE1A44"/>
    <w:rsid w:val="00CE1A90"/>
    <w:rsid w:val="00CE1CDF"/>
    <w:rsid w:val="00CE1EEA"/>
    <w:rsid w:val="00CE21BD"/>
    <w:rsid w:val="00CE2266"/>
    <w:rsid w:val="00CE2301"/>
    <w:rsid w:val="00CE23E3"/>
    <w:rsid w:val="00CE2448"/>
    <w:rsid w:val="00CE24D7"/>
    <w:rsid w:val="00CE2721"/>
    <w:rsid w:val="00CE28F0"/>
    <w:rsid w:val="00CE299D"/>
    <w:rsid w:val="00CE2A11"/>
    <w:rsid w:val="00CE2A5A"/>
    <w:rsid w:val="00CE2A76"/>
    <w:rsid w:val="00CE2D27"/>
    <w:rsid w:val="00CE319B"/>
    <w:rsid w:val="00CE32B1"/>
    <w:rsid w:val="00CE32BE"/>
    <w:rsid w:val="00CE3326"/>
    <w:rsid w:val="00CE355E"/>
    <w:rsid w:val="00CE3626"/>
    <w:rsid w:val="00CE36A2"/>
    <w:rsid w:val="00CE3A54"/>
    <w:rsid w:val="00CE3FB9"/>
    <w:rsid w:val="00CE4477"/>
    <w:rsid w:val="00CE4615"/>
    <w:rsid w:val="00CE484E"/>
    <w:rsid w:val="00CE48D6"/>
    <w:rsid w:val="00CE4948"/>
    <w:rsid w:val="00CE4AEC"/>
    <w:rsid w:val="00CE4B65"/>
    <w:rsid w:val="00CE4BF4"/>
    <w:rsid w:val="00CE4CEF"/>
    <w:rsid w:val="00CE4E14"/>
    <w:rsid w:val="00CE4E1D"/>
    <w:rsid w:val="00CE4EB9"/>
    <w:rsid w:val="00CE5090"/>
    <w:rsid w:val="00CE50BF"/>
    <w:rsid w:val="00CE5331"/>
    <w:rsid w:val="00CE5731"/>
    <w:rsid w:val="00CE58C5"/>
    <w:rsid w:val="00CE5A95"/>
    <w:rsid w:val="00CE5CB3"/>
    <w:rsid w:val="00CE6104"/>
    <w:rsid w:val="00CE6175"/>
    <w:rsid w:val="00CE653B"/>
    <w:rsid w:val="00CE6574"/>
    <w:rsid w:val="00CE6652"/>
    <w:rsid w:val="00CE688B"/>
    <w:rsid w:val="00CE6B20"/>
    <w:rsid w:val="00CE6B5B"/>
    <w:rsid w:val="00CE6C69"/>
    <w:rsid w:val="00CE6E93"/>
    <w:rsid w:val="00CE6EE8"/>
    <w:rsid w:val="00CE6F01"/>
    <w:rsid w:val="00CE6F7D"/>
    <w:rsid w:val="00CE7515"/>
    <w:rsid w:val="00CE77FF"/>
    <w:rsid w:val="00CE7A19"/>
    <w:rsid w:val="00CE7D92"/>
    <w:rsid w:val="00CE7DDB"/>
    <w:rsid w:val="00CE7FA5"/>
    <w:rsid w:val="00CF00DE"/>
    <w:rsid w:val="00CF0466"/>
    <w:rsid w:val="00CF04E8"/>
    <w:rsid w:val="00CF05DA"/>
    <w:rsid w:val="00CF0760"/>
    <w:rsid w:val="00CF0805"/>
    <w:rsid w:val="00CF0959"/>
    <w:rsid w:val="00CF0B04"/>
    <w:rsid w:val="00CF0B7C"/>
    <w:rsid w:val="00CF0C0C"/>
    <w:rsid w:val="00CF10C9"/>
    <w:rsid w:val="00CF10D0"/>
    <w:rsid w:val="00CF163C"/>
    <w:rsid w:val="00CF164F"/>
    <w:rsid w:val="00CF168B"/>
    <w:rsid w:val="00CF1C8E"/>
    <w:rsid w:val="00CF1DFD"/>
    <w:rsid w:val="00CF1F95"/>
    <w:rsid w:val="00CF2222"/>
    <w:rsid w:val="00CF231A"/>
    <w:rsid w:val="00CF2327"/>
    <w:rsid w:val="00CF232D"/>
    <w:rsid w:val="00CF2492"/>
    <w:rsid w:val="00CF262D"/>
    <w:rsid w:val="00CF2636"/>
    <w:rsid w:val="00CF2839"/>
    <w:rsid w:val="00CF2918"/>
    <w:rsid w:val="00CF2AA2"/>
    <w:rsid w:val="00CF2ABB"/>
    <w:rsid w:val="00CF2B93"/>
    <w:rsid w:val="00CF2DCB"/>
    <w:rsid w:val="00CF2E79"/>
    <w:rsid w:val="00CF2F91"/>
    <w:rsid w:val="00CF3207"/>
    <w:rsid w:val="00CF3227"/>
    <w:rsid w:val="00CF3354"/>
    <w:rsid w:val="00CF35C9"/>
    <w:rsid w:val="00CF36AD"/>
    <w:rsid w:val="00CF380D"/>
    <w:rsid w:val="00CF3835"/>
    <w:rsid w:val="00CF393D"/>
    <w:rsid w:val="00CF3D83"/>
    <w:rsid w:val="00CF3EE0"/>
    <w:rsid w:val="00CF3F1F"/>
    <w:rsid w:val="00CF4238"/>
    <w:rsid w:val="00CF4415"/>
    <w:rsid w:val="00CF44B3"/>
    <w:rsid w:val="00CF4F4E"/>
    <w:rsid w:val="00CF5283"/>
    <w:rsid w:val="00CF5336"/>
    <w:rsid w:val="00CF54FD"/>
    <w:rsid w:val="00CF5525"/>
    <w:rsid w:val="00CF556F"/>
    <w:rsid w:val="00CF5642"/>
    <w:rsid w:val="00CF5739"/>
    <w:rsid w:val="00CF57EB"/>
    <w:rsid w:val="00CF58AD"/>
    <w:rsid w:val="00CF591A"/>
    <w:rsid w:val="00CF5A58"/>
    <w:rsid w:val="00CF5F7A"/>
    <w:rsid w:val="00CF5FC8"/>
    <w:rsid w:val="00CF6045"/>
    <w:rsid w:val="00CF6214"/>
    <w:rsid w:val="00CF6447"/>
    <w:rsid w:val="00CF65CA"/>
    <w:rsid w:val="00CF67E1"/>
    <w:rsid w:val="00CF6846"/>
    <w:rsid w:val="00CF693A"/>
    <w:rsid w:val="00CF6EE5"/>
    <w:rsid w:val="00CF7103"/>
    <w:rsid w:val="00CF7160"/>
    <w:rsid w:val="00CF72AD"/>
    <w:rsid w:val="00CF72EB"/>
    <w:rsid w:val="00CF72F6"/>
    <w:rsid w:val="00CF734D"/>
    <w:rsid w:val="00CF735F"/>
    <w:rsid w:val="00CF7551"/>
    <w:rsid w:val="00CF756A"/>
    <w:rsid w:val="00CF7592"/>
    <w:rsid w:val="00CF7762"/>
    <w:rsid w:val="00CF79B0"/>
    <w:rsid w:val="00CF79DE"/>
    <w:rsid w:val="00CF7ABA"/>
    <w:rsid w:val="00CF7AD9"/>
    <w:rsid w:val="00CF7C16"/>
    <w:rsid w:val="00CF7D23"/>
    <w:rsid w:val="00CF7F81"/>
    <w:rsid w:val="00D0003D"/>
    <w:rsid w:val="00D000EF"/>
    <w:rsid w:val="00D000F9"/>
    <w:rsid w:val="00D000FC"/>
    <w:rsid w:val="00D00415"/>
    <w:rsid w:val="00D0045D"/>
    <w:rsid w:val="00D00640"/>
    <w:rsid w:val="00D00A4A"/>
    <w:rsid w:val="00D00B47"/>
    <w:rsid w:val="00D00DE9"/>
    <w:rsid w:val="00D00EDF"/>
    <w:rsid w:val="00D00EFC"/>
    <w:rsid w:val="00D0104D"/>
    <w:rsid w:val="00D010B1"/>
    <w:rsid w:val="00D01108"/>
    <w:rsid w:val="00D01332"/>
    <w:rsid w:val="00D01426"/>
    <w:rsid w:val="00D014E7"/>
    <w:rsid w:val="00D015D7"/>
    <w:rsid w:val="00D01735"/>
    <w:rsid w:val="00D0192C"/>
    <w:rsid w:val="00D01A83"/>
    <w:rsid w:val="00D01B40"/>
    <w:rsid w:val="00D01D0C"/>
    <w:rsid w:val="00D01DCF"/>
    <w:rsid w:val="00D01ED2"/>
    <w:rsid w:val="00D020D6"/>
    <w:rsid w:val="00D023DA"/>
    <w:rsid w:val="00D02411"/>
    <w:rsid w:val="00D0244C"/>
    <w:rsid w:val="00D024C8"/>
    <w:rsid w:val="00D02599"/>
    <w:rsid w:val="00D02966"/>
    <w:rsid w:val="00D029D0"/>
    <w:rsid w:val="00D02B4B"/>
    <w:rsid w:val="00D02C0F"/>
    <w:rsid w:val="00D02C20"/>
    <w:rsid w:val="00D02E76"/>
    <w:rsid w:val="00D0313F"/>
    <w:rsid w:val="00D03154"/>
    <w:rsid w:val="00D0340E"/>
    <w:rsid w:val="00D03416"/>
    <w:rsid w:val="00D03641"/>
    <w:rsid w:val="00D03716"/>
    <w:rsid w:val="00D037A3"/>
    <w:rsid w:val="00D03A70"/>
    <w:rsid w:val="00D03D26"/>
    <w:rsid w:val="00D03E46"/>
    <w:rsid w:val="00D0415A"/>
    <w:rsid w:val="00D04245"/>
    <w:rsid w:val="00D04285"/>
    <w:rsid w:val="00D0431B"/>
    <w:rsid w:val="00D0433C"/>
    <w:rsid w:val="00D0439E"/>
    <w:rsid w:val="00D043E0"/>
    <w:rsid w:val="00D043E8"/>
    <w:rsid w:val="00D044AC"/>
    <w:rsid w:val="00D04637"/>
    <w:rsid w:val="00D046F7"/>
    <w:rsid w:val="00D047B2"/>
    <w:rsid w:val="00D04807"/>
    <w:rsid w:val="00D04834"/>
    <w:rsid w:val="00D049AB"/>
    <w:rsid w:val="00D04AB3"/>
    <w:rsid w:val="00D04BA5"/>
    <w:rsid w:val="00D04C4F"/>
    <w:rsid w:val="00D04E74"/>
    <w:rsid w:val="00D04EB6"/>
    <w:rsid w:val="00D0514B"/>
    <w:rsid w:val="00D051B4"/>
    <w:rsid w:val="00D051FB"/>
    <w:rsid w:val="00D05406"/>
    <w:rsid w:val="00D05439"/>
    <w:rsid w:val="00D0553D"/>
    <w:rsid w:val="00D055E3"/>
    <w:rsid w:val="00D05605"/>
    <w:rsid w:val="00D056D9"/>
    <w:rsid w:val="00D05F38"/>
    <w:rsid w:val="00D05F4B"/>
    <w:rsid w:val="00D05F7D"/>
    <w:rsid w:val="00D060CE"/>
    <w:rsid w:val="00D06132"/>
    <w:rsid w:val="00D0625F"/>
    <w:rsid w:val="00D062A7"/>
    <w:rsid w:val="00D06923"/>
    <w:rsid w:val="00D069F9"/>
    <w:rsid w:val="00D06A4F"/>
    <w:rsid w:val="00D06C85"/>
    <w:rsid w:val="00D06FC3"/>
    <w:rsid w:val="00D06FC8"/>
    <w:rsid w:val="00D072A5"/>
    <w:rsid w:val="00D072D0"/>
    <w:rsid w:val="00D07504"/>
    <w:rsid w:val="00D075E1"/>
    <w:rsid w:val="00D076BD"/>
    <w:rsid w:val="00D076C9"/>
    <w:rsid w:val="00D07A3B"/>
    <w:rsid w:val="00D07AA7"/>
    <w:rsid w:val="00D07AC4"/>
    <w:rsid w:val="00D07B65"/>
    <w:rsid w:val="00D07D0F"/>
    <w:rsid w:val="00D07EB8"/>
    <w:rsid w:val="00D10006"/>
    <w:rsid w:val="00D101E1"/>
    <w:rsid w:val="00D10366"/>
    <w:rsid w:val="00D10392"/>
    <w:rsid w:val="00D1046F"/>
    <w:rsid w:val="00D104DC"/>
    <w:rsid w:val="00D105B0"/>
    <w:rsid w:val="00D105EC"/>
    <w:rsid w:val="00D1064B"/>
    <w:rsid w:val="00D1078D"/>
    <w:rsid w:val="00D109B3"/>
    <w:rsid w:val="00D10A14"/>
    <w:rsid w:val="00D10A6C"/>
    <w:rsid w:val="00D10CDA"/>
    <w:rsid w:val="00D10D29"/>
    <w:rsid w:val="00D10F99"/>
    <w:rsid w:val="00D10F9A"/>
    <w:rsid w:val="00D10F9F"/>
    <w:rsid w:val="00D11226"/>
    <w:rsid w:val="00D11348"/>
    <w:rsid w:val="00D1147D"/>
    <w:rsid w:val="00D117A7"/>
    <w:rsid w:val="00D117E6"/>
    <w:rsid w:val="00D117EE"/>
    <w:rsid w:val="00D118DD"/>
    <w:rsid w:val="00D119BA"/>
    <w:rsid w:val="00D119CB"/>
    <w:rsid w:val="00D11E12"/>
    <w:rsid w:val="00D12150"/>
    <w:rsid w:val="00D121D1"/>
    <w:rsid w:val="00D122B6"/>
    <w:rsid w:val="00D123D8"/>
    <w:rsid w:val="00D125BE"/>
    <w:rsid w:val="00D12A3C"/>
    <w:rsid w:val="00D12B9C"/>
    <w:rsid w:val="00D12D43"/>
    <w:rsid w:val="00D12E7B"/>
    <w:rsid w:val="00D12F16"/>
    <w:rsid w:val="00D13091"/>
    <w:rsid w:val="00D1311F"/>
    <w:rsid w:val="00D13237"/>
    <w:rsid w:val="00D135C5"/>
    <w:rsid w:val="00D1378C"/>
    <w:rsid w:val="00D1379F"/>
    <w:rsid w:val="00D13988"/>
    <w:rsid w:val="00D139CF"/>
    <w:rsid w:val="00D13A42"/>
    <w:rsid w:val="00D13A46"/>
    <w:rsid w:val="00D13B23"/>
    <w:rsid w:val="00D13C1B"/>
    <w:rsid w:val="00D13D67"/>
    <w:rsid w:val="00D13F79"/>
    <w:rsid w:val="00D140A7"/>
    <w:rsid w:val="00D14351"/>
    <w:rsid w:val="00D14775"/>
    <w:rsid w:val="00D1489F"/>
    <w:rsid w:val="00D14B11"/>
    <w:rsid w:val="00D14B66"/>
    <w:rsid w:val="00D14C32"/>
    <w:rsid w:val="00D14D13"/>
    <w:rsid w:val="00D14F45"/>
    <w:rsid w:val="00D150F1"/>
    <w:rsid w:val="00D1518F"/>
    <w:rsid w:val="00D1520B"/>
    <w:rsid w:val="00D152B5"/>
    <w:rsid w:val="00D1542F"/>
    <w:rsid w:val="00D15531"/>
    <w:rsid w:val="00D15A3A"/>
    <w:rsid w:val="00D15C3B"/>
    <w:rsid w:val="00D15E30"/>
    <w:rsid w:val="00D15F12"/>
    <w:rsid w:val="00D160C9"/>
    <w:rsid w:val="00D16124"/>
    <w:rsid w:val="00D1622A"/>
    <w:rsid w:val="00D1658F"/>
    <w:rsid w:val="00D16648"/>
    <w:rsid w:val="00D16749"/>
    <w:rsid w:val="00D16960"/>
    <w:rsid w:val="00D16C3D"/>
    <w:rsid w:val="00D16C98"/>
    <w:rsid w:val="00D16F73"/>
    <w:rsid w:val="00D17093"/>
    <w:rsid w:val="00D176AA"/>
    <w:rsid w:val="00D178D0"/>
    <w:rsid w:val="00D178FC"/>
    <w:rsid w:val="00D17986"/>
    <w:rsid w:val="00D201AF"/>
    <w:rsid w:val="00D202C0"/>
    <w:rsid w:val="00D20312"/>
    <w:rsid w:val="00D2058D"/>
    <w:rsid w:val="00D2075F"/>
    <w:rsid w:val="00D20854"/>
    <w:rsid w:val="00D20999"/>
    <w:rsid w:val="00D20A18"/>
    <w:rsid w:val="00D21040"/>
    <w:rsid w:val="00D211CB"/>
    <w:rsid w:val="00D211DF"/>
    <w:rsid w:val="00D212A6"/>
    <w:rsid w:val="00D2130E"/>
    <w:rsid w:val="00D21378"/>
    <w:rsid w:val="00D2143B"/>
    <w:rsid w:val="00D2165F"/>
    <w:rsid w:val="00D216EA"/>
    <w:rsid w:val="00D21BBA"/>
    <w:rsid w:val="00D21C5B"/>
    <w:rsid w:val="00D21CB1"/>
    <w:rsid w:val="00D21DF7"/>
    <w:rsid w:val="00D21F48"/>
    <w:rsid w:val="00D22062"/>
    <w:rsid w:val="00D220E9"/>
    <w:rsid w:val="00D220FA"/>
    <w:rsid w:val="00D22341"/>
    <w:rsid w:val="00D22385"/>
    <w:rsid w:val="00D223C8"/>
    <w:rsid w:val="00D2257D"/>
    <w:rsid w:val="00D227D6"/>
    <w:rsid w:val="00D22B7C"/>
    <w:rsid w:val="00D22D84"/>
    <w:rsid w:val="00D22DA7"/>
    <w:rsid w:val="00D22F39"/>
    <w:rsid w:val="00D230C2"/>
    <w:rsid w:val="00D2326B"/>
    <w:rsid w:val="00D23A15"/>
    <w:rsid w:val="00D23EA8"/>
    <w:rsid w:val="00D23FD2"/>
    <w:rsid w:val="00D24006"/>
    <w:rsid w:val="00D2401C"/>
    <w:rsid w:val="00D2416A"/>
    <w:rsid w:val="00D24631"/>
    <w:rsid w:val="00D24755"/>
    <w:rsid w:val="00D2487B"/>
    <w:rsid w:val="00D24943"/>
    <w:rsid w:val="00D24B16"/>
    <w:rsid w:val="00D24B9D"/>
    <w:rsid w:val="00D24C83"/>
    <w:rsid w:val="00D24D1C"/>
    <w:rsid w:val="00D24E09"/>
    <w:rsid w:val="00D2505C"/>
    <w:rsid w:val="00D251D9"/>
    <w:rsid w:val="00D25619"/>
    <w:rsid w:val="00D256ED"/>
    <w:rsid w:val="00D25783"/>
    <w:rsid w:val="00D257B1"/>
    <w:rsid w:val="00D25BC1"/>
    <w:rsid w:val="00D25CE3"/>
    <w:rsid w:val="00D25DA1"/>
    <w:rsid w:val="00D25EC9"/>
    <w:rsid w:val="00D25F99"/>
    <w:rsid w:val="00D265DA"/>
    <w:rsid w:val="00D26944"/>
    <w:rsid w:val="00D269F0"/>
    <w:rsid w:val="00D26A3B"/>
    <w:rsid w:val="00D26A66"/>
    <w:rsid w:val="00D26BB0"/>
    <w:rsid w:val="00D26D81"/>
    <w:rsid w:val="00D26DF9"/>
    <w:rsid w:val="00D26F2A"/>
    <w:rsid w:val="00D26FEF"/>
    <w:rsid w:val="00D27137"/>
    <w:rsid w:val="00D2724C"/>
    <w:rsid w:val="00D273EB"/>
    <w:rsid w:val="00D27423"/>
    <w:rsid w:val="00D27432"/>
    <w:rsid w:val="00D27897"/>
    <w:rsid w:val="00D279B1"/>
    <w:rsid w:val="00D27FB8"/>
    <w:rsid w:val="00D306B0"/>
    <w:rsid w:val="00D308EF"/>
    <w:rsid w:val="00D3094C"/>
    <w:rsid w:val="00D30A84"/>
    <w:rsid w:val="00D30CA9"/>
    <w:rsid w:val="00D30D1B"/>
    <w:rsid w:val="00D30D2C"/>
    <w:rsid w:val="00D30D85"/>
    <w:rsid w:val="00D30DB5"/>
    <w:rsid w:val="00D30E9F"/>
    <w:rsid w:val="00D30F17"/>
    <w:rsid w:val="00D30F19"/>
    <w:rsid w:val="00D310DE"/>
    <w:rsid w:val="00D31437"/>
    <w:rsid w:val="00D31493"/>
    <w:rsid w:val="00D316E1"/>
    <w:rsid w:val="00D31926"/>
    <w:rsid w:val="00D31C81"/>
    <w:rsid w:val="00D31F59"/>
    <w:rsid w:val="00D32281"/>
    <w:rsid w:val="00D32728"/>
    <w:rsid w:val="00D32815"/>
    <w:rsid w:val="00D3288F"/>
    <w:rsid w:val="00D329BB"/>
    <w:rsid w:val="00D32ACA"/>
    <w:rsid w:val="00D32BC1"/>
    <w:rsid w:val="00D32BED"/>
    <w:rsid w:val="00D32C7E"/>
    <w:rsid w:val="00D32D6B"/>
    <w:rsid w:val="00D32FA9"/>
    <w:rsid w:val="00D32FBC"/>
    <w:rsid w:val="00D33089"/>
    <w:rsid w:val="00D3312A"/>
    <w:rsid w:val="00D33297"/>
    <w:rsid w:val="00D33419"/>
    <w:rsid w:val="00D3363E"/>
    <w:rsid w:val="00D33774"/>
    <w:rsid w:val="00D33908"/>
    <w:rsid w:val="00D33B17"/>
    <w:rsid w:val="00D33D18"/>
    <w:rsid w:val="00D33FD3"/>
    <w:rsid w:val="00D34263"/>
    <w:rsid w:val="00D344C8"/>
    <w:rsid w:val="00D344DB"/>
    <w:rsid w:val="00D346B2"/>
    <w:rsid w:val="00D348AC"/>
    <w:rsid w:val="00D3497D"/>
    <w:rsid w:val="00D34BCE"/>
    <w:rsid w:val="00D34DA6"/>
    <w:rsid w:val="00D34F4C"/>
    <w:rsid w:val="00D3516A"/>
    <w:rsid w:val="00D3557E"/>
    <w:rsid w:val="00D3575E"/>
    <w:rsid w:val="00D35ED0"/>
    <w:rsid w:val="00D35F96"/>
    <w:rsid w:val="00D36147"/>
    <w:rsid w:val="00D36194"/>
    <w:rsid w:val="00D366A1"/>
    <w:rsid w:val="00D367C3"/>
    <w:rsid w:val="00D368AC"/>
    <w:rsid w:val="00D3699F"/>
    <w:rsid w:val="00D36A9B"/>
    <w:rsid w:val="00D36B48"/>
    <w:rsid w:val="00D36B85"/>
    <w:rsid w:val="00D36BF0"/>
    <w:rsid w:val="00D36C16"/>
    <w:rsid w:val="00D36DBB"/>
    <w:rsid w:val="00D36E74"/>
    <w:rsid w:val="00D36EB2"/>
    <w:rsid w:val="00D36ECD"/>
    <w:rsid w:val="00D36F51"/>
    <w:rsid w:val="00D37052"/>
    <w:rsid w:val="00D3706E"/>
    <w:rsid w:val="00D37152"/>
    <w:rsid w:val="00D373AC"/>
    <w:rsid w:val="00D37548"/>
    <w:rsid w:val="00D3756C"/>
    <w:rsid w:val="00D377E4"/>
    <w:rsid w:val="00D378EB"/>
    <w:rsid w:val="00D37B05"/>
    <w:rsid w:val="00D37B3D"/>
    <w:rsid w:val="00D37C02"/>
    <w:rsid w:val="00D37CBF"/>
    <w:rsid w:val="00D37E91"/>
    <w:rsid w:val="00D37F9E"/>
    <w:rsid w:val="00D40051"/>
    <w:rsid w:val="00D40178"/>
    <w:rsid w:val="00D404D9"/>
    <w:rsid w:val="00D404E4"/>
    <w:rsid w:val="00D406C6"/>
    <w:rsid w:val="00D40874"/>
    <w:rsid w:val="00D40A1E"/>
    <w:rsid w:val="00D40ABD"/>
    <w:rsid w:val="00D40AD1"/>
    <w:rsid w:val="00D40C9F"/>
    <w:rsid w:val="00D40D5C"/>
    <w:rsid w:val="00D40D9B"/>
    <w:rsid w:val="00D40FC8"/>
    <w:rsid w:val="00D41040"/>
    <w:rsid w:val="00D413A1"/>
    <w:rsid w:val="00D4151D"/>
    <w:rsid w:val="00D41527"/>
    <w:rsid w:val="00D415ED"/>
    <w:rsid w:val="00D4171A"/>
    <w:rsid w:val="00D41865"/>
    <w:rsid w:val="00D41B1A"/>
    <w:rsid w:val="00D41B30"/>
    <w:rsid w:val="00D41CB1"/>
    <w:rsid w:val="00D42299"/>
    <w:rsid w:val="00D42324"/>
    <w:rsid w:val="00D4247D"/>
    <w:rsid w:val="00D42695"/>
    <w:rsid w:val="00D42839"/>
    <w:rsid w:val="00D428E0"/>
    <w:rsid w:val="00D42920"/>
    <w:rsid w:val="00D42951"/>
    <w:rsid w:val="00D42A7A"/>
    <w:rsid w:val="00D42C24"/>
    <w:rsid w:val="00D42D74"/>
    <w:rsid w:val="00D42E2F"/>
    <w:rsid w:val="00D42FE7"/>
    <w:rsid w:val="00D43162"/>
    <w:rsid w:val="00D433A1"/>
    <w:rsid w:val="00D433C3"/>
    <w:rsid w:val="00D434D8"/>
    <w:rsid w:val="00D43542"/>
    <w:rsid w:val="00D4365B"/>
    <w:rsid w:val="00D43A27"/>
    <w:rsid w:val="00D43A7C"/>
    <w:rsid w:val="00D43B58"/>
    <w:rsid w:val="00D43BD1"/>
    <w:rsid w:val="00D43DBC"/>
    <w:rsid w:val="00D43EA5"/>
    <w:rsid w:val="00D43F44"/>
    <w:rsid w:val="00D44278"/>
    <w:rsid w:val="00D442FC"/>
    <w:rsid w:val="00D4432D"/>
    <w:rsid w:val="00D4434D"/>
    <w:rsid w:val="00D44377"/>
    <w:rsid w:val="00D4477C"/>
    <w:rsid w:val="00D447FB"/>
    <w:rsid w:val="00D4485E"/>
    <w:rsid w:val="00D449C0"/>
    <w:rsid w:val="00D44C2C"/>
    <w:rsid w:val="00D44F58"/>
    <w:rsid w:val="00D459B1"/>
    <w:rsid w:val="00D45C36"/>
    <w:rsid w:val="00D45C92"/>
    <w:rsid w:val="00D46154"/>
    <w:rsid w:val="00D46394"/>
    <w:rsid w:val="00D4641C"/>
    <w:rsid w:val="00D464C0"/>
    <w:rsid w:val="00D46720"/>
    <w:rsid w:val="00D4683D"/>
    <w:rsid w:val="00D46D0D"/>
    <w:rsid w:val="00D46DC6"/>
    <w:rsid w:val="00D46FC6"/>
    <w:rsid w:val="00D471EA"/>
    <w:rsid w:val="00D472DC"/>
    <w:rsid w:val="00D478B4"/>
    <w:rsid w:val="00D4791B"/>
    <w:rsid w:val="00D47997"/>
    <w:rsid w:val="00D47B0D"/>
    <w:rsid w:val="00D47D14"/>
    <w:rsid w:val="00D47D40"/>
    <w:rsid w:val="00D47DB0"/>
    <w:rsid w:val="00D47E87"/>
    <w:rsid w:val="00D47FC7"/>
    <w:rsid w:val="00D5034E"/>
    <w:rsid w:val="00D503D3"/>
    <w:rsid w:val="00D50486"/>
    <w:rsid w:val="00D505C3"/>
    <w:rsid w:val="00D508FF"/>
    <w:rsid w:val="00D51083"/>
    <w:rsid w:val="00D512CC"/>
    <w:rsid w:val="00D51374"/>
    <w:rsid w:val="00D514CF"/>
    <w:rsid w:val="00D51555"/>
    <w:rsid w:val="00D51631"/>
    <w:rsid w:val="00D51645"/>
    <w:rsid w:val="00D51955"/>
    <w:rsid w:val="00D519C6"/>
    <w:rsid w:val="00D51B6F"/>
    <w:rsid w:val="00D51CA2"/>
    <w:rsid w:val="00D5202F"/>
    <w:rsid w:val="00D521BE"/>
    <w:rsid w:val="00D52406"/>
    <w:rsid w:val="00D524CB"/>
    <w:rsid w:val="00D5250A"/>
    <w:rsid w:val="00D525F7"/>
    <w:rsid w:val="00D52613"/>
    <w:rsid w:val="00D52671"/>
    <w:rsid w:val="00D52761"/>
    <w:rsid w:val="00D52812"/>
    <w:rsid w:val="00D52B69"/>
    <w:rsid w:val="00D52CF6"/>
    <w:rsid w:val="00D5304E"/>
    <w:rsid w:val="00D53108"/>
    <w:rsid w:val="00D53291"/>
    <w:rsid w:val="00D533FD"/>
    <w:rsid w:val="00D535D7"/>
    <w:rsid w:val="00D53884"/>
    <w:rsid w:val="00D53B3E"/>
    <w:rsid w:val="00D53C1B"/>
    <w:rsid w:val="00D53D14"/>
    <w:rsid w:val="00D53F3F"/>
    <w:rsid w:val="00D53F65"/>
    <w:rsid w:val="00D54218"/>
    <w:rsid w:val="00D546A9"/>
    <w:rsid w:val="00D5472E"/>
    <w:rsid w:val="00D5483E"/>
    <w:rsid w:val="00D54C41"/>
    <w:rsid w:val="00D54DBC"/>
    <w:rsid w:val="00D54F89"/>
    <w:rsid w:val="00D54FD9"/>
    <w:rsid w:val="00D55055"/>
    <w:rsid w:val="00D55322"/>
    <w:rsid w:val="00D55372"/>
    <w:rsid w:val="00D553F3"/>
    <w:rsid w:val="00D55575"/>
    <w:rsid w:val="00D55650"/>
    <w:rsid w:val="00D55804"/>
    <w:rsid w:val="00D55903"/>
    <w:rsid w:val="00D55A79"/>
    <w:rsid w:val="00D55B1D"/>
    <w:rsid w:val="00D55BDE"/>
    <w:rsid w:val="00D55E36"/>
    <w:rsid w:val="00D56116"/>
    <w:rsid w:val="00D562A0"/>
    <w:rsid w:val="00D5632B"/>
    <w:rsid w:val="00D56446"/>
    <w:rsid w:val="00D56647"/>
    <w:rsid w:val="00D566C1"/>
    <w:rsid w:val="00D566C8"/>
    <w:rsid w:val="00D566E7"/>
    <w:rsid w:val="00D5684F"/>
    <w:rsid w:val="00D56A95"/>
    <w:rsid w:val="00D56B40"/>
    <w:rsid w:val="00D56CEE"/>
    <w:rsid w:val="00D56DFC"/>
    <w:rsid w:val="00D57102"/>
    <w:rsid w:val="00D571C5"/>
    <w:rsid w:val="00D571EB"/>
    <w:rsid w:val="00D572CD"/>
    <w:rsid w:val="00D57325"/>
    <w:rsid w:val="00D5732F"/>
    <w:rsid w:val="00D57604"/>
    <w:rsid w:val="00D57792"/>
    <w:rsid w:val="00D578BB"/>
    <w:rsid w:val="00D578F2"/>
    <w:rsid w:val="00D57A96"/>
    <w:rsid w:val="00D57BFF"/>
    <w:rsid w:val="00D57CC1"/>
    <w:rsid w:val="00D57EA9"/>
    <w:rsid w:val="00D57F55"/>
    <w:rsid w:val="00D57FD6"/>
    <w:rsid w:val="00D60110"/>
    <w:rsid w:val="00D603FC"/>
    <w:rsid w:val="00D60501"/>
    <w:rsid w:val="00D6070B"/>
    <w:rsid w:val="00D607A7"/>
    <w:rsid w:val="00D60AD1"/>
    <w:rsid w:val="00D60B46"/>
    <w:rsid w:val="00D60BED"/>
    <w:rsid w:val="00D60ECD"/>
    <w:rsid w:val="00D60ED8"/>
    <w:rsid w:val="00D60FF0"/>
    <w:rsid w:val="00D61031"/>
    <w:rsid w:val="00D610E4"/>
    <w:rsid w:val="00D610E5"/>
    <w:rsid w:val="00D61507"/>
    <w:rsid w:val="00D615FF"/>
    <w:rsid w:val="00D616B7"/>
    <w:rsid w:val="00D616E1"/>
    <w:rsid w:val="00D617B0"/>
    <w:rsid w:val="00D61843"/>
    <w:rsid w:val="00D61BC5"/>
    <w:rsid w:val="00D61CD7"/>
    <w:rsid w:val="00D61E14"/>
    <w:rsid w:val="00D61EA9"/>
    <w:rsid w:val="00D620FF"/>
    <w:rsid w:val="00D622F6"/>
    <w:rsid w:val="00D62C0D"/>
    <w:rsid w:val="00D62D1D"/>
    <w:rsid w:val="00D62FE3"/>
    <w:rsid w:val="00D63172"/>
    <w:rsid w:val="00D631BA"/>
    <w:rsid w:val="00D63210"/>
    <w:rsid w:val="00D63318"/>
    <w:rsid w:val="00D6352A"/>
    <w:rsid w:val="00D63581"/>
    <w:rsid w:val="00D635D0"/>
    <w:rsid w:val="00D636B2"/>
    <w:rsid w:val="00D637DF"/>
    <w:rsid w:val="00D639AE"/>
    <w:rsid w:val="00D63A97"/>
    <w:rsid w:val="00D63CE1"/>
    <w:rsid w:val="00D63D7F"/>
    <w:rsid w:val="00D63EB1"/>
    <w:rsid w:val="00D63EE7"/>
    <w:rsid w:val="00D6416D"/>
    <w:rsid w:val="00D641FD"/>
    <w:rsid w:val="00D6437F"/>
    <w:rsid w:val="00D643CB"/>
    <w:rsid w:val="00D64451"/>
    <w:rsid w:val="00D64507"/>
    <w:rsid w:val="00D647FF"/>
    <w:rsid w:val="00D64A32"/>
    <w:rsid w:val="00D64AEB"/>
    <w:rsid w:val="00D64D3C"/>
    <w:rsid w:val="00D64EDC"/>
    <w:rsid w:val="00D64EF3"/>
    <w:rsid w:val="00D64F81"/>
    <w:rsid w:val="00D64FF5"/>
    <w:rsid w:val="00D65071"/>
    <w:rsid w:val="00D65137"/>
    <w:rsid w:val="00D65332"/>
    <w:rsid w:val="00D654C7"/>
    <w:rsid w:val="00D65517"/>
    <w:rsid w:val="00D65582"/>
    <w:rsid w:val="00D6560E"/>
    <w:rsid w:val="00D656C3"/>
    <w:rsid w:val="00D656DF"/>
    <w:rsid w:val="00D659B4"/>
    <w:rsid w:val="00D65D13"/>
    <w:rsid w:val="00D65D15"/>
    <w:rsid w:val="00D65D93"/>
    <w:rsid w:val="00D65FBD"/>
    <w:rsid w:val="00D65FF4"/>
    <w:rsid w:val="00D66543"/>
    <w:rsid w:val="00D66771"/>
    <w:rsid w:val="00D66A13"/>
    <w:rsid w:val="00D66A4B"/>
    <w:rsid w:val="00D66A83"/>
    <w:rsid w:val="00D66AA1"/>
    <w:rsid w:val="00D66BDC"/>
    <w:rsid w:val="00D66DC0"/>
    <w:rsid w:val="00D66E69"/>
    <w:rsid w:val="00D66FE8"/>
    <w:rsid w:val="00D670D4"/>
    <w:rsid w:val="00D672AA"/>
    <w:rsid w:val="00D673B6"/>
    <w:rsid w:val="00D67562"/>
    <w:rsid w:val="00D675E1"/>
    <w:rsid w:val="00D6762C"/>
    <w:rsid w:val="00D6766E"/>
    <w:rsid w:val="00D6778D"/>
    <w:rsid w:val="00D67831"/>
    <w:rsid w:val="00D679B7"/>
    <w:rsid w:val="00D67A6C"/>
    <w:rsid w:val="00D67B15"/>
    <w:rsid w:val="00D67C79"/>
    <w:rsid w:val="00D67EFD"/>
    <w:rsid w:val="00D67F85"/>
    <w:rsid w:val="00D70082"/>
    <w:rsid w:val="00D7020B"/>
    <w:rsid w:val="00D70258"/>
    <w:rsid w:val="00D7033E"/>
    <w:rsid w:val="00D7074B"/>
    <w:rsid w:val="00D70781"/>
    <w:rsid w:val="00D70A40"/>
    <w:rsid w:val="00D70F22"/>
    <w:rsid w:val="00D70FD6"/>
    <w:rsid w:val="00D714FD"/>
    <w:rsid w:val="00D715EB"/>
    <w:rsid w:val="00D7165D"/>
    <w:rsid w:val="00D718F4"/>
    <w:rsid w:val="00D71B6B"/>
    <w:rsid w:val="00D71CCB"/>
    <w:rsid w:val="00D71EE7"/>
    <w:rsid w:val="00D71F9C"/>
    <w:rsid w:val="00D723FA"/>
    <w:rsid w:val="00D7249A"/>
    <w:rsid w:val="00D724E9"/>
    <w:rsid w:val="00D72573"/>
    <w:rsid w:val="00D7259C"/>
    <w:rsid w:val="00D72645"/>
    <w:rsid w:val="00D727C5"/>
    <w:rsid w:val="00D728E9"/>
    <w:rsid w:val="00D729AD"/>
    <w:rsid w:val="00D729FE"/>
    <w:rsid w:val="00D72A44"/>
    <w:rsid w:val="00D72AE2"/>
    <w:rsid w:val="00D72BDC"/>
    <w:rsid w:val="00D72D6A"/>
    <w:rsid w:val="00D72E58"/>
    <w:rsid w:val="00D731BE"/>
    <w:rsid w:val="00D732FF"/>
    <w:rsid w:val="00D733D8"/>
    <w:rsid w:val="00D733E9"/>
    <w:rsid w:val="00D73430"/>
    <w:rsid w:val="00D73488"/>
    <w:rsid w:val="00D73675"/>
    <w:rsid w:val="00D736DD"/>
    <w:rsid w:val="00D739C6"/>
    <w:rsid w:val="00D73A40"/>
    <w:rsid w:val="00D73AD9"/>
    <w:rsid w:val="00D73B1E"/>
    <w:rsid w:val="00D73C7D"/>
    <w:rsid w:val="00D73CE4"/>
    <w:rsid w:val="00D73CFB"/>
    <w:rsid w:val="00D73D7C"/>
    <w:rsid w:val="00D73FD1"/>
    <w:rsid w:val="00D74331"/>
    <w:rsid w:val="00D743C0"/>
    <w:rsid w:val="00D744D3"/>
    <w:rsid w:val="00D7457B"/>
    <w:rsid w:val="00D74629"/>
    <w:rsid w:val="00D74706"/>
    <w:rsid w:val="00D74BAE"/>
    <w:rsid w:val="00D74C7B"/>
    <w:rsid w:val="00D75040"/>
    <w:rsid w:val="00D7517E"/>
    <w:rsid w:val="00D751C4"/>
    <w:rsid w:val="00D754A2"/>
    <w:rsid w:val="00D756AE"/>
    <w:rsid w:val="00D75A81"/>
    <w:rsid w:val="00D75C11"/>
    <w:rsid w:val="00D75CD6"/>
    <w:rsid w:val="00D75D3D"/>
    <w:rsid w:val="00D75E26"/>
    <w:rsid w:val="00D75E6B"/>
    <w:rsid w:val="00D75F36"/>
    <w:rsid w:val="00D763AC"/>
    <w:rsid w:val="00D764B6"/>
    <w:rsid w:val="00D764D3"/>
    <w:rsid w:val="00D766A0"/>
    <w:rsid w:val="00D766AA"/>
    <w:rsid w:val="00D766CE"/>
    <w:rsid w:val="00D76942"/>
    <w:rsid w:val="00D76BFA"/>
    <w:rsid w:val="00D76C08"/>
    <w:rsid w:val="00D76CD1"/>
    <w:rsid w:val="00D76CD4"/>
    <w:rsid w:val="00D76DB8"/>
    <w:rsid w:val="00D76ED9"/>
    <w:rsid w:val="00D77011"/>
    <w:rsid w:val="00D77159"/>
    <w:rsid w:val="00D77370"/>
    <w:rsid w:val="00D773C9"/>
    <w:rsid w:val="00D774BE"/>
    <w:rsid w:val="00D77637"/>
    <w:rsid w:val="00D77669"/>
    <w:rsid w:val="00D778D7"/>
    <w:rsid w:val="00D77CC0"/>
    <w:rsid w:val="00D77D3D"/>
    <w:rsid w:val="00D77DD0"/>
    <w:rsid w:val="00D77EB0"/>
    <w:rsid w:val="00D8019D"/>
    <w:rsid w:val="00D801AD"/>
    <w:rsid w:val="00D8027B"/>
    <w:rsid w:val="00D803DF"/>
    <w:rsid w:val="00D805AB"/>
    <w:rsid w:val="00D8084E"/>
    <w:rsid w:val="00D80870"/>
    <w:rsid w:val="00D809D8"/>
    <w:rsid w:val="00D80B95"/>
    <w:rsid w:val="00D80CEC"/>
    <w:rsid w:val="00D80D49"/>
    <w:rsid w:val="00D80DBB"/>
    <w:rsid w:val="00D80E6C"/>
    <w:rsid w:val="00D80F29"/>
    <w:rsid w:val="00D80F3F"/>
    <w:rsid w:val="00D80F6C"/>
    <w:rsid w:val="00D81167"/>
    <w:rsid w:val="00D81428"/>
    <w:rsid w:val="00D81566"/>
    <w:rsid w:val="00D81647"/>
    <w:rsid w:val="00D8166C"/>
    <w:rsid w:val="00D81782"/>
    <w:rsid w:val="00D81C30"/>
    <w:rsid w:val="00D81CA0"/>
    <w:rsid w:val="00D81CE9"/>
    <w:rsid w:val="00D81D7F"/>
    <w:rsid w:val="00D81F64"/>
    <w:rsid w:val="00D820C0"/>
    <w:rsid w:val="00D8269F"/>
    <w:rsid w:val="00D82703"/>
    <w:rsid w:val="00D82B43"/>
    <w:rsid w:val="00D82C5E"/>
    <w:rsid w:val="00D82E64"/>
    <w:rsid w:val="00D82F8E"/>
    <w:rsid w:val="00D82FEE"/>
    <w:rsid w:val="00D83084"/>
    <w:rsid w:val="00D83232"/>
    <w:rsid w:val="00D833E4"/>
    <w:rsid w:val="00D8345C"/>
    <w:rsid w:val="00D83558"/>
    <w:rsid w:val="00D8362D"/>
    <w:rsid w:val="00D837C8"/>
    <w:rsid w:val="00D83B70"/>
    <w:rsid w:val="00D83C71"/>
    <w:rsid w:val="00D83C87"/>
    <w:rsid w:val="00D83CEA"/>
    <w:rsid w:val="00D83D5A"/>
    <w:rsid w:val="00D83E4E"/>
    <w:rsid w:val="00D83F8A"/>
    <w:rsid w:val="00D84024"/>
    <w:rsid w:val="00D8422E"/>
    <w:rsid w:val="00D8423D"/>
    <w:rsid w:val="00D8449C"/>
    <w:rsid w:val="00D844FA"/>
    <w:rsid w:val="00D84596"/>
    <w:rsid w:val="00D845E6"/>
    <w:rsid w:val="00D846BF"/>
    <w:rsid w:val="00D84770"/>
    <w:rsid w:val="00D84917"/>
    <w:rsid w:val="00D84B46"/>
    <w:rsid w:val="00D84DB2"/>
    <w:rsid w:val="00D84F88"/>
    <w:rsid w:val="00D850D4"/>
    <w:rsid w:val="00D851F3"/>
    <w:rsid w:val="00D853E5"/>
    <w:rsid w:val="00D85422"/>
    <w:rsid w:val="00D856E4"/>
    <w:rsid w:val="00D85A4F"/>
    <w:rsid w:val="00D85B5D"/>
    <w:rsid w:val="00D85E4F"/>
    <w:rsid w:val="00D85F1F"/>
    <w:rsid w:val="00D85F88"/>
    <w:rsid w:val="00D85FAD"/>
    <w:rsid w:val="00D85FDD"/>
    <w:rsid w:val="00D86056"/>
    <w:rsid w:val="00D860B3"/>
    <w:rsid w:val="00D8610C"/>
    <w:rsid w:val="00D8611E"/>
    <w:rsid w:val="00D861CB"/>
    <w:rsid w:val="00D863F6"/>
    <w:rsid w:val="00D86566"/>
    <w:rsid w:val="00D86788"/>
    <w:rsid w:val="00D86B42"/>
    <w:rsid w:val="00D86C05"/>
    <w:rsid w:val="00D86C3F"/>
    <w:rsid w:val="00D86DD0"/>
    <w:rsid w:val="00D86DE8"/>
    <w:rsid w:val="00D86E48"/>
    <w:rsid w:val="00D86E72"/>
    <w:rsid w:val="00D86FFA"/>
    <w:rsid w:val="00D870D6"/>
    <w:rsid w:val="00D87249"/>
    <w:rsid w:val="00D875C9"/>
    <w:rsid w:val="00D876A1"/>
    <w:rsid w:val="00D87C3C"/>
    <w:rsid w:val="00D87F15"/>
    <w:rsid w:val="00D87F58"/>
    <w:rsid w:val="00D900EF"/>
    <w:rsid w:val="00D9043D"/>
    <w:rsid w:val="00D90607"/>
    <w:rsid w:val="00D908A7"/>
    <w:rsid w:val="00D90B90"/>
    <w:rsid w:val="00D90C91"/>
    <w:rsid w:val="00D90CA4"/>
    <w:rsid w:val="00D90DEE"/>
    <w:rsid w:val="00D90DFE"/>
    <w:rsid w:val="00D910D9"/>
    <w:rsid w:val="00D91326"/>
    <w:rsid w:val="00D915AF"/>
    <w:rsid w:val="00D91A16"/>
    <w:rsid w:val="00D91CF3"/>
    <w:rsid w:val="00D91D46"/>
    <w:rsid w:val="00D91D85"/>
    <w:rsid w:val="00D91DA7"/>
    <w:rsid w:val="00D91E53"/>
    <w:rsid w:val="00D9203B"/>
    <w:rsid w:val="00D920B5"/>
    <w:rsid w:val="00D92153"/>
    <w:rsid w:val="00D9228C"/>
    <w:rsid w:val="00D92317"/>
    <w:rsid w:val="00D924AE"/>
    <w:rsid w:val="00D92660"/>
    <w:rsid w:val="00D926E8"/>
    <w:rsid w:val="00D927CA"/>
    <w:rsid w:val="00D928F0"/>
    <w:rsid w:val="00D92BB6"/>
    <w:rsid w:val="00D930F2"/>
    <w:rsid w:val="00D93646"/>
    <w:rsid w:val="00D936A0"/>
    <w:rsid w:val="00D936BB"/>
    <w:rsid w:val="00D937D7"/>
    <w:rsid w:val="00D93834"/>
    <w:rsid w:val="00D93908"/>
    <w:rsid w:val="00D9396B"/>
    <w:rsid w:val="00D93A2B"/>
    <w:rsid w:val="00D93C45"/>
    <w:rsid w:val="00D93D7A"/>
    <w:rsid w:val="00D93F07"/>
    <w:rsid w:val="00D93F76"/>
    <w:rsid w:val="00D94325"/>
    <w:rsid w:val="00D9465F"/>
    <w:rsid w:val="00D94990"/>
    <w:rsid w:val="00D94C58"/>
    <w:rsid w:val="00D94CBC"/>
    <w:rsid w:val="00D94F22"/>
    <w:rsid w:val="00D94F6D"/>
    <w:rsid w:val="00D950B9"/>
    <w:rsid w:val="00D95478"/>
    <w:rsid w:val="00D954BA"/>
    <w:rsid w:val="00D9550D"/>
    <w:rsid w:val="00D956FB"/>
    <w:rsid w:val="00D95893"/>
    <w:rsid w:val="00D9590B"/>
    <w:rsid w:val="00D9598D"/>
    <w:rsid w:val="00D95C56"/>
    <w:rsid w:val="00D95F41"/>
    <w:rsid w:val="00D95F75"/>
    <w:rsid w:val="00D963AE"/>
    <w:rsid w:val="00D964E7"/>
    <w:rsid w:val="00D966CA"/>
    <w:rsid w:val="00D96701"/>
    <w:rsid w:val="00D96B87"/>
    <w:rsid w:val="00D96BAC"/>
    <w:rsid w:val="00D96BED"/>
    <w:rsid w:val="00D96CE5"/>
    <w:rsid w:val="00D96DAE"/>
    <w:rsid w:val="00D97015"/>
    <w:rsid w:val="00D9730A"/>
    <w:rsid w:val="00D97405"/>
    <w:rsid w:val="00D9748E"/>
    <w:rsid w:val="00D975A6"/>
    <w:rsid w:val="00D9780B"/>
    <w:rsid w:val="00D978D0"/>
    <w:rsid w:val="00D97FE8"/>
    <w:rsid w:val="00DA001E"/>
    <w:rsid w:val="00DA00FA"/>
    <w:rsid w:val="00DA014A"/>
    <w:rsid w:val="00DA0195"/>
    <w:rsid w:val="00DA021A"/>
    <w:rsid w:val="00DA027B"/>
    <w:rsid w:val="00DA0323"/>
    <w:rsid w:val="00DA059B"/>
    <w:rsid w:val="00DA0893"/>
    <w:rsid w:val="00DA08EA"/>
    <w:rsid w:val="00DA0981"/>
    <w:rsid w:val="00DA09D0"/>
    <w:rsid w:val="00DA0A21"/>
    <w:rsid w:val="00DA0A2C"/>
    <w:rsid w:val="00DA0C99"/>
    <w:rsid w:val="00DA0E0F"/>
    <w:rsid w:val="00DA0ED7"/>
    <w:rsid w:val="00DA11A7"/>
    <w:rsid w:val="00DA1224"/>
    <w:rsid w:val="00DA141D"/>
    <w:rsid w:val="00DA1512"/>
    <w:rsid w:val="00DA1A93"/>
    <w:rsid w:val="00DA1ADE"/>
    <w:rsid w:val="00DA1B9D"/>
    <w:rsid w:val="00DA1C43"/>
    <w:rsid w:val="00DA1F12"/>
    <w:rsid w:val="00DA22CE"/>
    <w:rsid w:val="00DA248B"/>
    <w:rsid w:val="00DA2528"/>
    <w:rsid w:val="00DA2547"/>
    <w:rsid w:val="00DA25C9"/>
    <w:rsid w:val="00DA286D"/>
    <w:rsid w:val="00DA2877"/>
    <w:rsid w:val="00DA2959"/>
    <w:rsid w:val="00DA2983"/>
    <w:rsid w:val="00DA2A31"/>
    <w:rsid w:val="00DA2B94"/>
    <w:rsid w:val="00DA2CCA"/>
    <w:rsid w:val="00DA2DC7"/>
    <w:rsid w:val="00DA2F33"/>
    <w:rsid w:val="00DA2FC2"/>
    <w:rsid w:val="00DA311C"/>
    <w:rsid w:val="00DA3160"/>
    <w:rsid w:val="00DA330C"/>
    <w:rsid w:val="00DA340D"/>
    <w:rsid w:val="00DA39FA"/>
    <w:rsid w:val="00DA3C61"/>
    <w:rsid w:val="00DA3CB2"/>
    <w:rsid w:val="00DA3E06"/>
    <w:rsid w:val="00DA3EE8"/>
    <w:rsid w:val="00DA3F3E"/>
    <w:rsid w:val="00DA40F9"/>
    <w:rsid w:val="00DA41A3"/>
    <w:rsid w:val="00DA4210"/>
    <w:rsid w:val="00DA4402"/>
    <w:rsid w:val="00DA4497"/>
    <w:rsid w:val="00DA46C5"/>
    <w:rsid w:val="00DA4794"/>
    <w:rsid w:val="00DA47B9"/>
    <w:rsid w:val="00DA47EC"/>
    <w:rsid w:val="00DA49E5"/>
    <w:rsid w:val="00DA4B82"/>
    <w:rsid w:val="00DA4BAF"/>
    <w:rsid w:val="00DA4DB1"/>
    <w:rsid w:val="00DA4EEE"/>
    <w:rsid w:val="00DA4F77"/>
    <w:rsid w:val="00DA5155"/>
    <w:rsid w:val="00DA5201"/>
    <w:rsid w:val="00DA52F0"/>
    <w:rsid w:val="00DA533C"/>
    <w:rsid w:val="00DA538F"/>
    <w:rsid w:val="00DA5547"/>
    <w:rsid w:val="00DA5A9B"/>
    <w:rsid w:val="00DA5CA1"/>
    <w:rsid w:val="00DA5D80"/>
    <w:rsid w:val="00DA5D86"/>
    <w:rsid w:val="00DA5ECC"/>
    <w:rsid w:val="00DA5F4B"/>
    <w:rsid w:val="00DA5F53"/>
    <w:rsid w:val="00DA5F77"/>
    <w:rsid w:val="00DA6013"/>
    <w:rsid w:val="00DA60A0"/>
    <w:rsid w:val="00DA6110"/>
    <w:rsid w:val="00DA62F9"/>
    <w:rsid w:val="00DA6422"/>
    <w:rsid w:val="00DA6497"/>
    <w:rsid w:val="00DA6718"/>
    <w:rsid w:val="00DA69A8"/>
    <w:rsid w:val="00DA69EA"/>
    <w:rsid w:val="00DA6BE3"/>
    <w:rsid w:val="00DA6C1C"/>
    <w:rsid w:val="00DA6C47"/>
    <w:rsid w:val="00DA6C7C"/>
    <w:rsid w:val="00DA6C86"/>
    <w:rsid w:val="00DA6CC4"/>
    <w:rsid w:val="00DA6CEC"/>
    <w:rsid w:val="00DA6E8E"/>
    <w:rsid w:val="00DA6FE5"/>
    <w:rsid w:val="00DA7103"/>
    <w:rsid w:val="00DA7128"/>
    <w:rsid w:val="00DA71DB"/>
    <w:rsid w:val="00DA78C2"/>
    <w:rsid w:val="00DA79A0"/>
    <w:rsid w:val="00DA7AE2"/>
    <w:rsid w:val="00DA7FBA"/>
    <w:rsid w:val="00DB05AA"/>
    <w:rsid w:val="00DB06E5"/>
    <w:rsid w:val="00DB0735"/>
    <w:rsid w:val="00DB0843"/>
    <w:rsid w:val="00DB0A9E"/>
    <w:rsid w:val="00DB0D8B"/>
    <w:rsid w:val="00DB0EEF"/>
    <w:rsid w:val="00DB100A"/>
    <w:rsid w:val="00DB10D1"/>
    <w:rsid w:val="00DB11D7"/>
    <w:rsid w:val="00DB127B"/>
    <w:rsid w:val="00DB163C"/>
    <w:rsid w:val="00DB17A2"/>
    <w:rsid w:val="00DB19C0"/>
    <w:rsid w:val="00DB1B38"/>
    <w:rsid w:val="00DB1BB1"/>
    <w:rsid w:val="00DB1C24"/>
    <w:rsid w:val="00DB1DEC"/>
    <w:rsid w:val="00DB1FEC"/>
    <w:rsid w:val="00DB2073"/>
    <w:rsid w:val="00DB2235"/>
    <w:rsid w:val="00DB2308"/>
    <w:rsid w:val="00DB2430"/>
    <w:rsid w:val="00DB2469"/>
    <w:rsid w:val="00DB27C9"/>
    <w:rsid w:val="00DB27D3"/>
    <w:rsid w:val="00DB2814"/>
    <w:rsid w:val="00DB28D7"/>
    <w:rsid w:val="00DB2902"/>
    <w:rsid w:val="00DB2934"/>
    <w:rsid w:val="00DB2D4F"/>
    <w:rsid w:val="00DB2DF8"/>
    <w:rsid w:val="00DB3188"/>
    <w:rsid w:val="00DB31BF"/>
    <w:rsid w:val="00DB31C8"/>
    <w:rsid w:val="00DB32A4"/>
    <w:rsid w:val="00DB33E2"/>
    <w:rsid w:val="00DB362A"/>
    <w:rsid w:val="00DB364C"/>
    <w:rsid w:val="00DB3932"/>
    <w:rsid w:val="00DB3A02"/>
    <w:rsid w:val="00DB3A3A"/>
    <w:rsid w:val="00DB3A59"/>
    <w:rsid w:val="00DB3A95"/>
    <w:rsid w:val="00DB3B0A"/>
    <w:rsid w:val="00DB3B1B"/>
    <w:rsid w:val="00DB3C61"/>
    <w:rsid w:val="00DB3F7B"/>
    <w:rsid w:val="00DB404E"/>
    <w:rsid w:val="00DB4070"/>
    <w:rsid w:val="00DB4138"/>
    <w:rsid w:val="00DB41A7"/>
    <w:rsid w:val="00DB44F7"/>
    <w:rsid w:val="00DB456B"/>
    <w:rsid w:val="00DB45E5"/>
    <w:rsid w:val="00DB49FC"/>
    <w:rsid w:val="00DB4CA4"/>
    <w:rsid w:val="00DB4D11"/>
    <w:rsid w:val="00DB4F71"/>
    <w:rsid w:val="00DB50FA"/>
    <w:rsid w:val="00DB51D2"/>
    <w:rsid w:val="00DB53BD"/>
    <w:rsid w:val="00DB54A7"/>
    <w:rsid w:val="00DB5520"/>
    <w:rsid w:val="00DB5574"/>
    <w:rsid w:val="00DB5816"/>
    <w:rsid w:val="00DB5E3B"/>
    <w:rsid w:val="00DB606C"/>
    <w:rsid w:val="00DB624B"/>
    <w:rsid w:val="00DB6423"/>
    <w:rsid w:val="00DB6448"/>
    <w:rsid w:val="00DB6567"/>
    <w:rsid w:val="00DB6604"/>
    <w:rsid w:val="00DB675C"/>
    <w:rsid w:val="00DB67C3"/>
    <w:rsid w:val="00DB6859"/>
    <w:rsid w:val="00DB6876"/>
    <w:rsid w:val="00DB68BC"/>
    <w:rsid w:val="00DB6966"/>
    <w:rsid w:val="00DB69E8"/>
    <w:rsid w:val="00DB6AAE"/>
    <w:rsid w:val="00DB6C32"/>
    <w:rsid w:val="00DB6F6B"/>
    <w:rsid w:val="00DB6FC6"/>
    <w:rsid w:val="00DB7103"/>
    <w:rsid w:val="00DB726B"/>
    <w:rsid w:val="00DB72A3"/>
    <w:rsid w:val="00DB75E8"/>
    <w:rsid w:val="00DB768A"/>
    <w:rsid w:val="00DB76F9"/>
    <w:rsid w:val="00DB7757"/>
    <w:rsid w:val="00DB7780"/>
    <w:rsid w:val="00DB7858"/>
    <w:rsid w:val="00DB79FE"/>
    <w:rsid w:val="00DB7A6B"/>
    <w:rsid w:val="00DB7E2B"/>
    <w:rsid w:val="00DC0003"/>
    <w:rsid w:val="00DC03E2"/>
    <w:rsid w:val="00DC0485"/>
    <w:rsid w:val="00DC06C8"/>
    <w:rsid w:val="00DC06CC"/>
    <w:rsid w:val="00DC06DF"/>
    <w:rsid w:val="00DC09B8"/>
    <w:rsid w:val="00DC0B2D"/>
    <w:rsid w:val="00DC0B3A"/>
    <w:rsid w:val="00DC0B52"/>
    <w:rsid w:val="00DC0E62"/>
    <w:rsid w:val="00DC11DD"/>
    <w:rsid w:val="00DC1403"/>
    <w:rsid w:val="00DC14CA"/>
    <w:rsid w:val="00DC1603"/>
    <w:rsid w:val="00DC18DA"/>
    <w:rsid w:val="00DC1A9E"/>
    <w:rsid w:val="00DC1AA4"/>
    <w:rsid w:val="00DC1DA2"/>
    <w:rsid w:val="00DC205B"/>
    <w:rsid w:val="00DC22FB"/>
    <w:rsid w:val="00DC2350"/>
    <w:rsid w:val="00DC255F"/>
    <w:rsid w:val="00DC2719"/>
    <w:rsid w:val="00DC27BB"/>
    <w:rsid w:val="00DC2963"/>
    <w:rsid w:val="00DC2CEC"/>
    <w:rsid w:val="00DC2E28"/>
    <w:rsid w:val="00DC308B"/>
    <w:rsid w:val="00DC32BA"/>
    <w:rsid w:val="00DC34EA"/>
    <w:rsid w:val="00DC371E"/>
    <w:rsid w:val="00DC394E"/>
    <w:rsid w:val="00DC3979"/>
    <w:rsid w:val="00DC3A3B"/>
    <w:rsid w:val="00DC3ED3"/>
    <w:rsid w:val="00DC411B"/>
    <w:rsid w:val="00DC4468"/>
    <w:rsid w:val="00DC4695"/>
    <w:rsid w:val="00DC483B"/>
    <w:rsid w:val="00DC49F8"/>
    <w:rsid w:val="00DC4BD2"/>
    <w:rsid w:val="00DC4BE6"/>
    <w:rsid w:val="00DC4C75"/>
    <w:rsid w:val="00DC4D74"/>
    <w:rsid w:val="00DC4E8E"/>
    <w:rsid w:val="00DC4F91"/>
    <w:rsid w:val="00DC4FB1"/>
    <w:rsid w:val="00DC5190"/>
    <w:rsid w:val="00DC51CD"/>
    <w:rsid w:val="00DC553F"/>
    <w:rsid w:val="00DC5557"/>
    <w:rsid w:val="00DC5589"/>
    <w:rsid w:val="00DC5847"/>
    <w:rsid w:val="00DC5A0C"/>
    <w:rsid w:val="00DC5A5A"/>
    <w:rsid w:val="00DC612C"/>
    <w:rsid w:val="00DC61D9"/>
    <w:rsid w:val="00DC628B"/>
    <w:rsid w:val="00DC6665"/>
    <w:rsid w:val="00DC6707"/>
    <w:rsid w:val="00DC678F"/>
    <w:rsid w:val="00DC68F4"/>
    <w:rsid w:val="00DC6AE0"/>
    <w:rsid w:val="00DC6C6E"/>
    <w:rsid w:val="00DC6CD1"/>
    <w:rsid w:val="00DC6EF0"/>
    <w:rsid w:val="00DC6FF2"/>
    <w:rsid w:val="00DC7015"/>
    <w:rsid w:val="00DC7643"/>
    <w:rsid w:val="00DC7851"/>
    <w:rsid w:val="00DC7AC5"/>
    <w:rsid w:val="00DC7B8F"/>
    <w:rsid w:val="00DC7C5B"/>
    <w:rsid w:val="00DC7D2B"/>
    <w:rsid w:val="00DC7E74"/>
    <w:rsid w:val="00DC7F2A"/>
    <w:rsid w:val="00DC7F6B"/>
    <w:rsid w:val="00DD01E6"/>
    <w:rsid w:val="00DD035D"/>
    <w:rsid w:val="00DD04C8"/>
    <w:rsid w:val="00DD0634"/>
    <w:rsid w:val="00DD07BE"/>
    <w:rsid w:val="00DD09AA"/>
    <w:rsid w:val="00DD0AD8"/>
    <w:rsid w:val="00DD0C07"/>
    <w:rsid w:val="00DD0D84"/>
    <w:rsid w:val="00DD0E64"/>
    <w:rsid w:val="00DD1420"/>
    <w:rsid w:val="00DD1529"/>
    <w:rsid w:val="00DD1C0C"/>
    <w:rsid w:val="00DD202A"/>
    <w:rsid w:val="00DD20DC"/>
    <w:rsid w:val="00DD21FC"/>
    <w:rsid w:val="00DD2412"/>
    <w:rsid w:val="00DD2578"/>
    <w:rsid w:val="00DD27AF"/>
    <w:rsid w:val="00DD29C4"/>
    <w:rsid w:val="00DD2A37"/>
    <w:rsid w:val="00DD2A40"/>
    <w:rsid w:val="00DD2C07"/>
    <w:rsid w:val="00DD2CFD"/>
    <w:rsid w:val="00DD2E10"/>
    <w:rsid w:val="00DD2E95"/>
    <w:rsid w:val="00DD310F"/>
    <w:rsid w:val="00DD31C6"/>
    <w:rsid w:val="00DD3376"/>
    <w:rsid w:val="00DD343A"/>
    <w:rsid w:val="00DD34D5"/>
    <w:rsid w:val="00DD368F"/>
    <w:rsid w:val="00DD3692"/>
    <w:rsid w:val="00DD36DE"/>
    <w:rsid w:val="00DD3765"/>
    <w:rsid w:val="00DD3813"/>
    <w:rsid w:val="00DD3BB1"/>
    <w:rsid w:val="00DD3C2D"/>
    <w:rsid w:val="00DD3D4A"/>
    <w:rsid w:val="00DD3D5C"/>
    <w:rsid w:val="00DD402A"/>
    <w:rsid w:val="00DD4228"/>
    <w:rsid w:val="00DD4272"/>
    <w:rsid w:val="00DD43A6"/>
    <w:rsid w:val="00DD43F8"/>
    <w:rsid w:val="00DD4522"/>
    <w:rsid w:val="00DD4792"/>
    <w:rsid w:val="00DD4BA1"/>
    <w:rsid w:val="00DD4D81"/>
    <w:rsid w:val="00DD4DEE"/>
    <w:rsid w:val="00DD503A"/>
    <w:rsid w:val="00DD5256"/>
    <w:rsid w:val="00DD543A"/>
    <w:rsid w:val="00DD55A0"/>
    <w:rsid w:val="00DD55B0"/>
    <w:rsid w:val="00DD55C6"/>
    <w:rsid w:val="00DD5D55"/>
    <w:rsid w:val="00DD5E87"/>
    <w:rsid w:val="00DD5F4E"/>
    <w:rsid w:val="00DD5F65"/>
    <w:rsid w:val="00DD5FE4"/>
    <w:rsid w:val="00DD60EB"/>
    <w:rsid w:val="00DD630F"/>
    <w:rsid w:val="00DD653D"/>
    <w:rsid w:val="00DD6AA9"/>
    <w:rsid w:val="00DD6AD4"/>
    <w:rsid w:val="00DD6BD0"/>
    <w:rsid w:val="00DD6CB2"/>
    <w:rsid w:val="00DD7328"/>
    <w:rsid w:val="00DD75BF"/>
    <w:rsid w:val="00DD7635"/>
    <w:rsid w:val="00DD78BD"/>
    <w:rsid w:val="00DD7B4C"/>
    <w:rsid w:val="00DD7EAF"/>
    <w:rsid w:val="00DE0060"/>
    <w:rsid w:val="00DE0195"/>
    <w:rsid w:val="00DE0218"/>
    <w:rsid w:val="00DE021F"/>
    <w:rsid w:val="00DE025A"/>
    <w:rsid w:val="00DE05EF"/>
    <w:rsid w:val="00DE0701"/>
    <w:rsid w:val="00DE0CB6"/>
    <w:rsid w:val="00DE0D10"/>
    <w:rsid w:val="00DE0D55"/>
    <w:rsid w:val="00DE1028"/>
    <w:rsid w:val="00DE108B"/>
    <w:rsid w:val="00DE1336"/>
    <w:rsid w:val="00DE1432"/>
    <w:rsid w:val="00DE144B"/>
    <w:rsid w:val="00DE175B"/>
    <w:rsid w:val="00DE1E64"/>
    <w:rsid w:val="00DE1E6B"/>
    <w:rsid w:val="00DE22A7"/>
    <w:rsid w:val="00DE2508"/>
    <w:rsid w:val="00DE2596"/>
    <w:rsid w:val="00DE266B"/>
    <w:rsid w:val="00DE28D3"/>
    <w:rsid w:val="00DE2935"/>
    <w:rsid w:val="00DE2D91"/>
    <w:rsid w:val="00DE2F0D"/>
    <w:rsid w:val="00DE303B"/>
    <w:rsid w:val="00DE30BB"/>
    <w:rsid w:val="00DE3128"/>
    <w:rsid w:val="00DE3283"/>
    <w:rsid w:val="00DE3349"/>
    <w:rsid w:val="00DE346F"/>
    <w:rsid w:val="00DE36C1"/>
    <w:rsid w:val="00DE3865"/>
    <w:rsid w:val="00DE3875"/>
    <w:rsid w:val="00DE39EF"/>
    <w:rsid w:val="00DE3CC5"/>
    <w:rsid w:val="00DE3D0D"/>
    <w:rsid w:val="00DE3F6B"/>
    <w:rsid w:val="00DE4153"/>
    <w:rsid w:val="00DE42AA"/>
    <w:rsid w:val="00DE471F"/>
    <w:rsid w:val="00DE47B3"/>
    <w:rsid w:val="00DE4B0C"/>
    <w:rsid w:val="00DE4C27"/>
    <w:rsid w:val="00DE4CCA"/>
    <w:rsid w:val="00DE4D72"/>
    <w:rsid w:val="00DE4D7C"/>
    <w:rsid w:val="00DE4E80"/>
    <w:rsid w:val="00DE4F7A"/>
    <w:rsid w:val="00DE5339"/>
    <w:rsid w:val="00DE53A8"/>
    <w:rsid w:val="00DE56CE"/>
    <w:rsid w:val="00DE5773"/>
    <w:rsid w:val="00DE5815"/>
    <w:rsid w:val="00DE58BF"/>
    <w:rsid w:val="00DE5A3F"/>
    <w:rsid w:val="00DE5B09"/>
    <w:rsid w:val="00DE5B93"/>
    <w:rsid w:val="00DE5C74"/>
    <w:rsid w:val="00DE5E6F"/>
    <w:rsid w:val="00DE5F05"/>
    <w:rsid w:val="00DE5F64"/>
    <w:rsid w:val="00DE5FFB"/>
    <w:rsid w:val="00DE60B1"/>
    <w:rsid w:val="00DE63C8"/>
    <w:rsid w:val="00DE6443"/>
    <w:rsid w:val="00DE64AD"/>
    <w:rsid w:val="00DE6588"/>
    <w:rsid w:val="00DE6628"/>
    <w:rsid w:val="00DE667B"/>
    <w:rsid w:val="00DE67EC"/>
    <w:rsid w:val="00DE6800"/>
    <w:rsid w:val="00DE69FA"/>
    <w:rsid w:val="00DE6AFD"/>
    <w:rsid w:val="00DE6B84"/>
    <w:rsid w:val="00DE6C7B"/>
    <w:rsid w:val="00DE6D48"/>
    <w:rsid w:val="00DE6FBD"/>
    <w:rsid w:val="00DE716C"/>
    <w:rsid w:val="00DE764E"/>
    <w:rsid w:val="00DE76BD"/>
    <w:rsid w:val="00DE7821"/>
    <w:rsid w:val="00DE788D"/>
    <w:rsid w:val="00DE7A05"/>
    <w:rsid w:val="00DE7AC8"/>
    <w:rsid w:val="00DE7B89"/>
    <w:rsid w:val="00DE7CC0"/>
    <w:rsid w:val="00DE7DA8"/>
    <w:rsid w:val="00DE7E1C"/>
    <w:rsid w:val="00DE7E24"/>
    <w:rsid w:val="00DF00E3"/>
    <w:rsid w:val="00DF0269"/>
    <w:rsid w:val="00DF03DE"/>
    <w:rsid w:val="00DF04D6"/>
    <w:rsid w:val="00DF071A"/>
    <w:rsid w:val="00DF0ABA"/>
    <w:rsid w:val="00DF0AE3"/>
    <w:rsid w:val="00DF0BA3"/>
    <w:rsid w:val="00DF0F0C"/>
    <w:rsid w:val="00DF10C3"/>
    <w:rsid w:val="00DF10FE"/>
    <w:rsid w:val="00DF11D9"/>
    <w:rsid w:val="00DF1259"/>
    <w:rsid w:val="00DF1413"/>
    <w:rsid w:val="00DF185E"/>
    <w:rsid w:val="00DF1AAB"/>
    <w:rsid w:val="00DF1D0F"/>
    <w:rsid w:val="00DF1E89"/>
    <w:rsid w:val="00DF2BD2"/>
    <w:rsid w:val="00DF2C23"/>
    <w:rsid w:val="00DF2C6B"/>
    <w:rsid w:val="00DF2E54"/>
    <w:rsid w:val="00DF2F0E"/>
    <w:rsid w:val="00DF30D0"/>
    <w:rsid w:val="00DF3151"/>
    <w:rsid w:val="00DF3395"/>
    <w:rsid w:val="00DF339F"/>
    <w:rsid w:val="00DF33A3"/>
    <w:rsid w:val="00DF36C3"/>
    <w:rsid w:val="00DF3725"/>
    <w:rsid w:val="00DF39A8"/>
    <w:rsid w:val="00DF39C9"/>
    <w:rsid w:val="00DF3CAE"/>
    <w:rsid w:val="00DF3F0A"/>
    <w:rsid w:val="00DF3F39"/>
    <w:rsid w:val="00DF404E"/>
    <w:rsid w:val="00DF4305"/>
    <w:rsid w:val="00DF4329"/>
    <w:rsid w:val="00DF43EB"/>
    <w:rsid w:val="00DF43F3"/>
    <w:rsid w:val="00DF44E9"/>
    <w:rsid w:val="00DF4531"/>
    <w:rsid w:val="00DF4843"/>
    <w:rsid w:val="00DF4863"/>
    <w:rsid w:val="00DF494B"/>
    <w:rsid w:val="00DF4B2A"/>
    <w:rsid w:val="00DF4BCB"/>
    <w:rsid w:val="00DF4C79"/>
    <w:rsid w:val="00DF4CA5"/>
    <w:rsid w:val="00DF4D50"/>
    <w:rsid w:val="00DF500C"/>
    <w:rsid w:val="00DF5190"/>
    <w:rsid w:val="00DF530F"/>
    <w:rsid w:val="00DF571F"/>
    <w:rsid w:val="00DF5736"/>
    <w:rsid w:val="00DF5765"/>
    <w:rsid w:val="00DF579D"/>
    <w:rsid w:val="00DF57A9"/>
    <w:rsid w:val="00DF58D2"/>
    <w:rsid w:val="00DF5ACF"/>
    <w:rsid w:val="00DF5BA2"/>
    <w:rsid w:val="00DF5DB9"/>
    <w:rsid w:val="00DF5E79"/>
    <w:rsid w:val="00DF5EDD"/>
    <w:rsid w:val="00DF60EA"/>
    <w:rsid w:val="00DF6173"/>
    <w:rsid w:val="00DF63AE"/>
    <w:rsid w:val="00DF63FF"/>
    <w:rsid w:val="00DF650C"/>
    <w:rsid w:val="00DF6592"/>
    <w:rsid w:val="00DF65A9"/>
    <w:rsid w:val="00DF66DA"/>
    <w:rsid w:val="00DF684C"/>
    <w:rsid w:val="00DF686B"/>
    <w:rsid w:val="00DF6A63"/>
    <w:rsid w:val="00DF6B0B"/>
    <w:rsid w:val="00DF6BE8"/>
    <w:rsid w:val="00DF6BF0"/>
    <w:rsid w:val="00DF6F25"/>
    <w:rsid w:val="00DF7536"/>
    <w:rsid w:val="00DF754C"/>
    <w:rsid w:val="00DF75B9"/>
    <w:rsid w:val="00DF75D8"/>
    <w:rsid w:val="00DF78D1"/>
    <w:rsid w:val="00DF7CAF"/>
    <w:rsid w:val="00DF7DA3"/>
    <w:rsid w:val="00DF7E07"/>
    <w:rsid w:val="00DF7E49"/>
    <w:rsid w:val="00DF7F73"/>
    <w:rsid w:val="00E000A6"/>
    <w:rsid w:val="00E0010E"/>
    <w:rsid w:val="00E003B1"/>
    <w:rsid w:val="00E0043B"/>
    <w:rsid w:val="00E004EB"/>
    <w:rsid w:val="00E0077D"/>
    <w:rsid w:val="00E007F7"/>
    <w:rsid w:val="00E009A7"/>
    <w:rsid w:val="00E00A47"/>
    <w:rsid w:val="00E00CA9"/>
    <w:rsid w:val="00E00D1C"/>
    <w:rsid w:val="00E00D9D"/>
    <w:rsid w:val="00E00DF3"/>
    <w:rsid w:val="00E01193"/>
    <w:rsid w:val="00E01403"/>
    <w:rsid w:val="00E01833"/>
    <w:rsid w:val="00E01891"/>
    <w:rsid w:val="00E018F4"/>
    <w:rsid w:val="00E01D4C"/>
    <w:rsid w:val="00E01DC7"/>
    <w:rsid w:val="00E01EEE"/>
    <w:rsid w:val="00E01F29"/>
    <w:rsid w:val="00E020F0"/>
    <w:rsid w:val="00E02262"/>
    <w:rsid w:val="00E0237A"/>
    <w:rsid w:val="00E023BC"/>
    <w:rsid w:val="00E023C0"/>
    <w:rsid w:val="00E02426"/>
    <w:rsid w:val="00E02616"/>
    <w:rsid w:val="00E02751"/>
    <w:rsid w:val="00E02B46"/>
    <w:rsid w:val="00E02E3D"/>
    <w:rsid w:val="00E02E46"/>
    <w:rsid w:val="00E02E9A"/>
    <w:rsid w:val="00E02F92"/>
    <w:rsid w:val="00E0302D"/>
    <w:rsid w:val="00E03044"/>
    <w:rsid w:val="00E03291"/>
    <w:rsid w:val="00E0359F"/>
    <w:rsid w:val="00E03664"/>
    <w:rsid w:val="00E03716"/>
    <w:rsid w:val="00E03AF8"/>
    <w:rsid w:val="00E03BFB"/>
    <w:rsid w:val="00E03C1F"/>
    <w:rsid w:val="00E03C91"/>
    <w:rsid w:val="00E03D4C"/>
    <w:rsid w:val="00E03E9D"/>
    <w:rsid w:val="00E04099"/>
    <w:rsid w:val="00E0409F"/>
    <w:rsid w:val="00E043E7"/>
    <w:rsid w:val="00E044F4"/>
    <w:rsid w:val="00E0460D"/>
    <w:rsid w:val="00E0487B"/>
    <w:rsid w:val="00E04A55"/>
    <w:rsid w:val="00E04C3B"/>
    <w:rsid w:val="00E0518F"/>
    <w:rsid w:val="00E052B7"/>
    <w:rsid w:val="00E055DA"/>
    <w:rsid w:val="00E05906"/>
    <w:rsid w:val="00E0598A"/>
    <w:rsid w:val="00E059B6"/>
    <w:rsid w:val="00E05A27"/>
    <w:rsid w:val="00E05C0B"/>
    <w:rsid w:val="00E05D38"/>
    <w:rsid w:val="00E05D92"/>
    <w:rsid w:val="00E05E11"/>
    <w:rsid w:val="00E0622C"/>
    <w:rsid w:val="00E063F7"/>
    <w:rsid w:val="00E064AA"/>
    <w:rsid w:val="00E0669D"/>
    <w:rsid w:val="00E0673D"/>
    <w:rsid w:val="00E0676B"/>
    <w:rsid w:val="00E0680A"/>
    <w:rsid w:val="00E06ADC"/>
    <w:rsid w:val="00E06D82"/>
    <w:rsid w:val="00E06EAC"/>
    <w:rsid w:val="00E071FA"/>
    <w:rsid w:val="00E072AB"/>
    <w:rsid w:val="00E07526"/>
    <w:rsid w:val="00E0762B"/>
    <w:rsid w:val="00E078DE"/>
    <w:rsid w:val="00E078FD"/>
    <w:rsid w:val="00E07B59"/>
    <w:rsid w:val="00E07C29"/>
    <w:rsid w:val="00E07D11"/>
    <w:rsid w:val="00E07F11"/>
    <w:rsid w:val="00E1031D"/>
    <w:rsid w:val="00E103E6"/>
    <w:rsid w:val="00E1070D"/>
    <w:rsid w:val="00E10827"/>
    <w:rsid w:val="00E10829"/>
    <w:rsid w:val="00E10B22"/>
    <w:rsid w:val="00E10E47"/>
    <w:rsid w:val="00E10E8E"/>
    <w:rsid w:val="00E11043"/>
    <w:rsid w:val="00E110BC"/>
    <w:rsid w:val="00E1132A"/>
    <w:rsid w:val="00E114C9"/>
    <w:rsid w:val="00E115E2"/>
    <w:rsid w:val="00E1194F"/>
    <w:rsid w:val="00E11B02"/>
    <w:rsid w:val="00E11C26"/>
    <w:rsid w:val="00E11F0C"/>
    <w:rsid w:val="00E123F3"/>
    <w:rsid w:val="00E1249A"/>
    <w:rsid w:val="00E12644"/>
    <w:rsid w:val="00E126A6"/>
    <w:rsid w:val="00E126B2"/>
    <w:rsid w:val="00E12722"/>
    <w:rsid w:val="00E1280D"/>
    <w:rsid w:val="00E1295D"/>
    <w:rsid w:val="00E12CD5"/>
    <w:rsid w:val="00E12E1A"/>
    <w:rsid w:val="00E12F72"/>
    <w:rsid w:val="00E135F7"/>
    <w:rsid w:val="00E13622"/>
    <w:rsid w:val="00E138FE"/>
    <w:rsid w:val="00E13C09"/>
    <w:rsid w:val="00E13CFB"/>
    <w:rsid w:val="00E13D1B"/>
    <w:rsid w:val="00E13F22"/>
    <w:rsid w:val="00E13FD9"/>
    <w:rsid w:val="00E14274"/>
    <w:rsid w:val="00E14324"/>
    <w:rsid w:val="00E1434A"/>
    <w:rsid w:val="00E14433"/>
    <w:rsid w:val="00E14467"/>
    <w:rsid w:val="00E148D8"/>
    <w:rsid w:val="00E14A54"/>
    <w:rsid w:val="00E14D1D"/>
    <w:rsid w:val="00E14D92"/>
    <w:rsid w:val="00E14E3E"/>
    <w:rsid w:val="00E14F0A"/>
    <w:rsid w:val="00E14F3B"/>
    <w:rsid w:val="00E14FE2"/>
    <w:rsid w:val="00E14FFD"/>
    <w:rsid w:val="00E15048"/>
    <w:rsid w:val="00E1504F"/>
    <w:rsid w:val="00E15154"/>
    <w:rsid w:val="00E15191"/>
    <w:rsid w:val="00E15234"/>
    <w:rsid w:val="00E15470"/>
    <w:rsid w:val="00E1573C"/>
    <w:rsid w:val="00E158F6"/>
    <w:rsid w:val="00E15DB1"/>
    <w:rsid w:val="00E15F6A"/>
    <w:rsid w:val="00E1604A"/>
    <w:rsid w:val="00E16441"/>
    <w:rsid w:val="00E16560"/>
    <w:rsid w:val="00E16717"/>
    <w:rsid w:val="00E16841"/>
    <w:rsid w:val="00E16865"/>
    <w:rsid w:val="00E16A17"/>
    <w:rsid w:val="00E16B19"/>
    <w:rsid w:val="00E16D0A"/>
    <w:rsid w:val="00E16DDE"/>
    <w:rsid w:val="00E16FA0"/>
    <w:rsid w:val="00E16FBE"/>
    <w:rsid w:val="00E172E1"/>
    <w:rsid w:val="00E178FC"/>
    <w:rsid w:val="00E17904"/>
    <w:rsid w:val="00E17D71"/>
    <w:rsid w:val="00E2004D"/>
    <w:rsid w:val="00E20280"/>
    <w:rsid w:val="00E20978"/>
    <w:rsid w:val="00E20E96"/>
    <w:rsid w:val="00E2103D"/>
    <w:rsid w:val="00E21055"/>
    <w:rsid w:val="00E2108A"/>
    <w:rsid w:val="00E2119F"/>
    <w:rsid w:val="00E211C4"/>
    <w:rsid w:val="00E211E0"/>
    <w:rsid w:val="00E2133C"/>
    <w:rsid w:val="00E21386"/>
    <w:rsid w:val="00E21474"/>
    <w:rsid w:val="00E21560"/>
    <w:rsid w:val="00E218F4"/>
    <w:rsid w:val="00E21D67"/>
    <w:rsid w:val="00E21E1D"/>
    <w:rsid w:val="00E21ECA"/>
    <w:rsid w:val="00E220C7"/>
    <w:rsid w:val="00E2216F"/>
    <w:rsid w:val="00E229DD"/>
    <w:rsid w:val="00E229E9"/>
    <w:rsid w:val="00E22BF5"/>
    <w:rsid w:val="00E22CFB"/>
    <w:rsid w:val="00E22E89"/>
    <w:rsid w:val="00E23018"/>
    <w:rsid w:val="00E2303E"/>
    <w:rsid w:val="00E230C1"/>
    <w:rsid w:val="00E232BF"/>
    <w:rsid w:val="00E232D9"/>
    <w:rsid w:val="00E233E8"/>
    <w:rsid w:val="00E2369C"/>
    <w:rsid w:val="00E2374C"/>
    <w:rsid w:val="00E23845"/>
    <w:rsid w:val="00E2388C"/>
    <w:rsid w:val="00E23AC6"/>
    <w:rsid w:val="00E23ADC"/>
    <w:rsid w:val="00E23AF3"/>
    <w:rsid w:val="00E23CC3"/>
    <w:rsid w:val="00E23E72"/>
    <w:rsid w:val="00E240A5"/>
    <w:rsid w:val="00E243A2"/>
    <w:rsid w:val="00E243A9"/>
    <w:rsid w:val="00E243B5"/>
    <w:rsid w:val="00E24489"/>
    <w:rsid w:val="00E245D9"/>
    <w:rsid w:val="00E2468F"/>
    <w:rsid w:val="00E247D8"/>
    <w:rsid w:val="00E24875"/>
    <w:rsid w:val="00E248DC"/>
    <w:rsid w:val="00E248E2"/>
    <w:rsid w:val="00E24B87"/>
    <w:rsid w:val="00E24BE7"/>
    <w:rsid w:val="00E24CCA"/>
    <w:rsid w:val="00E24F47"/>
    <w:rsid w:val="00E25018"/>
    <w:rsid w:val="00E25109"/>
    <w:rsid w:val="00E2531B"/>
    <w:rsid w:val="00E25625"/>
    <w:rsid w:val="00E25684"/>
    <w:rsid w:val="00E256DC"/>
    <w:rsid w:val="00E259BF"/>
    <w:rsid w:val="00E25A40"/>
    <w:rsid w:val="00E25A8B"/>
    <w:rsid w:val="00E25E1B"/>
    <w:rsid w:val="00E25FC2"/>
    <w:rsid w:val="00E26119"/>
    <w:rsid w:val="00E263E1"/>
    <w:rsid w:val="00E26640"/>
    <w:rsid w:val="00E266B2"/>
    <w:rsid w:val="00E2682B"/>
    <w:rsid w:val="00E268E9"/>
    <w:rsid w:val="00E26A79"/>
    <w:rsid w:val="00E26AC3"/>
    <w:rsid w:val="00E26B2E"/>
    <w:rsid w:val="00E26D23"/>
    <w:rsid w:val="00E26D24"/>
    <w:rsid w:val="00E26E2D"/>
    <w:rsid w:val="00E26EC7"/>
    <w:rsid w:val="00E27048"/>
    <w:rsid w:val="00E271ED"/>
    <w:rsid w:val="00E272C7"/>
    <w:rsid w:val="00E27332"/>
    <w:rsid w:val="00E274AB"/>
    <w:rsid w:val="00E27693"/>
    <w:rsid w:val="00E276B5"/>
    <w:rsid w:val="00E276F2"/>
    <w:rsid w:val="00E277E4"/>
    <w:rsid w:val="00E27A31"/>
    <w:rsid w:val="00E27A9A"/>
    <w:rsid w:val="00E27B71"/>
    <w:rsid w:val="00E27B88"/>
    <w:rsid w:val="00E27BD6"/>
    <w:rsid w:val="00E30036"/>
    <w:rsid w:val="00E30105"/>
    <w:rsid w:val="00E3018E"/>
    <w:rsid w:val="00E30CB6"/>
    <w:rsid w:val="00E30FD6"/>
    <w:rsid w:val="00E3117B"/>
    <w:rsid w:val="00E312D3"/>
    <w:rsid w:val="00E3135B"/>
    <w:rsid w:val="00E313F0"/>
    <w:rsid w:val="00E313F5"/>
    <w:rsid w:val="00E3141D"/>
    <w:rsid w:val="00E31477"/>
    <w:rsid w:val="00E316AC"/>
    <w:rsid w:val="00E31AB2"/>
    <w:rsid w:val="00E31C16"/>
    <w:rsid w:val="00E31CC8"/>
    <w:rsid w:val="00E31D6C"/>
    <w:rsid w:val="00E31E3C"/>
    <w:rsid w:val="00E32149"/>
    <w:rsid w:val="00E32219"/>
    <w:rsid w:val="00E3246F"/>
    <w:rsid w:val="00E3249A"/>
    <w:rsid w:val="00E326B2"/>
    <w:rsid w:val="00E327CD"/>
    <w:rsid w:val="00E327F7"/>
    <w:rsid w:val="00E329E3"/>
    <w:rsid w:val="00E32D7C"/>
    <w:rsid w:val="00E32D80"/>
    <w:rsid w:val="00E32EDC"/>
    <w:rsid w:val="00E330BA"/>
    <w:rsid w:val="00E3310B"/>
    <w:rsid w:val="00E33226"/>
    <w:rsid w:val="00E33810"/>
    <w:rsid w:val="00E33811"/>
    <w:rsid w:val="00E3382F"/>
    <w:rsid w:val="00E338E4"/>
    <w:rsid w:val="00E33A70"/>
    <w:rsid w:val="00E33B65"/>
    <w:rsid w:val="00E33B97"/>
    <w:rsid w:val="00E33D0E"/>
    <w:rsid w:val="00E33EF1"/>
    <w:rsid w:val="00E340D7"/>
    <w:rsid w:val="00E34340"/>
    <w:rsid w:val="00E344EB"/>
    <w:rsid w:val="00E347AF"/>
    <w:rsid w:val="00E349BA"/>
    <w:rsid w:val="00E34BB5"/>
    <w:rsid w:val="00E34D73"/>
    <w:rsid w:val="00E34FEF"/>
    <w:rsid w:val="00E351EE"/>
    <w:rsid w:val="00E351F8"/>
    <w:rsid w:val="00E3531A"/>
    <w:rsid w:val="00E35437"/>
    <w:rsid w:val="00E35A8C"/>
    <w:rsid w:val="00E35C8B"/>
    <w:rsid w:val="00E35CCE"/>
    <w:rsid w:val="00E35D6D"/>
    <w:rsid w:val="00E35D7D"/>
    <w:rsid w:val="00E35EE3"/>
    <w:rsid w:val="00E35EF5"/>
    <w:rsid w:val="00E35F70"/>
    <w:rsid w:val="00E35F94"/>
    <w:rsid w:val="00E363D9"/>
    <w:rsid w:val="00E3656C"/>
    <w:rsid w:val="00E3670C"/>
    <w:rsid w:val="00E368C2"/>
    <w:rsid w:val="00E369DE"/>
    <w:rsid w:val="00E36B1B"/>
    <w:rsid w:val="00E36B22"/>
    <w:rsid w:val="00E36CDD"/>
    <w:rsid w:val="00E36F8A"/>
    <w:rsid w:val="00E36F9D"/>
    <w:rsid w:val="00E36FD8"/>
    <w:rsid w:val="00E36FDD"/>
    <w:rsid w:val="00E37161"/>
    <w:rsid w:val="00E3719F"/>
    <w:rsid w:val="00E37391"/>
    <w:rsid w:val="00E37561"/>
    <w:rsid w:val="00E37943"/>
    <w:rsid w:val="00E3799D"/>
    <w:rsid w:val="00E37B40"/>
    <w:rsid w:val="00E37E39"/>
    <w:rsid w:val="00E37EB1"/>
    <w:rsid w:val="00E37FD4"/>
    <w:rsid w:val="00E400D9"/>
    <w:rsid w:val="00E4013F"/>
    <w:rsid w:val="00E403DE"/>
    <w:rsid w:val="00E4064E"/>
    <w:rsid w:val="00E4079C"/>
    <w:rsid w:val="00E40A0F"/>
    <w:rsid w:val="00E40A88"/>
    <w:rsid w:val="00E40BC8"/>
    <w:rsid w:val="00E40D7E"/>
    <w:rsid w:val="00E40E2D"/>
    <w:rsid w:val="00E410EF"/>
    <w:rsid w:val="00E4167B"/>
    <w:rsid w:val="00E41904"/>
    <w:rsid w:val="00E41A07"/>
    <w:rsid w:val="00E41BF0"/>
    <w:rsid w:val="00E41C69"/>
    <w:rsid w:val="00E41C80"/>
    <w:rsid w:val="00E41ECB"/>
    <w:rsid w:val="00E41ED3"/>
    <w:rsid w:val="00E41F2C"/>
    <w:rsid w:val="00E41F32"/>
    <w:rsid w:val="00E41FB5"/>
    <w:rsid w:val="00E422A5"/>
    <w:rsid w:val="00E42450"/>
    <w:rsid w:val="00E4257F"/>
    <w:rsid w:val="00E42620"/>
    <w:rsid w:val="00E4263B"/>
    <w:rsid w:val="00E4268F"/>
    <w:rsid w:val="00E426CA"/>
    <w:rsid w:val="00E42A9B"/>
    <w:rsid w:val="00E42B27"/>
    <w:rsid w:val="00E42BC7"/>
    <w:rsid w:val="00E42C77"/>
    <w:rsid w:val="00E42D03"/>
    <w:rsid w:val="00E42DA7"/>
    <w:rsid w:val="00E42DF4"/>
    <w:rsid w:val="00E430D1"/>
    <w:rsid w:val="00E430F0"/>
    <w:rsid w:val="00E43333"/>
    <w:rsid w:val="00E43361"/>
    <w:rsid w:val="00E433B4"/>
    <w:rsid w:val="00E434C1"/>
    <w:rsid w:val="00E43521"/>
    <w:rsid w:val="00E4358B"/>
    <w:rsid w:val="00E4368D"/>
    <w:rsid w:val="00E43798"/>
    <w:rsid w:val="00E43A26"/>
    <w:rsid w:val="00E43BBC"/>
    <w:rsid w:val="00E43CDC"/>
    <w:rsid w:val="00E43D49"/>
    <w:rsid w:val="00E440EB"/>
    <w:rsid w:val="00E44672"/>
    <w:rsid w:val="00E44692"/>
    <w:rsid w:val="00E44773"/>
    <w:rsid w:val="00E449DF"/>
    <w:rsid w:val="00E44A6E"/>
    <w:rsid w:val="00E44B1C"/>
    <w:rsid w:val="00E44BCF"/>
    <w:rsid w:val="00E44C2D"/>
    <w:rsid w:val="00E44E0E"/>
    <w:rsid w:val="00E44E21"/>
    <w:rsid w:val="00E44EDA"/>
    <w:rsid w:val="00E450DC"/>
    <w:rsid w:val="00E452F6"/>
    <w:rsid w:val="00E45312"/>
    <w:rsid w:val="00E4555D"/>
    <w:rsid w:val="00E456F8"/>
    <w:rsid w:val="00E45A02"/>
    <w:rsid w:val="00E45D1D"/>
    <w:rsid w:val="00E45DCE"/>
    <w:rsid w:val="00E45E52"/>
    <w:rsid w:val="00E45EF3"/>
    <w:rsid w:val="00E45FD7"/>
    <w:rsid w:val="00E460E2"/>
    <w:rsid w:val="00E4675B"/>
    <w:rsid w:val="00E4681F"/>
    <w:rsid w:val="00E468D5"/>
    <w:rsid w:val="00E46A54"/>
    <w:rsid w:val="00E46DBE"/>
    <w:rsid w:val="00E47344"/>
    <w:rsid w:val="00E4753F"/>
    <w:rsid w:val="00E47882"/>
    <w:rsid w:val="00E479D9"/>
    <w:rsid w:val="00E47A47"/>
    <w:rsid w:val="00E47B1C"/>
    <w:rsid w:val="00E47B94"/>
    <w:rsid w:val="00E47BCF"/>
    <w:rsid w:val="00E47C35"/>
    <w:rsid w:val="00E47EB9"/>
    <w:rsid w:val="00E502C8"/>
    <w:rsid w:val="00E503A7"/>
    <w:rsid w:val="00E50728"/>
    <w:rsid w:val="00E50855"/>
    <w:rsid w:val="00E50937"/>
    <w:rsid w:val="00E51163"/>
    <w:rsid w:val="00E511B8"/>
    <w:rsid w:val="00E5141E"/>
    <w:rsid w:val="00E514FA"/>
    <w:rsid w:val="00E5151A"/>
    <w:rsid w:val="00E5158A"/>
    <w:rsid w:val="00E51598"/>
    <w:rsid w:val="00E517E7"/>
    <w:rsid w:val="00E51835"/>
    <w:rsid w:val="00E51AA7"/>
    <w:rsid w:val="00E51AAE"/>
    <w:rsid w:val="00E51DCD"/>
    <w:rsid w:val="00E52169"/>
    <w:rsid w:val="00E522BF"/>
    <w:rsid w:val="00E522C9"/>
    <w:rsid w:val="00E528E5"/>
    <w:rsid w:val="00E5290B"/>
    <w:rsid w:val="00E52ADF"/>
    <w:rsid w:val="00E52B69"/>
    <w:rsid w:val="00E52D2D"/>
    <w:rsid w:val="00E52DE5"/>
    <w:rsid w:val="00E52DEA"/>
    <w:rsid w:val="00E53579"/>
    <w:rsid w:val="00E5375E"/>
    <w:rsid w:val="00E537BE"/>
    <w:rsid w:val="00E5392F"/>
    <w:rsid w:val="00E53954"/>
    <w:rsid w:val="00E53AC7"/>
    <w:rsid w:val="00E53C71"/>
    <w:rsid w:val="00E53DD4"/>
    <w:rsid w:val="00E53F19"/>
    <w:rsid w:val="00E53F7A"/>
    <w:rsid w:val="00E543F9"/>
    <w:rsid w:val="00E544CC"/>
    <w:rsid w:val="00E544E1"/>
    <w:rsid w:val="00E54539"/>
    <w:rsid w:val="00E5454D"/>
    <w:rsid w:val="00E54625"/>
    <w:rsid w:val="00E546B0"/>
    <w:rsid w:val="00E54B34"/>
    <w:rsid w:val="00E54B7B"/>
    <w:rsid w:val="00E54F67"/>
    <w:rsid w:val="00E54FCE"/>
    <w:rsid w:val="00E5526F"/>
    <w:rsid w:val="00E5529B"/>
    <w:rsid w:val="00E553E5"/>
    <w:rsid w:val="00E5594B"/>
    <w:rsid w:val="00E559E2"/>
    <w:rsid w:val="00E55BD5"/>
    <w:rsid w:val="00E55C4A"/>
    <w:rsid w:val="00E56089"/>
    <w:rsid w:val="00E56215"/>
    <w:rsid w:val="00E562D2"/>
    <w:rsid w:val="00E56352"/>
    <w:rsid w:val="00E56701"/>
    <w:rsid w:val="00E56EEF"/>
    <w:rsid w:val="00E56F8B"/>
    <w:rsid w:val="00E57048"/>
    <w:rsid w:val="00E570C2"/>
    <w:rsid w:val="00E571DF"/>
    <w:rsid w:val="00E571FF"/>
    <w:rsid w:val="00E5737B"/>
    <w:rsid w:val="00E57473"/>
    <w:rsid w:val="00E574CD"/>
    <w:rsid w:val="00E5766E"/>
    <w:rsid w:val="00E5785D"/>
    <w:rsid w:val="00E57964"/>
    <w:rsid w:val="00E579A3"/>
    <w:rsid w:val="00E57AC2"/>
    <w:rsid w:val="00E57B60"/>
    <w:rsid w:val="00E57BB3"/>
    <w:rsid w:val="00E57EAD"/>
    <w:rsid w:val="00E57F03"/>
    <w:rsid w:val="00E57F28"/>
    <w:rsid w:val="00E60147"/>
    <w:rsid w:val="00E6019F"/>
    <w:rsid w:val="00E601EB"/>
    <w:rsid w:val="00E603C8"/>
    <w:rsid w:val="00E604E6"/>
    <w:rsid w:val="00E60D33"/>
    <w:rsid w:val="00E60FAA"/>
    <w:rsid w:val="00E610AB"/>
    <w:rsid w:val="00E61121"/>
    <w:rsid w:val="00E613B5"/>
    <w:rsid w:val="00E6154B"/>
    <w:rsid w:val="00E617B5"/>
    <w:rsid w:val="00E61896"/>
    <w:rsid w:val="00E61E56"/>
    <w:rsid w:val="00E61F07"/>
    <w:rsid w:val="00E62135"/>
    <w:rsid w:val="00E622B0"/>
    <w:rsid w:val="00E622DE"/>
    <w:rsid w:val="00E62411"/>
    <w:rsid w:val="00E62469"/>
    <w:rsid w:val="00E626A7"/>
    <w:rsid w:val="00E62794"/>
    <w:rsid w:val="00E62A0B"/>
    <w:rsid w:val="00E62A78"/>
    <w:rsid w:val="00E62C3C"/>
    <w:rsid w:val="00E62DF2"/>
    <w:rsid w:val="00E62F77"/>
    <w:rsid w:val="00E6323D"/>
    <w:rsid w:val="00E63253"/>
    <w:rsid w:val="00E63408"/>
    <w:rsid w:val="00E63518"/>
    <w:rsid w:val="00E63665"/>
    <w:rsid w:val="00E63699"/>
    <w:rsid w:val="00E636BC"/>
    <w:rsid w:val="00E638A6"/>
    <w:rsid w:val="00E63A8D"/>
    <w:rsid w:val="00E63AAF"/>
    <w:rsid w:val="00E64156"/>
    <w:rsid w:val="00E64242"/>
    <w:rsid w:val="00E642CA"/>
    <w:rsid w:val="00E644D5"/>
    <w:rsid w:val="00E64585"/>
    <w:rsid w:val="00E64845"/>
    <w:rsid w:val="00E64A80"/>
    <w:rsid w:val="00E64AE2"/>
    <w:rsid w:val="00E64AE8"/>
    <w:rsid w:val="00E64AF8"/>
    <w:rsid w:val="00E64D53"/>
    <w:rsid w:val="00E64D7E"/>
    <w:rsid w:val="00E64F0A"/>
    <w:rsid w:val="00E6510A"/>
    <w:rsid w:val="00E6515F"/>
    <w:rsid w:val="00E65392"/>
    <w:rsid w:val="00E65397"/>
    <w:rsid w:val="00E6558B"/>
    <w:rsid w:val="00E65A68"/>
    <w:rsid w:val="00E65A77"/>
    <w:rsid w:val="00E65A84"/>
    <w:rsid w:val="00E65B50"/>
    <w:rsid w:val="00E65CA0"/>
    <w:rsid w:val="00E65D12"/>
    <w:rsid w:val="00E65F5F"/>
    <w:rsid w:val="00E661BA"/>
    <w:rsid w:val="00E662E0"/>
    <w:rsid w:val="00E6646D"/>
    <w:rsid w:val="00E666BB"/>
    <w:rsid w:val="00E667E5"/>
    <w:rsid w:val="00E667E8"/>
    <w:rsid w:val="00E669D1"/>
    <w:rsid w:val="00E66D8A"/>
    <w:rsid w:val="00E67036"/>
    <w:rsid w:val="00E67401"/>
    <w:rsid w:val="00E67551"/>
    <w:rsid w:val="00E67A08"/>
    <w:rsid w:val="00E67A69"/>
    <w:rsid w:val="00E67C09"/>
    <w:rsid w:val="00E67D10"/>
    <w:rsid w:val="00E67D82"/>
    <w:rsid w:val="00E67FA3"/>
    <w:rsid w:val="00E700EC"/>
    <w:rsid w:val="00E701A8"/>
    <w:rsid w:val="00E70245"/>
    <w:rsid w:val="00E70296"/>
    <w:rsid w:val="00E7053D"/>
    <w:rsid w:val="00E70639"/>
    <w:rsid w:val="00E707B5"/>
    <w:rsid w:val="00E707EC"/>
    <w:rsid w:val="00E7095B"/>
    <w:rsid w:val="00E70A6A"/>
    <w:rsid w:val="00E70AF5"/>
    <w:rsid w:val="00E70BE2"/>
    <w:rsid w:val="00E70D72"/>
    <w:rsid w:val="00E70DBF"/>
    <w:rsid w:val="00E70F11"/>
    <w:rsid w:val="00E710F5"/>
    <w:rsid w:val="00E711C7"/>
    <w:rsid w:val="00E7121E"/>
    <w:rsid w:val="00E7129B"/>
    <w:rsid w:val="00E71362"/>
    <w:rsid w:val="00E7148C"/>
    <w:rsid w:val="00E71656"/>
    <w:rsid w:val="00E7189F"/>
    <w:rsid w:val="00E719A8"/>
    <w:rsid w:val="00E71A91"/>
    <w:rsid w:val="00E71E4D"/>
    <w:rsid w:val="00E71EED"/>
    <w:rsid w:val="00E72155"/>
    <w:rsid w:val="00E72234"/>
    <w:rsid w:val="00E7234E"/>
    <w:rsid w:val="00E72596"/>
    <w:rsid w:val="00E72633"/>
    <w:rsid w:val="00E72765"/>
    <w:rsid w:val="00E727D6"/>
    <w:rsid w:val="00E7292B"/>
    <w:rsid w:val="00E72D80"/>
    <w:rsid w:val="00E72E08"/>
    <w:rsid w:val="00E72ED1"/>
    <w:rsid w:val="00E72F01"/>
    <w:rsid w:val="00E731CE"/>
    <w:rsid w:val="00E73225"/>
    <w:rsid w:val="00E7325E"/>
    <w:rsid w:val="00E7365C"/>
    <w:rsid w:val="00E73733"/>
    <w:rsid w:val="00E737CC"/>
    <w:rsid w:val="00E737DB"/>
    <w:rsid w:val="00E7393F"/>
    <w:rsid w:val="00E7397C"/>
    <w:rsid w:val="00E73A80"/>
    <w:rsid w:val="00E73B39"/>
    <w:rsid w:val="00E73C7D"/>
    <w:rsid w:val="00E73E9B"/>
    <w:rsid w:val="00E7433A"/>
    <w:rsid w:val="00E7440E"/>
    <w:rsid w:val="00E74571"/>
    <w:rsid w:val="00E74643"/>
    <w:rsid w:val="00E7471E"/>
    <w:rsid w:val="00E74804"/>
    <w:rsid w:val="00E74852"/>
    <w:rsid w:val="00E748FF"/>
    <w:rsid w:val="00E74AB0"/>
    <w:rsid w:val="00E74B22"/>
    <w:rsid w:val="00E74B2A"/>
    <w:rsid w:val="00E74C86"/>
    <w:rsid w:val="00E750DB"/>
    <w:rsid w:val="00E752EC"/>
    <w:rsid w:val="00E7545E"/>
    <w:rsid w:val="00E75990"/>
    <w:rsid w:val="00E759A2"/>
    <w:rsid w:val="00E75D24"/>
    <w:rsid w:val="00E76178"/>
    <w:rsid w:val="00E76367"/>
    <w:rsid w:val="00E7637A"/>
    <w:rsid w:val="00E7688B"/>
    <w:rsid w:val="00E7691A"/>
    <w:rsid w:val="00E76A90"/>
    <w:rsid w:val="00E76C49"/>
    <w:rsid w:val="00E76DC1"/>
    <w:rsid w:val="00E76F75"/>
    <w:rsid w:val="00E76F80"/>
    <w:rsid w:val="00E771D5"/>
    <w:rsid w:val="00E773B1"/>
    <w:rsid w:val="00E7742B"/>
    <w:rsid w:val="00E7757A"/>
    <w:rsid w:val="00E7762E"/>
    <w:rsid w:val="00E776A8"/>
    <w:rsid w:val="00E77926"/>
    <w:rsid w:val="00E77A0A"/>
    <w:rsid w:val="00E77B8F"/>
    <w:rsid w:val="00E77C2B"/>
    <w:rsid w:val="00E77D62"/>
    <w:rsid w:val="00E8006E"/>
    <w:rsid w:val="00E8009E"/>
    <w:rsid w:val="00E800A9"/>
    <w:rsid w:val="00E802A8"/>
    <w:rsid w:val="00E80447"/>
    <w:rsid w:val="00E8048E"/>
    <w:rsid w:val="00E805ED"/>
    <w:rsid w:val="00E80859"/>
    <w:rsid w:val="00E80947"/>
    <w:rsid w:val="00E80994"/>
    <w:rsid w:val="00E80A48"/>
    <w:rsid w:val="00E80D74"/>
    <w:rsid w:val="00E80F12"/>
    <w:rsid w:val="00E811BF"/>
    <w:rsid w:val="00E812B5"/>
    <w:rsid w:val="00E81392"/>
    <w:rsid w:val="00E8140E"/>
    <w:rsid w:val="00E81A57"/>
    <w:rsid w:val="00E81AC7"/>
    <w:rsid w:val="00E81B17"/>
    <w:rsid w:val="00E81C5A"/>
    <w:rsid w:val="00E81CA2"/>
    <w:rsid w:val="00E82246"/>
    <w:rsid w:val="00E8228C"/>
    <w:rsid w:val="00E822C7"/>
    <w:rsid w:val="00E822C8"/>
    <w:rsid w:val="00E822E0"/>
    <w:rsid w:val="00E82326"/>
    <w:rsid w:val="00E827F6"/>
    <w:rsid w:val="00E82AA9"/>
    <w:rsid w:val="00E82AEF"/>
    <w:rsid w:val="00E82AF0"/>
    <w:rsid w:val="00E82CD6"/>
    <w:rsid w:val="00E831EA"/>
    <w:rsid w:val="00E8343B"/>
    <w:rsid w:val="00E83508"/>
    <w:rsid w:val="00E837DC"/>
    <w:rsid w:val="00E83849"/>
    <w:rsid w:val="00E83B12"/>
    <w:rsid w:val="00E83B61"/>
    <w:rsid w:val="00E83D94"/>
    <w:rsid w:val="00E83E10"/>
    <w:rsid w:val="00E84018"/>
    <w:rsid w:val="00E840C2"/>
    <w:rsid w:val="00E8428E"/>
    <w:rsid w:val="00E84326"/>
    <w:rsid w:val="00E84560"/>
    <w:rsid w:val="00E845A7"/>
    <w:rsid w:val="00E84726"/>
    <w:rsid w:val="00E84974"/>
    <w:rsid w:val="00E84BE0"/>
    <w:rsid w:val="00E85004"/>
    <w:rsid w:val="00E8507D"/>
    <w:rsid w:val="00E85466"/>
    <w:rsid w:val="00E854F0"/>
    <w:rsid w:val="00E857A1"/>
    <w:rsid w:val="00E857B2"/>
    <w:rsid w:val="00E857BA"/>
    <w:rsid w:val="00E8580D"/>
    <w:rsid w:val="00E858BC"/>
    <w:rsid w:val="00E85A29"/>
    <w:rsid w:val="00E85AA5"/>
    <w:rsid w:val="00E85AB3"/>
    <w:rsid w:val="00E85BBF"/>
    <w:rsid w:val="00E85C0F"/>
    <w:rsid w:val="00E85D2A"/>
    <w:rsid w:val="00E85DBA"/>
    <w:rsid w:val="00E85F6A"/>
    <w:rsid w:val="00E860AF"/>
    <w:rsid w:val="00E86250"/>
    <w:rsid w:val="00E863B8"/>
    <w:rsid w:val="00E865B5"/>
    <w:rsid w:val="00E86AD8"/>
    <w:rsid w:val="00E86BD8"/>
    <w:rsid w:val="00E86EB4"/>
    <w:rsid w:val="00E8707C"/>
    <w:rsid w:val="00E871ED"/>
    <w:rsid w:val="00E87413"/>
    <w:rsid w:val="00E87540"/>
    <w:rsid w:val="00E87689"/>
    <w:rsid w:val="00E876F5"/>
    <w:rsid w:val="00E877BA"/>
    <w:rsid w:val="00E8785D"/>
    <w:rsid w:val="00E8799C"/>
    <w:rsid w:val="00E879D9"/>
    <w:rsid w:val="00E87B46"/>
    <w:rsid w:val="00E87BEB"/>
    <w:rsid w:val="00E90000"/>
    <w:rsid w:val="00E9002B"/>
    <w:rsid w:val="00E901DC"/>
    <w:rsid w:val="00E90269"/>
    <w:rsid w:val="00E90395"/>
    <w:rsid w:val="00E90396"/>
    <w:rsid w:val="00E903BD"/>
    <w:rsid w:val="00E90402"/>
    <w:rsid w:val="00E904AB"/>
    <w:rsid w:val="00E90959"/>
    <w:rsid w:val="00E9098D"/>
    <w:rsid w:val="00E90B5B"/>
    <w:rsid w:val="00E90BD7"/>
    <w:rsid w:val="00E90FF7"/>
    <w:rsid w:val="00E91189"/>
    <w:rsid w:val="00E91228"/>
    <w:rsid w:val="00E912C4"/>
    <w:rsid w:val="00E913A2"/>
    <w:rsid w:val="00E916F5"/>
    <w:rsid w:val="00E9175B"/>
    <w:rsid w:val="00E91A69"/>
    <w:rsid w:val="00E91AEF"/>
    <w:rsid w:val="00E91CDE"/>
    <w:rsid w:val="00E91DA1"/>
    <w:rsid w:val="00E91E67"/>
    <w:rsid w:val="00E91ED6"/>
    <w:rsid w:val="00E920C6"/>
    <w:rsid w:val="00E9213F"/>
    <w:rsid w:val="00E921C4"/>
    <w:rsid w:val="00E92236"/>
    <w:rsid w:val="00E92398"/>
    <w:rsid w:val="00E92409"/>
    <w:rsid w:val="00E924CA"/>
    <w:rsid w:val="00E9257B"/>
    <w:rsid w:val="00E92867"/>
    <w:rsid w:val="00E9293E"/>
    <w:rsid w:val="00E92A1E"/>
    <w:rsid w:val="00E92A94"/>
    <w:rsid w:val="00E92AD6"/>
    <w:rsid w:val="00E92B27"/>
    <w:rsid w:val="00E92B35"/>
    <w:rsid w:val="00E92D3E"/>
    <w:rsid w:val="00E92E3A"/>
    <w:rsid w:val="00E930A6"/>
    <w:rsid w:val="00E9322A"/>
    <w:rsid w:val="00E9327A"/>
    <w:rsid w:val="00E932A8"/>
    <w:rsid w:val="00E93386"/>
    <w:rsid w:val="00E93720"/>
    <w:rsid w:val="00E939EC"/>
    <w:rsid w:val="00E93ADB"/>
    <w:rsid w:val="00E93BFB"/>
    <w:rsid w:val="00E93ED4"/>
    <w:rsid w:val="00E93EFC"/>
    <w:rsid w:val="00E93F08"/>
    <w:rsid w:val="00E94256"/>
    <w:rsid w:val="00E94450"/>
    <w:rsid w:val="00E94534"/>
    <w:rsid w:val="00E94560"/>
    <w:rsid w:val="00E94671"/>
    <w:rsid w:val="00E946D6"/>
    <w:rsid w:val="00E947E0"/>
    <w:rsid w:val="00E94A2F"/>
    <w:rsid w:val="00E94B89"/>
    <w:rsid w:val="00E94D6F"/>
    <w:rsid w:val="00E94DEB"/>
    <w:rsid w:val="00E95151"/>
    <w:rsid w:val="00E95657"/>
    <w:rsid w:val="00E95677"/>
    <w:rsid w:val="00E957F9"/>
    <w:rsid w:val="00E95CA3"/>
    <w:rsid w:val="00E95F13"/>
    <w:rsid w:val="00E95F38"/>
    <w:rsid w:val="00E962B3"/>
    <w:rsid w:val="00E963DA"/>
    <w:rsid w:val="00E96403"/>
    <w:rsid w:val="00E96515"/>
    <w:rsid w:val="00E9654C"/>
    <w:rsid w:val="00E96581"/>
    <w:rsid w:val="00E96847"/>
    <w:rsid w:val="00E969D8"/>
    <w:rsid w:val="00E96A9D"/>
    <w:rsid w:val="00E96AD2"/>
    <w:rsid w:val="00E96DE8"/>
    <w:rsid w:val="00E96ECA"/>
    <w:rsid w:val="00E970DE"/>
    <w:rsid w:val="00E9710F"/>
    <w:rsid w:val="00E971D0"/>
    <w:rsid w:val="00E9745D"/>
    <w:rsid w:val="00E975CB"/>
    <w:rsid w:val="00E97960"/>
    <w:rsid w:val="00E97A18"/>
    <w:rsid w:val="00E97AA4"/>
    <w:rsid w:val="00E97BBE"/>
    <w:rsid w:val="00E97D22"/>
    <w:rsid w:val="00E97F8C"/>
    <w:rsid w:val="00EA0121"/>
    <w:rsid w:val="00EA03F8"/>
    <w:rsid w:val="00EA044F"/>
    <w:rsid w:val="00EA0498"/>
    <w:rsid w:val="00EA0726"/>
    <w:rsid w:val="00EA07FA"/>
    <w:rsid w:val="00EA09B2"/>
    <w:rsid w:val="00EA09E7"/>
    <w:rsid w:val="00EA0ACD"/>
    <w:rsid w:val="00EA0C73"/>
    <w:rsid w:val="00EA0D10"/>
    <w:rsid w:val="00EA0D32"/>
    <w:rsid w:val="00EA0D6A"/>
    <w:rsid w:val="00EA0D78"/>
    <w:rsid w:val="00EA104C"/>
    <w:rsid w:val="00EA11A0"/>
    <w:rsid w:val="00EA1238"/>
    <w:rsid w:val="00EA12D1"/>
    <w:rsid w:val="00EA134B"/>
    <w:rsid w:val="00EA14DB"/>
    <w:rsid w:val="00EA1576"/>
    <w:rsid w:val="00EA15B1"/>
    <w:rsid w:val="00EA177E"/>
    <w:rsid w:val="00EA18DE"/>
    <w:rsid w:val="00EA1945"/>
    <w:rsid w:val="00EA1A13"/>
    <w:rsid w:val="00EA1C00"/>
    <w:rsid w:val="00EA1C98"/>
    <w:rsid w:val="00EA1D45"/>
    <w:rsid w:val="00EA20EE"/>
    <w:rsid w:val="00EA22C3"/>
    <w:rsid w:val="00EA23D4"/>
    <w:rsid w:val="00EA2439"/>
    <w:rsid w:val="00EA2594"/>
    <w:rsid w:val="00EA2639"/>
    <w:rsid w:val="00EA2678"/>
    <w:rsid w:val="00EA26AC"/>
    <w:rsid w:val="00EA27D8"/>
    <w:rsid w:val="00EA27F1"/>
    <w:rsid w:val="00EA295A"/>
    <w:rsid w:val="00EA29CD"/>
    <w:rsid w:val="00EA2D46"/>
    <w:rsid w:val="00EA2D54"/>
    <w:rsid w:val="00EA3104"/>
    <w:rsid w:val="00EA3394"/>
    <w:rsid w:val="00EA33A1"/>
    <w:rsid w:val="00EA3725"/>
    <w:rsid w:val="00EA3796"/>
    <w:rsid w:val="00EA39C7"/>
    <w:rsid w:val="00EA3AB0"/>
    <w:rsid w:val="00EA3B53"/>
    <w:rsid w:val="00EA3BCA"/>
    <w:rsid w:val="00EA3CD4"/>
    <w:rsid w:val="00EA3FC3"/>
    <w:rsid w:val="00EA401B"/>
    <w:rsid w:val="00EA4029"/>
    <w:rsid w:val="00EA439A"/>
    <w:rsid w:val="00EA44D3"/>
    <w:rsid w:val="00EA44FA"/>
    <w:rsid w:val="00EA4568"/>
    <w:rsid w:val="00EA462A"/>
    <w:rsid w:val="00EA4851"/>
    <w:rsid w:val="00EA49FB"/>
    <w:rsid w:val="00EA4B1C"/>
    <w:rsid w:val="00EA4BEF"/>
    <w:rsid w:val="00EA4FE2"/>
    <w:rsid w:val="00EA5167"/>
    <w:rsid w:val="00EA5274"/>
    <w:rsid w:val="00EA5342"/>
    <w:rsid w:val="00EA5361"/>
    <w:rsid w:val="00EA54C9"/>
    <w:rsid w:val="00EA567B"/>
    <w:rsid w:val="00EA5933"/>
    <w:rsid w:val="00EA5B55"/>
    <w:rsid w:val="00EA5BBA"/>
    <w:rsid w:val="00EA5F96"/>
    <w:rsid w:val="00EA60D7"/>
    <w:rsid w:val="00EA637D"/>
    <w:rsid w:val="00EA63F3"/>
    <w:rsid w:val="00EA64FE"/>
    <w:rsid w:val="00EA663A"/>
    <w:rsid w:val="00EA66D8"/>
    <w:rsid w:val="00EA67CD"/>
    <w:rsid w:val="00EA6825"/>
    <w:rsid w:val="00EA68AB"/>
    <w:rsid w:val="00EA6C22"/>
    <w:rsid w:val="00EA6D14"/>
    <w:rsid w:val="00EA6F39"/>
    <w:rsid w:val="00EA716D"/>
    <w:rsid w:val="00EA722E"/>
    <w:rsid w:val="00EA7255"/>
    <w:rsid w:val="00EA7376"/>
    <w:rsid w:val="00EA7388"/>
    <w:rsid w:val="00EA7709"/>
    <w:rsid w:val="00EA78B3"/>
    <w:rsid w:val="00EA7BD0"/>
    <w:rsid w:val="00EA7C1D"/>
    <w:rsid w:val="00EA7CFB"/>
    <w:rsid w:val="00EA7E9C"/>
    <w:rsid w:val="00EA7EC1"/>
    <w:rsid w:val="00EA7FB9"/>
    <w:rsid w:val="00EB0139"/>
    <w:rsid w:val="00EB0185"/>
    <w:rsid w:val="00EB04B0"/>
    <w:rsid w:val="00EB05AB"/>
    <w:rsid w:val="00EB0755"/>
    <w:rsid w:val="00EB0772"/>
    <w:rsid w:val="00EB09CB"/>
    <w:rsid w:val="00EB0B12"/>
    <w:rsid w:val="00EB0D05"/>
    <w:rsid w:val="00EB0D17"/>
    <w:rsid w:val="00EB0D7F"/>
    <w:rsid w:val="00EB0DEB"/>
    <w:rsid w:val="00EB0F2F"/>
    <w:rsid w:val="00EB11B5"/>
    <w:rsid w:val="00EB130E"/>
    <w:rsid w:val="00EB146F"/>
    <w:rsid w:val="00EB15BD"/>
    <w:rsid w:val="00EB1645"/>
    <w:rsid w:val="00EB1818"/>
    <w:rsid w:val="00EB1957"/>
    <w:rsid w:val="00EB1AF9"/>
    <w:rsid w:val="00EB1C4B"/>
    <w:rsid w:val="00EB1DA3"/>
    <w:rsid w:val="00EB2561"/>
    <w:rsid w:val="00EB2739"/>
    <w:rsid w:val="00EB285A"/>
    <w:rsid w:val="00EB28AC"/>
    <w:rsid w:val="00EB29FD"/>
    <w:rsid w:val="00EB2A38"/>
    <w:rsid w:val="00EB2C8F"/>
    <w:rsid w:val="00EB2D70"/>
    <w:rsid w:val="00EB2E90"/>
    <w:rsid w:val="00EB2F94"/>
    <w:rsid w:val="00EB3095"/>
    <w:rsid w:val="00EB3151"/>
    <w:rsid w:val="00EB336E"/>
    <w:rsid w:val="00EB3398"/>
    <w:rsid w:val="00EB3500"/>
    <w:rsid w:val="00EB3688"/>
    <w:rsid w:val="00EB3870"/>
    <w:rsid w:val="00EB398F"/>
    <w:rsid w:val="00EB3A18"/>
    <w:rsid w:val="00EB3A3A"/>
    <w:rsid w:val="00EB3B58"/>
    <w:rsid w:val="00EB3F2C"/>
    <w:rsid w:val="00EB3FE9"/>
    <w:rsid w:val="00EB41FA"/>
    <w:rsid w:val="00EB4520"/>
    <w:rsid w:val="00EB45A2"/>
    <w:rsid w:val="00EB45D9"/>
    <w:rsid w:val="00EB46CB"/>
    <w:rsid w:val="00EB4709"/>
    <w:rsid w:val="00EB497D"/>
    <w:rsid w:val="00EB4AD4"/>
    <w:rsid w:val="00EB4C43"/>
    <w:rsid w:val="00EB4DFF"/>
    <w:rsid w:val="00EB4E44"/>
    <w:rsid w:val="00EB537F"/>
    <w:rsid w:val="00EB53E5"/>
    <w:rsid w:val="00EB54B0"/>
    <w:rsid w:val="00EB54FA"/>
    <w:rsid w:val="00EB5546"/>
    <w:rsid w:val="00EB59D1"/>
    <w:rsid w:val="00EB5E2F"/>
    <w:rsid w:val="00EB60A4"/>
    <w:rsid w:val="00EB6172"/>
    <w:rsid w:val="00EB626E"/>
    <w:rsid w:val="00EB652E"/>
    <w:rsid w:val="00EB66D2"/>
    <w:rsid w:val="00EB672F"/>
    <w:rsid w:val="00EB6AE3"/>
    <w:rsid w:val="00EB6B7E"/>
    <w:rsid w:val="00EB6DB1"/>
    <w:rsid w:val="00EB6E35"/>
    <w:rsid w:val="00EB6FA5"/>
    <w:rsid w:val="00EB7037"/>
    <w:rsid w:val="00EB7381"/>
    <w:rsid w:val="00EB73C7"/>
    <w:rsid w:val="00EB7443"/>
    <w:rsid w:val="00EB7534"/>
    <w:rsid w:val="00EB767F"/>
    <w:rsid w:val="00EB7784"/>
    <w:rsid w:val="00EB7944"/>
    <w:rsid w:val="00EB7ABF"/>
    <w:rsid w:val="00EB7AFC"/>
    <w:rsid w:val="00EB7B95"/>
    <w:rsid w:val="00EB7FB6"/>
    <w:rsid w:val="00EC0066"/>
    <w:rsid w:val="00EC0515"/>
    <w:rsid w:val="00EC0570"/>
    <w:rsid w:val="00EC0924"/>
    <w:rsid w:val="00EC0A01"/>
    <w:rsid w:val="00EC0AD3"/>
    <w:rsid w:val="00EC0BFD"/>
    <w:rsid w:val="00EC0C39"/>
    <w:rsid w:val="00EC0C5E"/>
    <w:rsid w:val="00EC0C85"/>
    <w:rsid w:val="00EC0E30"/>
    <w:rsid w:val="00EC0E70"/>
    <w:rsid w:val="00EC1292"/>
    <w:rsid w:val="00EC133F"/>
    <w:rsid w:val="00EC1366"/>
    <w:rsid w:val="00EC1468"/>
    <w:rsid w:val="00EC181D"/>
    <w:rsid w:val="00EC1820"/>
    <w:rsid w:val="00EC1D68"/>
    <w:rsid w:val="00EC1DE6"/>
    <w:rsid w:val="00EC1FBF"/>
    <w:rsid w:val="00EC2045"/>
    <w:rsid w:val="00EC210D"/>
    <w:rsid w:val="00EC22CD"/>
    <w:rsid w:val="00EC2635"/>
    <w:rsid w:val="00EC2915"/>
    <w:rsid w:val="00EC318C"/>
    <w:rsid w:val="00EC3246"/>
    <w:rsid w:val="00EC34FE"/>
    <w:rsid w:val="00EC36D4"/>
    <w:rsid w:val="00EC380E"/>
    <w:rsid w:val="00EC3AAE"/>
    <w:rsid w:val="00EC3BD9"/>
    <w:rsid w:val="00EC3C80"/>
    <w:rsid w:val="00EC3DD5"/>
    <w:rsid w:val="00EC3F35"/>
    <w:rsid w:val="00EC40F0"/>
    <w:rsid w:val="00EC4195"/>
    <w:rsid w:val="00EC4343"/>
    <w:rsid w:val="00EC44DF"/>
    <w:rsid w:val="00EC46B7"/>
    <w:rsid w:val="00EC4C7E"/>
    <w:rsid w:val="00EC50E6"/>
    <w:rsid w:val="00EC5257"/>
    <w:rsid w:val="00EC536D"/>
    <w:rsid w:val="00EC54BF"/>
    <w:rsid w:val="00EC5511"/>
    <w:rsid w:val="00EC56A1"/>
    <w:rsid w:val="00EC56DB"/>
    <w:rsid w:val="00EC58F3"/>
    <w:rsid w:val="00EC59CD"/>
    <w:rsid w:val="00EC5EC2"/>
    <w:rsid w:val="00EC5FA7"/>
    <w:rsid w:val="00EC6325"/>
    <w:rsid w:val="00EC64CA"/>
    <w:rsid w:val="00EC654B"/>
    <w:rsid w:val="00EC6633"/>
    <w:rsid w:val="00EC67B6"/>
    <w:rsid w:val="00EC6881"/>
    <w:rsid w:val="00EC6889"/>
    <w:rsid w:val="00EC6BC0"/>
    <w:rsid w:val="00EC6F58"/>
    <w:rsid w:val="00EC6F7F"/>
    <w:rsid w:val="00EC7084"/>
    <w:rsid w:val="00EC718C"/>
    <w:rsid w:val="00EC742D"/>
    <w:rsid w:val="00EC7699"/>
    <w:rsid w:val="00EC7854"/>
    <w:rsid w:val="00EC78CD"/>
    <w:rsid w:val="00EC78E9"/>
    <w:rsid w:val="00EC7921"/>
    <w:rsid w:val="00EC798D"/>
    <w:rsid w:val="00EC7AC6"/>
    <w:rsid w:val="00EC7D51"/>
    <w:rsid w:val="00EC7DE9"/>
    <w:rsid w:val="00ED00FC"/>
    <w:rsid w:val="00ED04CD"/>
    <w:rsid w:val="00ED0589"/>
    <w:rsid w:val="00ED0632"/>
    <w:rsid w:val="00ED06C9"/>
    <w:rsid w:val="00ED073C"/>
    <w:rsid w:val="00ED0820"/>
    <w:rsid w:val="00ED09A5"/>
    <w:rsid w:val="00ED09E3"/>
    <w:rsid w:val="00ED0A82"/>
    <w:rsid w:val="00ED1005"/>
    <w:rsid w:val="00ED1267"/>
    <w:rsid w:val="00ED12C2"/>
    <w:rsid w:val="00ED1631"/>
    <w:rsid w:val="00ED1743"/>
    <w:rsid w:val="00ED179A"/>
    <w:rsid w:val="00ED1AA3"/>
    <w:rsid w:val="00ED1C86"/>
    <w:rsid w:val="00ED1D91"/>
    <w:rsid w:val="00ED1E54"/>
    <w:rsid w:val="00ED1F1D"/>
    <w:rsid w:val="00ED1F2A"/>
    <w:rsid w:val="00ED217B"/>
    <w:rsid w:val="00ED2188"/>
    <w:rsid w:val="00ED2483"/>
    <w:rsid w:val="00ED261A"/>
    <w:rsid w:val="00ED2650"/>
    <w:rsid w:val="00ED28A3"/>
    <w:rsid w:val="00ED2A13"/>
    <w:rsid w:val="00ED2A8A"/>
    <w:rsid w:val="00ED2ACD"/>
    <w:rsid w:val="00ED2F79"/>
    <w:rsid w:val="00ED35D6"/>
    <w:rsid w:val="00ED3971"/>
    <w:rsid w:val="00ED39A5"/>
    <w:rsid w:val="00ED3AC7"/>
    <w:rsid w:val="00ED3B80"/>
    <w:rsid w:val="00ED3D31"/>
    <w:rsid w:val="00ED4034"/>
    <w:rsid w:val="00ED41C0"/>
    <w:rsid w:val="00ED41F6"/>
    <w:rsid w:val="00ED4205"/>
    <w:rsid w:val="00ED444E"/>
    <w:rsid w:val="00ED4483"/>
    <w:rsid w:val="00ED4686"/>
    <w:rsid w:val="00ED477B"/>
    <w:rsid w:val="00ED48DD"/>
    <w:rsid w:val="00ED4B74"/>
    <w:rsid w:val="00ED4C9E"/>
    <w:rsid w:val="00ED4CB9"/>
    <w:rsid w:val="00ED4DBA"/>
    <w:rsid w:val="00ED4EEC"/>
    <w:rsid w:val="00ED50AF"/>
    <w:rsid w:val="00ED5176"/>
    <w:rsid w:val="00ED548A"/>
    <w:rsid w:val="00ED565B"/>
    <w:rsid w:val="00ED57F1"/>
    <w:rsid w:val="00ED5A31"/>
    <w:rsid w:val="00ED5B75"/>
    <w:rsid w:val="00ED5B82"/>
    <w:rsid w:val="00ED5CB1"/>
    <w:rsid w:val="00ED5D7E"/>
    <w:rsid w:val="00ED5E42"/>
    <w:rsid w:val="00ED5FF5"/>
    <w:rsid w:val="00ED626E"/>
    <w:rsid w:val="00ED62A1"/>
    <w:rsid w:val="00ED63D9"/>
    <w:rsid w:val="00ED6482"/>
    <w:rsid w:val="00ED659A"/>
    <w:rsid w:val="00ED65D3"/>
    <w:rsid w:val="00ED6947"/>
    <w:rsid w:val="00ED6A23"/>
    <w:rsid w:val="00ED6FCE"/>
    <w:rsid w:val="00ED7004"/>
    <w:rsid w:val="00ED7032"/>
    <w:rsid w:val="00ED7252"/>
    <w:rsid w:val="00ED730E"/>
    <w:rsid w:val="00ED7337"/>
    <w:rsid w:val="00ED73D7"/>
    <w:rsid w:val="00ED745B"/>
    <w:rsid w:val="00ED755E"/>
    <w:rsid w:val="00ED7862"/>
    <w:rsid w:val="00ED7891"/>
    <w:rsid w:val="00ED7978"/>
    <w:rsid w:val="00ED7A65"/>
    <w:rsid w:val="00ED7C51"/>
    <w:rsid w:val="00ED7D58"/>
    <w:rsid w:val="00ED7D6D"/>
    <w:rsid w:val="00ED7FA3"/>
    <w:rsid w:val="00EE013B"/>
    <w:rsid w:val="00EE0653"/>
    <w:rsid w:val="00EE0B35"/>
    <w:rsid w:val="00EE0CE5"/>
    <w:rsid w:val="00EE1000"/>
    <w:rsid w:val="00EE106C"/>
    <w:rsid w:val="00EE110D"/>
    <w:rsid w:val="00EE1289"/>
    <w:rsid w:val="00EE12CF"/>
    <w:rsid w:val="00EE1500"/>
    <w:rsid w:val="00EE164E"/>
    <w:rsid w:val="00EE16BD"/>
    <w:rsid w:val="00EE16BF"/>
    <w:rsid w:val="00EE17C0"/>
    <w:rsid w:val="00EE17E9"/>
    <w:rsid w:val="00EE18E8"/>
    <w:rsid w:val="00EE1A24"/>
    <w:rsid w:val="00EE1CFB"/>
    <w:rsid w:val="00EE1F38"/>
    <w:rsid w:val="00EE1F9F"/>
    <w:rsid w:val="00EE24B1"/>
    <w:rsid w:val="00EE2541"/>
    <w:rsid w:val="00EE2555"/>
    <w:rsid w:val="00EE25C1"/>
    <w:rsid w:val="00EE26A3"/>
    <w:rsid w:val="00EE273A"/>
    <w:rsid w:val="00EE27CB"/>
    <w:rsid w:val="00EE281B"/>
    <w:rsid w:val="00EE28A5"/>
    <w:rsid w:val="00EE28BF"/>
    <w:rsid w:val="00EE2BD3"/>
    <w:rsid w:val="00EE2D39"/>
    <w:rsid w:val="00EE2FE7"/>
    <w:rsid w:val="00EE3410"/>
    <w:rsid w:val="00EE3556"/>
    <w:rsid w:val="00EE357B"/>
    <w:rsid w:val="00EE368C"/>
    <w:rsid w:val="00EE381B"/>
    <w:rsid w:val="00EE388D"/>
    <w:rsid w:val="00EE3923"/>
    <w:rsid w:val="00EE3ACA"/>
    <w:rsid w:val="00EE3B1B"/>
    <w:rsid w:val="00EE3C54"/>
    <w:rsid w:val="00EE40D8"/>
    <w:rsid w:val="00EE44A4"/>
    <w:rsid w:val="00EE464A"/>
    <w:rsid w:val="00EE49A1"/>
    <w:rsid w:val="00EE4A9C"/>
    <w:rsid w:val="00EE4C3C"/>
    <w:rsid w:val="00EE4CDA"/>
    <w:rsid w:val="00EE4E0F"/>
    <w:rsid w:val="00EE4F1E"/>
    <w:rsid w:val="00EE4FB3"/>
    <w:rsid w:val="00EE5777"/>
    <w:rsid w:val="00EE584A"/>
    <w:rsid w:val="00EE5C84"/>
    <w:rsid w:val="00EE5CDF"/>
    <w:rsid w:val="00EE5D75"/>
    <w:rsid w:val="00EE60E3"/>
    <w:rsid w:val="00EE614D"/>
    <w:rsid w:val="00EE6209"/>
    <w:rsid w:val="00EE678F"/>
    <w:rsid w:val="00EE68CB"/>
    <w:rsid w:val="00EE69D9"/>
    <w:rsid w:val="00EE6B1D"/>
    <w:rsid w:val="00EE6B79"/>
    <w:rsid w:val="00EE6C03"/>
    <w:rsid w:val="00EE7403"/>
    <w:rsid w:val="00EE74EB"/>
    <w:rsid w:val="00EE7523"/>
    <w:rsid w:val="00EE75D8"/>
    <w:rsid w:val="00EE772F"/>
    <w:rsid w:val="00EE793B"/>
    <w:rsid w:val="00EE7948"/>
    <w:rsid w:val="00EE7C0B"/>
    <w:rsid w:val="00EE7CE8"/>
    <w:rsid w:val="00EE7E3D"/>
    <w:rsid w:val="00EE7F75"/>
    <w:rsid w:val="00EF008F"/>
    <w:rsid w:val="00EF0106"/>
    <w:rsid w:val="00EF01FF"/>
    <w:rsid w:val="00EF05D9"/>
    <w:rsid w:val="00EF0D88"/>
    <w:rsid w:val="00EF0FFF"/>
    <w:rsid w:val="00EF1013"/>
    <w:rsid w:val="00EF1206"/>
    <w:rsid w:val="00EF1259"/>
    <w:rsid w:val="00EF1443"/>
    <w:rsid w:val="00EF151D"/>
    <w:rsid w:val="00EF1783"/>
    <w:rsid w:val="00EF1902"/>
    <w:rsid w:val="00EF1C36"/>
    <w:rsid w:val="00EF1D3E"/>
    <w:rsid w:val="00EF1F69"/>
    <w:rsid w:val="00EF202C"/>
    <w:rsid w:val="00EF205D"/>
    <w:rsid w:val="00EF218E"/>
    <w:rsid w:val="00EF23C8"/>
    <w:rsid w:val="00EF26AD"/>
    <w:rsid w:val="00EF2760"/>
    <w:rsid w:val="00EF27F0"/>
    <w:rsid w:val="00EF2807"/>
    <w:rsid w:val="00EF2AFF"/>
    <w:rsid w:val="00EF2EF3"/>
    <w:rsid w:val="00EF2FE0"/>
    <w:rsid w:val="00EF32FD"/>
    <w:rsid w:val="00EF3320"/>
    <w:rsid w:val="00EF3495"/>
    <w:rsid w:val="00EF3561"/>
    <w:rsid w:val="00EF3572"/>
    <w:rsid w:val="00EF3676"/>
    <w:rsid w:val="00EF3772"/>
    <w:rsid w:val="00EF37C4"/>
    <w:rsid w:val="00EF38A7"/>
    <w:rsid w:val="00EF3A56"/>
    <w:rsid w:val="00EF3C41"/>
    <w:rsid w:val="00EF3DAF"/>
    <w:rsid w:val="00EF3E0F"/>
    <w:rsid w:val="00EF3E7A"/>
    <w:rsid w:val="00EF3EF9"/>
    <w:rsid w:val="00EF3F4E"/>
    <w:rsid w:val="00EF3FD8"/>
    <w:rsid w:val="00EF409B"/>
    <w:rsid w:val="00EF4120"/>
    <w:rsid w:val="00EF43BE"/>
    <w:rsid w:val="00EF45FB"/>
    <w:rsid w:val="00EF4687"/>
    <w:rsid w:val="00EF4961"/>
    <w:rsid w:val="00EF4DD9"/>
    <w:rsid w:val="00EF4E5C"/>
    <w:rsid w:val="00EF4F73"/>
    <w:rsid w:val="00EF5126"/>
    <w:rsid w:val="00EF51F2"/>
    <w:rsid w:val="00EF539C"/>
    <w:rsid w:val="00EF540C"/>
    <w:rsid w:val="00EF5424"/>
    <w:rsid w:val="00EF555C"/>
    <w:rsid w:val="00EF55C0"/>
    <w:rsid w:val="00EF57F0"/>
    <w:rsid w:val="00EF59B9"/>
    <w:rsid w:val="00EF5AE1"/>
    <w:rsid w:val="00EF5C08"/>
    <w:rsid w:val="00EF5D01"/>
    <w:rsid w:val="00EF5D53"/>
    <w:rsid w:val="00EF5D83"/>
    <w:rsid w:val="00EF62E2"/>
    <w:rsid w:val="00EF62FC"/>
    <w:rsid w:val="00EF6758"/>
    <w:rsid w:val="00EF6CA4"/>
    <w:rsid w:val="00EF6D9F"/>
    <w:rsid w:val="00EF6FC4"/>
    <w:rsid w:val="00EF70F1"/>
    <w:rsid w:val="00EF711C"/>
    <w:rsid w:val="00EF71D7"/>
    <w:rsid w:val="00EF7201"/>
    <w:rsid w:val="00EF7276"/>
    <w:rsid w:val="00EF7396"/>
    <w:rsid w:val="00EF7584"/>
    <w:rsid w:val="00EF7619"/>
    <w:rsid w:val="00EF767A"/>
    <w:rsid w:val="00EF7992"/>
    <w:rsid w:val="00EF7A57"/>
    <w:rsid w:val="00EF7DE6"/>
    <w:rsid w:val="00EF7FDF"/>
    <w:rsid w:val="00F000E7"/>
    <w:rsid w:val="00F0014A"/>
    <w:rsid w:val="00F002BD"/>
    <w:rsid w:val="00F0040E"/>
    <w:rsid w:val="00F00433"/>
    <w:rsid w:val="00F005FF"/>
    <w:rsid w:val="00F00611"/>
    <w:rsid w:val="00F007FA"/>
    <w:rsid w:val="00F00875"/>
    <w:rsid w:val="00F008DD"/>
    <w:rsid w:val="00F0095C"/>
    <w:rsid w:val="00F0099B"/>
    <w:rsid w:val="00F00AED"/>
    <w:rsid w:val="00F0105C"/>
    <w:rsid w:val="00F01101"/>
    <w:rsid w:val="00F01279"/>
    <w:rsid w:val="00F01323"/>
    <w:rsid w:val="00F015D2"/>
    <w:rsid w:val="00F01675"/>
    <w:rsid w:val="00F01735"/>
    <w:rsid w:val="00F019E4"/>
    <w:rsid w:val="00F01B55"/>
    <w:rsid w:val="00F01CEE"/>
    <w:rsid w:val="00F01F0B"/>
    <w:rsid w:val="00F01FFE"/>
    <w:rsid w:val="00F02069"/>
    <w:rsid w:val="00F020AC"/>
    <w:rsid w:val="00F021E2"/>
    <w:rsid w:val="00F02348"/>
    <w:rsid w:val="00F02499"/>
    <w:rsid w:val="00F024C1"/>
    <w:rsid w:val="00F0282D"/>
    <w:rsid w:val="00F0296F"/>
    <w:rsid w:val="00F02AA3"/>
    <w:rsid w:val="00F02D71"/>
    <w:rsid w:val="00F02E57"/>
    <w:rsid w:val="00F02F29"/>
    <w:rsid w:val="00F032C2"/>
    <w:rsid w:val="00F0330B"/>
    <w:rsid w:val="00F03378"/>
    <w:rsid w:val="00F03531"/>
    <w:rsid w:val="00F0353A"/>
    <w:rsid w:val="00F03611"/>
    <w:rsid w:val="00F03631"/>
    <w:rsid w:val="00F0369D"/>
    <w:rsid w:val="00F03711"/>
    <w:rsid w:val="00F037D9"/>
    <w:rsid w:val="00F038CE"/>
    <w:rsid w:val="00F03962"/>
    <w:rsid w:val="00F03AAF"/>
    <w:rsid w:val="00F03AF9"/>
    <w:rsid w:val="00F03E69"/>
    <w:rsid w:val="00F03E6A"/>
    <w:rsid w:val="00F03EF0"/>
    <w:rsid w:val="00F03F7E"/>
    <w:rsid w:val="00F03FA9"/>
    <w:rsid w:val="00F03FB9"/>
    <w:rsid w:val="00F03FF0"/>
    <w:rsid w:val="00F0410B"/>
    <w:rsid w:val="00F041DD"/>
    <w:rsid w:val="00F042AF"/>
    <w:rsid w:val="00F0430A"/>
    <w:rsid w:val="00F0438F"/>
    <w:rsid w:val="00F04708"/>
    <w:rsid w:val="00F0492D"/>
    <w:rsid w:val="00F04D6B"/>
    <w:rsid w:val="00F05157"/>
    <w:rsid w:val="00F053C9"/>
    <w:rsid w:val="00F054CE"/>
    <w:rsid w:val="00F054F8"/>
    <w:rsid w:val="00F0554D"/>
    <w:rsid w:val="00F055BB"/>
    <w:rsid w:val="00F05BD0"/>
    <w:rsid w:val="00F05D2D"/>
    <w:rsid w:val="00F05EB9"/>
    <w:rsid w:val="00F061EB"/>
    <w:rsid w:val="00F0636D"/>
    <w:rsid w:val="00F063A5"/>
    <w:rsid w:val="00F06508"/>
    <w:rsid w:val="00F06533"/>
    <w:rsid w:val="00F06679"/>
    <w:rsid w:val="00F066DB"/>
    <w:rsid w:val="00F066F6"/>
    <w:rsid w:val="00F0687A"/>
    <w:rsid w:val="00F068C5"/>
    <w:rsid w:val="00F06905"/>
    <w:rsid w:val="00F0698E"/>
    <w:rsid w:val="00F069DA"/>
    <w:rsid w:val="00F069F4"/>
    <w:rsid w:val="00F06BEB"/>
    <w:rsid w:val="00F06DC0"/>
    <w:rsid w:val="00F06E1C"/>
    <w:rsid w:val="00F06EF9"/>
    <w:rsid w:val="00F0700C"/>
    <w:rsid w:val="00F07110"/>
    <w:rsid w:val="00F07175"/>
    <w:rsid w:val="00F071D7"/>
    <w:rsid w:val="00F07403"/>
    <w:rsid w:val="00F0742E"/>
    <w:rsid w:val="00F07682"/>
    <w:rsid w:val="00F07699"/>
    <w:rsid w:val="00F076E7"/>
    <w:rsid w:val="00F07A0A"/>
    <w:rsid w:val="00F07C5A"/>
    <w:rsid w:val="00F07C91"/>
    <w:rsid w:val="00F07D2A"/>
    <w:rsid w:val="00F07D72"/>
    <w:rsid w:val="00F10041"/>
    <w:rsid w:val="00F10204"/>
    <w:rsid w:val="00F10386"/>
    <w:rsid w:val="00F10388"/>
    <w:rsid w:val="00F105BD"/>
    <w:rsid w:val="00F10637"/>
    <w:rsid w:val="00F1079E"/>
    <w:rsid w:val="00F107CA"/>
    <w:rsid w:val="00F10A60"/>
    <w:rsid w:val="00F10C99"/>
    <w:rsid w:val="00F10CAD"/>
    <w:rsid w:val="00F10CE3"/>
    <w:rsid w:val="00F10D6C"/>
    <w:rsid w:val="00F10DB9"/>
    <w:rsid w:val="00F1111E"/>
    <w:rsid w:val="00F11340"/>
    <w:rsid w:val="00F11606"/>
    <w:rsid w:val="00F1179F"/>
    <w:rsid w:val="00F11BEA"/>
    <w:rsid w:val="00F11C5D"/>
    <w:rsid w:val="00F11C62"/>
    <w:rsid w:val="00F11DE1"/>
    <w:rsid w:val="00F11EF5"/>
    <w:rsid w:val="00F1209C"/>
    <w:rsid w:val="00F12133"/>
    <w:rsid w:val="00F12147"/>
    <w:rsid w:val="00F1234A"/>
    <w:rsid w:val="00F12628"/>
    <w:rsid w:val="00F128AF"/>
    <w:rsid w:val="00F12A25"/>
    <w:rsid w:val="00F12B9D"/>
    <w:rsid w:val="00F12DAE"/>
    <w:rsid w:val="00F12EAB"/>
    <w:rsid w:val="00F12EE0"/>
    <w:rsid w:val="00F13011"/>
    <w:rsid w:val="00F13113"/>
    <w:rsid w:val="00F13199"/>
    <w:rsid w:val="00F13267"/>
    <w:rsid w:val="00F132CF"/>
    <w:rsid w:val="00F13333"/>
    <w:rsid w:val="00F13559"/>
    <w:rsid w:val="00F135DF"/>
    <w:rsid w:val="00F13A01"/>
    <w:rsid w:val="00F13C49"/>
    <w:rsid w:val="00F13D86"/>
    <w:rsid w:val="00F13D95"/>
    <w:rsid w:val="00F13E55"/>
    <w:rsid w:val="00F1425B"/>
    <w:rsid w:val="00F142C7"/>
    <w:rsid w:val="00F14310"/>
    <w:rsid w:val="00F14333"/>
    <w:rsid w:val="00F14403"/>
    <w:rsid w:val="00F14447"/>
    <w:rsid w:val="00F145AD"/>
    <w:rsid w:val="00F1468C"/>
    <w:rsid w:val="00F146F7"/>
    <w:rsid w:val="00F14877"/>
    <w:rsid w:val="00F14E94"/>
    <w:rsid w:val="00F1515D"/>
    <w:rsid w:val="00F15300"/>
    <w:rsid w:val="00F15342"/>
    <w:rsid w:val="00F1547C"/>
    <w:rsid w:val="00F1556A"/>
    <w:rsid w:val="00F1560E"/>
    <w:rsid w:val="00F15832"/>
    <w:rsid w:val="00F159FB"/>
    <w:rsid w:val="00F15C2D"/>
    <w:rsid w:val="00F15F78"/>
    <w:rsid w:val="00F1605C"/>
    <w:rsid w:val="00F1610C"/>
    <w:rsid w:val="00F16187"/>
    <w:rsid w:val="00F168FB"/>
    <w:rsid w:val="00F16911"/>
    <w:rsid w:val="00F169BC"/>
    <w:rsid w:val="00F16A38"/>
    <w:rsid w:val="00F16B0B"/>
    <w:rsid w:val="00F16D34"/>
    <w:rsid w:val="00F16DDF"/>
    <w:rsid w:val="00F16F77"/>
    <w:rsid w:val="00F174C0"/>
    <w:rsid w:val="00F1756E"/>
    <w:rsid w:val="00F175ED"/>
    <w:rsid w:val="00F1764C"/>
    <w:rsid w:val="00F176E5"/>
    <w:rsid w:val="00F17968"/>
    <w:rsid w:val="00F179AC"/>
    <w:rsid w:val="00F179B0"/>
    <w:rsid w:val="00F17AD6"/>
    <w:rsid w:val="00F17AF2"/>
    <w:rsid w:val="00F17B71"/>
    <w:rsid w:val="00F17DA1"/>
    <w:rsid w:val="00F17E9E"/>
    <w:rsid w:val="00F1EDF1"/>
    <w:rsid w:val="00F201A0"/>
    <w:rsid w:val="00F2040D"/>
    <w:rsid w:val="00F20583"/>
    <w:rsid w:val="00F205F8"/>
    <w:rsid w:val="00F20685"/>
    <w:rsid w:val="00F20AA5"/>
    <w:rsid w:val="00F20ED3"/>
    <w:rsid w:val="00F210ED"/>
    <w:rsid w:val="00F21339"/>
    <w:rsid w:val="00F214AA"/>
    <w:rsid w:val="00F2154F"/>
    <w:rsid w:val="00F21572"/>
    <w:rsid w:val="00F21A7A"/>
    <w:rsid w:val="00F21B24"/>
    <w:rsid w:val="00F22305"/>
    <w:rsid w:val="00F224FF"/>
    <w:rsid w:val="00F2256A"/>
    <w:rsid w:val="00F2264A"/>
    <w:rsid w:val="00F228B6"/>
    <w:rsid w:val="00F22A36"/>
    <w:rsid w:val="00F22B3F"/>
    <w:rsid w:val="00F22E6F"/>
    <w:rsid w:val="00F22E87"/>
    <w:rsid w:val="00F22EFA"/>
    <w:rsid w:val="00F23565"/>
    <w:rsid w:val="00F2364C"/>
    <w:rsid w:val="00F237EE"/>
    <w:rsid w:val="00F23B46"/>
    <w:rsid w:val="00F23CDE"/>
    <w:rsid w:val="00F23DEF"/>
    <w:rsid w:val="00F23F41"/>
    <w:rsid w:val="00F2407D"/>
    <w:rsid w:val="00F240DB"/>
    <w:rsid w:val="00F24505"/>
    <w:rsid w:val="00F24733"/>
    <w:rsid w:val="00F249B3"/>
    <w:rsid w:val="00F24A4F"/>
    <w:rsid w:val="00F24A64"/>
    <w:rsid w:val="00F24B42"/>
    <w:rsid w:val="00F24CB8"/>
    <w:rsid w:val="00F24DA4"/>
    <w:rsid w:val="00F24E3E"/>
    <w:rsid w:val="00F251D4"/>
    <w:rsid w:val="00F25530"/>
    <w:rsid w:val="00F25581"/>
    <w:rsid w:val="00F255D8"/>
    <w:rsid w:val="00F25816"/>
    <w:rsid w:val="00F25ADB"/>
    <w:rsid w:val="00F25B3C"/>
    <w:rsid w:val="00F25D85"/>
    <w:rsid w:val="00F260F8"/>
    <w:rsid w:val="00F2613D"/>
    <w:rsid w:val="00F26493"/>
    <w:rsid w:val="00F2650E"/>
    <w:rsid w:val="00F26787"/>
    <w:rsid w:val="00F267F6"/>
    <w:rsid w:val="00F26D69"/>
    <w:rsid w:val="00F26F23"/>
    <w:rsid w:val="00F26FBA"/>
    <w:rsid w:val="00F27091"/>
    <w:rsid w:val="00F27194"/>
    <w:rsid w:val="00F27371"/>
    <w:rsid w:val="00F27665"/>
    <w:rsid w:val="00F2767A"/>
    <w:rsid w:val="00F2786A"/>
    <w:rsid w:val="00F27A02"/>
    <w:rsid w:val="00F27CD8"/>
    <w:rsid w:val="00F27DE0"/>
    <w:rsid w:val="00F3004D"/>
    <w:rsid w:val="00F300FF"/>
    <w:rsid w:val="00F301B8"/>
    <w:rsid w:val="00F30463"/>
    <w:rsid w:val="00F30464"/>
    <w:rsid w:val="00F3072D"/>
    <w:rsid w:val="00F3078F"/>
    <w:rsid w:val="00F314B8"/>
    <w:rsid w:val="00F315E2"/>
    <w:rsid w:val="00F31626"/>
    <w:rsid w:val="00F31638"/>
    <w:rsid w:val="00F31994"/>
    <w:rsid w:val="00F31C4D"/>
    <w:rsid w:val="00F31E07"/>
    <w:rsid w:val="00F3200B"/>
    <w:rsid w:val="00F32130"/>
    <w:rsid w:val="00F321C0"/>
    <w:rsid w:val="00F32250"/>
    <w:rsid w:val="00F322BD"/>
    <w:rsid w:val="00F324A3"/>
    <w:rsid w:val="00F32582"/>
    <w:rsid w:val="00F3263E"/>
    <w:rsid w:val="00F327CF"/>
    <w:rsid w:val="00F327EC"/>
    <w:rsid w:val="00F3293C"/>
    <w:rsid w:val="00F32A4A"/>
    <w:rsid w:val="00F32A87"/>
    <w:rsid w:val="00F32BAF"/>
    <w:rsid w:val="00F32BD3"/>
    <w:rsid w:val="00F32C1A"/>
    <w:rsid w:val="00F32CA8"/>
    <w:rsid w:val="00F32D0A"/>
    <w:rsid w:val="00F32ED4"/>
    <w:rsid w:val="00F3300C"/>
    <w:rsid w:val="00F3306C"/>
    <w:rsid w:val="00F3366C"/>
    <w:rsid w:val="00F3385C"/>
    <w:rsid w:val="00F3394C"/>
    <w:rsid w:val="00F33E09"/>
    <w:rsid w:val="00F33F68"/>
    <w:rsid w:val="00F33F81"/>
    <w:rsid w:val="00F3427D"/>
    <w:rsid w:val="00F343F1"/>
    <w:rsid w:val="00F3446C"/>
    <w:rsid w:val="00F3453B"/>
    <w:rsid w:val="00F34761"/>
    <w:rsid w:val="00F34B6E"/>
    <w:rsid w:val="00F34E68"/>
    <w:rsid w:val="00F34F0E"/>
    <w:rsid w:val="00F3514C"/>
    <w:rsid w:val="00F352E7"/>
    <w:rsid w:val="00F35351"/>
    <w:rsid w:val="00F3546E"/>
    <w:rsid w:val="00F35664"/>
    <w:rsid w:val="00F3571C"/>
    <w:rsid w:val="00F35860"/>
    <w:rsid w:val="00F35BA6"/>
    <w:rsid w:val="00F35E09"/>
    <w:rsid w:val="00F36267"/>
    <w:rsid w:val="00F36398"/>
    <w:rsid w:val="00F36764"/>
    <w:rsid w:val="00F367F3"/>
    <w:rsid w:val="00F36C4B"/>
    <w:rsid w:val="00F36DED"/>
    <w:rsid w:val="00F36E55"/>
    <w:rsid w:val="00F36E6A"/>
    <w:rsid w:val="00F37181"/>
    <w:rsid w:val="00F372DC"/>
    <w:rsid w:val="00F373F4"/>
    <w:rsid w:val="00F3749E"/>
    <w:rsid w:val="00F37531"/>
    <w:rsid w:val="00F3754F"/>
    <w:rsid w:val="00F37652"/>
    <w:rsid w:val="00F37668"/>
    <w:rsid w:val="00F37A96"/>
    <w:rsid w:val="00F37BC4"/>
    <w:rsid w:val="00F37C3C"/>
    <w:rsid w:val="00F37CB2"/>
    <w:rsid w:val="00F37E3F"/>
    <w:rsid w:val="00F37EB9"/>
    <w:rsid w:val="00F400F0"/>
    <w:rsid w:val="00F40349"/>
    <w:rsid w:val="00F4075C"/>
    <w:rsid w:val="00F407D0"/>
    <w:rsid w:val="00F409BC"/>
    <w:rsid w:val="00F40A65"/>
    <w:rsid w:val="00F40BB0"/>
    <w:rsid w:val="00F41087"/>
    <w:rsid w:val="00F410FB"/>
    <w:rsid w:val="00F412A2"/>
    <w:rsid w:val="00F412CC"/>
    <w:rsid w:val="00F4135E"/>
    <w:rsid w:val="00F413D7"/>
    <w:rsid w:val="00F41718"/>
    <w:rsid w:val="00F417FC"/>
    <w:rsid w:val="00F4187F"/>
    <w:rsid w:val="00F419AF"/>
    <w:rsid w:val="00F41E34"/>
    <w:rsid w:val="00F4207A"/>
    <w:rsid w:val="00F421A3"/>
    <w:rsid w:val="00F42287"/>
    <w:rsid w:val="00F422F6"/>
    <w:rsid w:val="00F423B8"/>
    <w:rsid w:val="00F4243F"/>
    <w:rsid w:val="00F426A4"/>
    <w:rsid w:val="00F428C2"/>
    <w:rsid w:val="00F42912"/>
    <w:rsid w:val="00F429FF"/>
    <w:rsid w:val="00F42AEF"/>
    <w:rsid w:val="00F42BEC"/>
    <w:rsid w:val="00F42D83"/>
    <w:rsid w:val="00F42DFF"/>
    <w:rsid w:val="00F42EDE"/>
    <w:rsid w:val="00F4302E"/>
    <w:rsid w:val="00F4321E"/>
    <w:rsid w:val="00F4322E"/>
    <w:rsid w:val="00F432BD"/>
    <w:rsid w:val="00F4366F"/>
    <w:rsid w:val="00F436DA"/>
    <w:rsid w:val="00F43709"/>
    <w:rsid w:val="00F43941"/>
    <w:rsid w:val="00F43A31"/>
    <w:rsid w:val="00F43D5C"/>
    <w:rsid w:val="00F44170"/>
    <w:rsid w:val="00F4430D"/>
    <w:rsid w:val="00F445ED"/>
    <w:rsid w:val="00F44631"/>
    <w:rsid w:val="00F446F7"/>
    <w:rsid w:val="00F44705"/>
    <w:rsid w:val="00F4471B"/>
    <w:rsid w:val="00F44B31"/>
    <w:rsid w:val="00F44B6C"/>
    <w:rsid w:val="00F44C27"/>
    <w:rsid w:val="00F44FBC"/>
    <w:rsid w:val="00F4515C"/>
    <w:rsid w:val="00F45241"/>
    <w:rsid w:val="00F453CC"/>
    <w:rsid w:val="00F453EF"/>
    <w:rsid w:val="00F453F9"/>
    <w:rsid w:val="00F45768"/>
    <w:rsid w:val="00F458C2"/>
    <w:rsid w:val="00F459B4"/>
    <w:rsid w:val="00F45A97"/>
    <w:rsid w:val="00F45C2B"/>
    <w:rsid w:val="00F45F7B"/>
    <w:rsid w:val="00F45FCE"/>
    <w:rsid w:val="00F4601D"/>
    <w:rsid w:val="00F462C6"/>
    <w:rsid w:val="00F46818"/>
    <w:rsid w:val="00F46D1B"/>
    <w:rsid w:val="00F46D66"/>
    <w:rsid w:val="00F46DD9"/>
    <w:rsid w:val="00F46E57"/>
    <w:rsid w:val="00F46F86"/>
    <w:rsid w:val="00F47039"/>
    <w:rsid w:val="00F47042"/>
    <w:rsid w:val="00F47628"/>
    <w:rsid w:val="00F4790F"/>
    <w:rsid w:val="00F47ABC"/>
    <w:rsid w:val="00F47BC2"/>
    <w:rsid w:val="00F47D0F"/>
    <w:rsid w:val="00F503B4"/>
    <w:rsid w:val="00F504F6"/>
    <w:rsid w:val="00F5077E"/>
    <w:rsid w:val="00F507C6"/>
    <w:rsid w:val="00F50AE9"/>
    <w:rsid w:val="00F50DE4"/>
    <w:rsid w:val="00F50E1D"/>
    <w:rsid w:val="00F5100C"/>
    <w:rsid w:val="00F5102D"/>
    <w:rsid w:val="00F5128E"/>
    <w:rsid w:val="00F5136F"/>
    <w:rsid w:val="00F513D2"/>
    <w:rsid w:val="00F51435"/>
    <w:rsid w:val="00F517FF"/>
    <w:rsid w:val="00F5183B"/>
    <w:rsid w:val="00F51A62"/>
    <w:rsid w:val="00F51B3B"/>
    <w:rsid w:val="00F51BD8"/>
    <w:rsid w:val="00F51EAF"/>
    <w:rsid w:val="00F51F47"/>
    <w:rsid w:val="00F51FD9"/>
    <w:rsid w:val="00F51FE7"/>
    <w:rsid w:val="00F5205C"/>
    <w:rsid w:val="00F520B4"/>
    <w:rsid w:val="00F521C1"/>
    <w:rsid w:val="00F52361"/>
    <w:rsid w:val="00F523C2"/>
    <w:rsid w:val="00F52659"/>
    <w:rsid w:val="00F5270B"/>
    <w:rsid w:val="00F52717"/>
    <w:rsid w:val="00F52784"/>
    <w:rsid w:val="00F527A6"/>
    <w:rsid w:val="00F52835"/>
    <w:rsid w:val="00F52909"/>
    <w:rsid w:val="00F52A06"/>
    <w:rsid w:val="00F52BF6"/>
    <w:rsid w:val="00F52C90"/>
    <w:rsid w:val="00F52D5D"/>
    <w:rsid w:val="00F52D90"/>
    <w:rsid w:val="00F52DC3"/>
    <w:rsid w:val="00F52FCF"/>
    <w:rsid w:val="00F5338C"/>
    <w:rsid w:val="00F5347B"/>
    <w:rsid w:val="00F5353A"/>
    <w:rsid w:val="00F53AA4"/>
    <w:rsid w:val="00F53AB0"/>
    <w:rsid w:val="00F53C1B"/>
    <w:rsid w:val="00F53CFC"/>
    <w:rsid w:val="00F53D40"/>
    <w:rsid w:val="00F54234"/>
    <w:rsid w:val="00F5423C"/>
    <w:rsid w:val="00F542AB"/>
    <w:rsid w:val="00F5438A"/>
    <w:rsid w:val="00F543D5"/>
    <w:rsid w:val="00F54568"/>
    <w:rsid w:val="00F545A3"/>
    <w:rsid w:val="00F548A5"/>
    <w:rsid w:val="00F548EE"/>
    <w:rsid w:val="00F54913"/>
    <w:rsid w:val="00F54A93"/>
    <w:rsid w:val="00F54D17"/>
    <w:rsid w:val="00F5502A"/>
    <w:rsid w:val="00F55103"/>
    <w:rsid w:val="00F55133"/>
    <w:rsid w:val="00F551C7"/>
    <w:rsid w:val="00F55525"/>
    <w:rsid w:val="00F55613"/>
    <w:rsid w:val="00F55929"/>
    <w:rsid w:val="00F55B33"/>
    <w:rsid w:val="00F55D0C"/>
    <w:rsid w:val="00F55FED"/>
    <w:rsid w:val="00F5651F"/>
    <w:rsid w:val="00F567F9"/>
    <w:rsid w:val="00F56A4B"/>
    <w:rsid w:val="00F56B03"/>
    <w:rsid w:val="00F56D82"/>
    <w:rsid w:val="00F56E91"/>
    <w:rsid w:val="00F571ED"/>
    <w:rsid w:val="00F57343"/>
    <w:rsid w:val="00F57448"/>
    <w:rsid w:val="00F5747C"/>
    <w:rsid w:val="00F57545"/>
    <w:rsid w:val="00F575B8"/>
    <w:rsid w:val="00F57AA7"/>
    <w:rsid w:val="00F57C74"/>
    <w:rsid w:val="00F57E2B"/>
    <w:rsid w:val="00F57E49"/>
    <w:rsid w:val="00F57F9B"/>
    <w:rsid w:val="00F60109"/>
    <w:rsid w:val="00F60212"/>
    <w:rsid w:val="00F603AE"/>
    <w:rsid w:val="00F607AB"/>
    <w:rsid w:val="00F60A6F"/>
    <w:rsid w:val="00F60B26"/>
    <w:rsid w:val="00F60C6A"/>
    <w:rsid w:val="00F60DDC"/>
    <w:rsid w:val="00F61092"/>
    <w:rsid w:val="00F611AF"/>
    <w:rsid w:val="00F612CF"/>
    <w:rsid w:val="00F6165C"/>
    <w:rsid w:val="00F617D1"/>
    <w:rsid w:val="00F61AD6"/>
    <w:rsid w:val="00F61B10"/>
    <w:rsid w:val="00F61CF7"/>
    <w:rsid w:val="00F62028"/>
    <w:rsid w:val="00F6213B"/>
    <w:rsid w:val="00F62235"/>
    <w:rsid w:val="00F624B3"/>
    <w:rsid w:val="00F624CC"/>
    <w:rsid w:val="00F6252C"/>
    <w:rsid w:val="00F625E5"/>
    <w:rsid w:val="00F626C7"/>
    <w:rsid w:val="00F62781"/>
    <w:rsid w:val="00F627AA"/>
    <w:rsid w:val="00F6282E"/>
    <w:rsid w:val="00F62DE0"/>
    <w:rsid w:val="00F62F4F"/>
    <w:rsid w:val="00F62F92"/>
    <w:rsid w:val="00F633A2"/>
    <w:rsid w:val="00F6354A"/>
    <w:rsid w:val="00F6355E"/>
    <w:rsid w:val="00F638B1"/>
    <w:rsid w:val="00F63A64"/>
    <w:rsid w:val="00F63DC1"/>
    <w:rsid w:val="00F63F6A"/>
    <w:rsid w:val="00F64001"/>
    <w:rsid w:val="00F64153"/>
    <w:rsid w:val="00F641BB"/>
    <w:rsid w:val="00F6469F"/>
    <w:rsid w:val="00F647B5"/>
    <w:rsid w:val="00F647B7"/>
    <w:rsid w:val="00F64A50"/>
    <w:rsid w:val="00F64AC9"/>
    <w:rsid w:val="00F64E6E"/>
    <w:rsid w:val="00F64EAD"/>
    <w:rsid w:val="00F64FD7"/>
    <w:rsid w:val="00F653A6"/>
    <w:rsid w:val="00F653E3"/>
    <w:rsid w:val="00F65438"/>
    <w:rsid w:val="00F65502"/>
    <w:rsid w:val="00F657C4"/>
    <w:rsid w:val="00F658DF"/>
    <w:rsid w:val="00F65A47"/>
    <w:rsid w:val="00F65AC2"/>
    <w:rsid w:val="00F65BA0"/>
    <w:rsid w:val="00F65C53"/>
    <w:rsid w:val="00F65CF3"/>
    <w:rsid w:val="00F65E64"/>
    <w:rsid w:val="00F66173"/>
    <w:rsid w:val="00F66239"/>
    <w:rsid w:val="00F663FB"/>
    <w:rsid w:val="00F6640D"/>
    <w:rsid w:val="00F664A7"/>
    <w:rsid w:val="00F6650B"/>
    <w:rsid w:val="00F6663B"/>
    <w:rsid w:val="00F667B3"/>
    <w:rsid w:val="00F667C6"/>
    <w:rsid w:val="00F668AD"/>
    <w:rsid w:val="00F66AB9"/>
    <w:rsid w:val="00F66B41"/>
    <w:rsid w:val="00F66CA6"/>
    <w:rsid w:val="00F66F4D"/>
    <w:rsid w:val="00F670C0"/>
    <w:rsid w:val="00F671B5"/>
    <w:rsid w:val="00F673B7"/>
    <w:rsid w:val="00F67492"/>
    <w:rsid w:val="00F67565"/>
    <w:rsid w:val="00F675EF"/>
    <w:rsid w:val="00F67754"/>
    <w:rsid w:val="00F67943"/>
    <w:rsid w:val="00F6796A"/>
    <w:rsid w:val="00F67A07"/>
    <w:rsid w:val="00F67BB0"/>
    <w:rsid w:val="00F67E36"/>
    <w:rsid w:val="00F67EDF"/>
    <w:rsid w:val="00F70157"/>
    <w:rsid w:val="00F7025E"/>
    <w:rsid w:val="00F70511"/>
    <w:rsid w:val="00F7060E"/>
    <w:rsid w:val="00F70794"/>
    <w:rsid w:val="00F7084D"/>
    <w:rsid w:val="00F70980"/>
    <w:rsid w:val="00F70997"/>
    <w:rsid w:val="00F709A1"/>
    <w:rsid w:val="00F70AE6"/>
    <w:rsid w:val="00F70B5B"/>
    <w:rsid w:val="00F70C3E"/>
    <w:rsid w:val="00F70C8B"/>
    <w:rsid w:val="00F70DA7"/>
    <w:rsid w:val="00F70EEB"/>
    <w:rsid w:val="00F70F1D"/>
    <w:rsid w:val="00F70F1E"/>
    <w:rsid w:val="00F71240"/>
    <w:rsid w:val="00F71415"/>
    <w:rsid w:val="00F715F5"/>
    <w:rsid w:val="00F71600"/>
    <w:rsid w:val="00F7162E"/>
    <w:rsid w:val="00F716D2"/>
    <w:rsid w:val="00F71B3C"/>
    <w:rsid w:val="00F71BDF"/>
    <w:rsid w:val="00F71E12"/>
    <w:rsid w:val="00F71F20"/>
    <w:rsid w:val="00F71FD4"/>
    <w:rsid w:val="00F7237C"/>
    <w:rsid w:val="00F723E6"/>
    <w:rsid w:val="00F7247B"/>
    <w:rsid w:val="00F725AA"/>
    <w:rsid w:val="00F725AB"/>
    <w:rsid w:val="00F726C3"/>
    <w:rsid w:val="00F729DB"/>
    <w:rsid w:val="00F729EA"/>
    <w:rsid w:val="00F72AFF"/>
    <w:rsid w:val="00F72C0A"/>
    <w:rsid w:val="00F72D1E"/>
    <w:rsid w:val="00F72DB1"/>
    <w:rsid w:val="00F72E29"/>
    <w:rsid w:val="00F72F4B"/>
    <w:rsid w:val="00F731A7"/>
    <w:rsid w:val="00F732B8"/>
    <w:rsid w:val="00F732F5"/>
    <w:rsid w:val="00F73376"/>
    <w:rsid w:val="00F73547"/>
    <w:rsid w:val="00F735A8"/>
    <w:rsid w:val="00F73ABA"/>
    <w:rsid w:val="00F73D29"/>
    <w:rsid w:val="00F73F67"/>
    <w:rsid w:val="00F74201"/>
    <w:rsid w:val="00F74361"/>
    <w:rsid w:val="00F745EB"/>
    <w:rsid w:val="00F74707"/>
    <w:rsid w:val="00F7473D"/>
    <w:rsid w:val="00F74747"/>
    <w:rsid w:val="00F74A93"/>
    <w:rsid w:val="00F74AF8"/>
    <w:rsid w:val="00F74C50"/>
    <w:rsid w:val="00F7512C"/>
    <w:rsid w:val="00F7527E"/>
    <w:rsid w:val="00F753F3"/>
    <w:rsid w:val="00F7543C"/>
    <w:rsid w:val="00F7544B"/>
    <w:rsid w:val="00F754A9"/>
    <w:rsid w:val="00F75671"/>
    <w:rsid w:val="00F756F9"/>
    <w:rsid w:val="00F7579D"/>
    <w:rsid w:val="00F75A78"/>
    <w:rsid w:val="00F75DAA"/>
    <w:rsid w:val="00F75FE0"/>
    <w:rsid w:val="00F75FF3"/>
    <w:rsid w:val="00F760AA"/>
    <w:rsid w:val="00F7648D"/>
    <w:rsid w:val="00F768C2"/>
    <w:rsid w:val="00F7699E"/>
    <w:rsid w:val="00F76B36"/>
    <w:rsid w:val="00F76BC0"/>
    <w:rsid w:val="00F76C13"/>
    <w:rsid w:val="00F76D86"/>
    <w:rsid w:val="00F76EC5"/>
    <w:rsid w:val="00F77019"/>
    <w:rsid w:val="00F77066"/>
    <w:rsid w:val="00F77261"/>
    <w:rsid w:val="00F773E4"/>
    <w:rsid w:val="00F77543"/>
    <w:rsid w:val="00F77599"/>
    <w:rsid w:val="00F7772E"/>
    <w:rsid w:val="00F779E7"/>
    <w:rsid w:val="00F77A3D"/>
    <w:rsid w:val="00F77BC4"/>
    <w:rsid w:val="00F77CDD"/>
    <w:rsid w:val="00F77E8C"/>
    <w:rsid w:val="00F77FD0"/>
    <w:rsid w:val="00F801A2"/>
    <w:rsid w:val="00F8049A"/>
    <w:rsid w:val="00F80694"/>
    <w:rsid w:val="00F81371"/>
    <w:rsid w:val="00F8138C"/>
    <w:rsid w:val="00F813B4"/>
    <w:rsid w:val="00F81579"/>
    <w:rsid w:val="00F818ED"/>
    <w:rsid w:val="00F81B81"/>
    <w:rsid w:val="00F81BA5"/>
    <w:rsid w:val="00F81E09"/>
    <w:rsid w:val="00F8200C"/>
    <w:rsid w:val="00F8209D"/>
    <w:rsid w:val="00F82287"/>
    <w:rsid w:val="00F82379"/>
    <w:rsid w:val="00F82384"/>
    <w:rsid w:val="00F826D4"/>
    <w:rsid w:val="00F8297A"/>
    <w:rsid w:val="00F82983"/>
    <w:rsid w:val="00F82BBA"/>
    <w:rsid w:val="00F82C10"/>
    <w:rsid w:val="00F82F07"/>
    <w:rsid w:val="00F82FC6"/>
    <w:rsid w:val="00F8303D"/>
    <w:rsid w:val="00F832F7"/>
    <w:rsid w:val="00F8352A"/>
    <w:rsid w:val="00F836B5"/>
    <w:rsid w:val="00F8384C"/>
    <w:rsid w:val="00F83858"/>
    <w:rsid w:val="00F83904"/>
    <w:rsid w:val="00F839F6"/>
    <w:rsid w:val="00F83AB1"/>
    <w:rsid w:val="00F83BD6"/>
    <w:rsid w:val="00F83D1B"/>
    <w:rsid w:val="00F83E79"/>
    <w:rsid w:val="00F83EAF"/>
    <w:rsid w:val="00F841B9"/>
    <w:rsid w:val="00F842B1"/>
    <w:rsid w:val="00F8448E"/>
    <w:rsid w:val="00F844BC"/>
    <w:rsid w:val="00F8456F"/>
    <w:rsid w:val="00F8458F"/>
    <w:rsid w:val="00F84796"/>
    <w:rsid w:val="00F84883"/>
    <w:rsid w:val="00F848EA"/>
    <w:rsid w:val="00F849AD"/>
    <w:rsid w:val="00F84B8E"/>
    <w:rsid w:val="00F84BCC"/>
    <w:rsid w:val="00F84C71"/>
    <w:rsid w:val="00F84CB3"/>
    <w:rsid w:val="00F84E72"/>
    <w:rsid w:val="00F84EB2"/>
    <w:rsid w:val="00F84ED0"/>
    <w:rsid w:val="00F84F74"/>
    <w:rsid w:val="00F85017"/>
    <w:rsid w:val="00F8543F"/>
    <w:rsid w:val="00F856FE"/>
    <w:rsid w:val="00F8579A"/>
    <w:rsid w:val="00F85A10"/>
    <w:rsid w:val="00F85A47"/>
    <w:rsid w:val="00F85AB0"/>
    <w:rsid w:val="00F85ADC"/>
    <w:rsid w:val="00F85BAD"/>
    <w:rsid w:val="00F85CB3"/>
    <w:rsid w:val="00F85CEA"/>
    <w:rsid w:val="00F85E3F"/>
    <w:rsid w:val="00F85FFC"/>
    <w:rsid w:val="00F86025"/>
    <w:rsid w:val="00F86568"/>
    <w:rsid w:val="00F86708"/>
    <w:rsid w:val="00F86733"/>
    <w:rsid w:val="00F86B6A"/>
    <w:rsid w:val="00F86BD5"/>
    <w:rsid w:val="00F86D26"/>
    <w:rsid w:val="00F870C9"/>
    <w:rsid w:val="00F87193"/>
    <w:rsid w:val="00F872D4"/>
    <w:rsid w:val="00F8736A"/>
    <w:rsid w:val="00F87399"/>
    <w:rsid w:val="00F874BC"/>
    <w:rsid w:val="00F874EA"/>
    <w:rsid w:val="00F87533"/>
    <w:rsid w:val="00F87577"/>
    <w:rsid w:val="00F8772F"/>
    <w:rsid w:val="00F87781"/>
    <w:rsid w:val="00F87C30"/>
    <w:rsid w:val="00F87DA1"/>
    <w:rsid w:val="00F87E14"/>
    <w:rsid w:val="00F87FE8"/>
    <w:rsid w:val="00F8A14C"/>
    <w:rsid w:val="00F905A4"/>
    <w:rsid w:val="00F90699"/>
    <w:rsid w:val="00F90738"/>
    <w:rsid w:val="00F90B37"/>
    <w:rsid w:val="00F90D9D"/>
    <w:rsid w:val="00F90FDC"/>
    <w:rsid w:val="00F90FFD"/>
    <w:rsid w:val="00F91153"/>
    <w:rsid w:val="00F913F0"/>
    <w:rsid w:val="00F91456"/>
    <w:rsid w:val="00F9153F"/>
    <w:rsid w:val="00F9155F"/>
    <w:rsid w:val="00F9165F"/>
    <w:rsid w:val="00F91C4E"/>
    <w:rsid w:val="00F91C5E"/>
    <w:rsid w:val="00F91E68"/>
    <w:rsid w:val="00F91E75"/>
    <w:rsid w:val="00F91EC4"/>
    <w:rsid w:val="00F91F99"/>
    <w:rsid w:val="00F920B5"/>
    <w:rsid w:val="00F921A3"/>
    <w:rsid w:val="00F922E9"/>
    <w:rsid w:val="00F9238E"/>
    <w:rsid w:val="00F923C1"/>
    <w:rsid w:val="00F92677"/>
    <w:rsid w:val="00F926A5"/>
    <w:rsid w:val="00F926DF"/>
    <w:rsid w:val="00F92770"/>
    <w:rsid w:val="00F927BD"/>
    <w:rsid w:val="00F9282F"/>
    <w:rsid w:val="00F92A58"/>
    <w:rsid w:val="00F92BCF"/>
    <w:rsid w:val="00F92C4E"/>
    <w:rsid w:val="00F92E61"/>
    <w:rsid w:val="00F93057"/>
    <w:rsid w:val="00F93104"/>
    <w:rsid w:val="00F93114"/>
    <w:rsid w:val="00F9328C"/>
    <w:rsid w:val="00F93299"/>
    <w:rsid w:val="00F932AC"/>
    <w:rsid w:val="00F933AE"/>
    <w:rsid w:val="00F933C6"/>
    <w:rsid w:val="00F935A0"/>
    <w:rsid w:val="00F93823"/>
    <w:rsid w:val="00F93955"/>
    <w:rsid w:val="00F93A7E"/>
    <w:rsid w:val="00F93AE7"/>
    <w:rsid w:val="00F93B30"/>
    <w:rsid w:val="00F93B86"/>
    <w:rsid w:val="00F93CE9"/>
    <w:rsid w:val="00F93F63"/>
    <w:rsid w:val="00F9403F"/>
    <w:rsid w:val="00F9434F"/>
    <w:rsid w:val="00F946F3"/>
    <w:rsid w:val="00F9483F"/>
    <w:rsid w:val="00F94879"/>
    <w:rsid w:val="00F9489A"/>
    <w:rsid w:val="00F94A27"/>
    <w:rsid w:val="00F94AE3"/>
    <w:rsid w:val="00F94D1E"/>
    <w:rsid w:val="00F94F27"/>
    <w:rsid w:val="00F9522C"/>
    <w:rsid w:val="00F95408"/>
    <w:rsid w:val="00F95412"/>
    <w:rsid w:val="00F9550A"/>
    <w:rsid w:val="00F957C1"/>
    <w:rsid w:val="00F9587F"/>
    <w:rsid w:val="00F95B06"/>
    <w:rsid w:val="00F95B97"/>
    <w:rsid w:val="00F95D52"/>
    <w:rsid w:val="00F95D8E"/>
    <w:rsid w:val="00F95EAA"/>
    <w:rsid w:val="00F96243"/>
    <w:rsid w:val="00F965C3"/>
    <w:rsid w:val="00F966CC"/>
    <w:rsid w:val="00F9670A"/>
    <w:rsid w:val="00F9679F"/>
    <w:rsid w:val="00F96817"/>
    <w:rsid w:val="00F96848"/>
    <w:rsid w:val="00F969B9"/>
    <w:rsid w:val="00F96A9B"/>
    <w:rsid w:val="00F96B7A"/>
    <w:rsid w:val="00F96C54"/>
    <w:rsid w:val="00F96C88"/>
    <w:rsid w:val="00F96CCF"/>
    <w:rsid w:val="00F97060"/>
    <w:rsid w:val="00F97095"/>
    <w:rsid w:val="00F9725F"/>
    <w:rsid w:val="00F973DA"/>
    <w:rsid w:val="00F97487"/>
    <w:rsid w:val="00F975C5"/>
    <w:rsid w:val="00F9764E"/>
    <w:rsid w:val="00F976C8"/>
    <w:rsid w:val="00F977B4"/>
    <w:rsid w:val="00F9785B"/>
    <w:rsid w:val="00F97BE0"/>
    <w:rsid w:val="00F97BFE"/>
    <w:rsid w:val="00FA0015"/>
    <w:rsid w:val="00FA002D"/>
    <w:rsid w:val="00FA036C"/>
    <w:rsid w:val="00FA06C8"/>
    <w:rsid w:val="00FA08E0"/>
    <w:rsid w:val="00FA0AC3"/>
    <w:rsid w:val="00FA0C58"/>
    <w:rsid w:val="00FA0D43"/>
    <w:rsid w:val="00FA0DD5"/>
    <w:rsid w:val="00FA0E4F"/>
    <w:rsid w:val="00FA0EFF"/>
    <w:rsid w:val="00FA0FCC"/>
    <w:rsid w:val="00FA0FD6"/>
    <w:rsid w:val="00FA1159"/>
    <w:rsid w:val="00FA117B"/>
    <w:rsid w:val="00FA1319"/>
    <w:rsid w:val="00FA1328"/>
    <w:rsid w:val="00FA13E4"/>
    <w:rsid w:val="00FA145C"/>
    <w:rsid w:val="00FA151A"/>
    <w:rsid w:val="00FA1638"/>
    <w:rsid w:val="00FA172D"/>
    <w:rsid w:val="00FA1761"/>
    <w:rsid w:val="00FA176B"/>
    <w:rsid w:val="00FA1831"/>
    <w:rsid w:val="00FA18D8"/>
    <w:rsid w:val="00FA1A6F"/>
    <w:rsid w:val="00FA1AE1"/>
    <w:rsid w:val="00FA1BBC"/>
    <w:rsid w:val="00FA1C07"/>
    <w:rsid w:val="00FA1CEE"/>
    <w:rsid w:val="00FA1D10"/>
    <w:rsid w:val="00FA25E0"/>
    <w:rsid w:val="00FA2673"/>
    <w:rsid w:val="00FA269E"/>
    <w:rsid w:val="00FA2743"/>
    <w:rsid w:val="00FA2D73"/>
    <w:rsid w:val="00FA2DC9"/>
    <w:rsid w:val="00FA2EB0"/>
    <w:rsid w:val="00FA2FCC"/>
    <w:rsid w:val="00FA3054"/>
    <w:rsid w:val="00FA3081"/>
    <w:rsid w:val="00FA3109"/>
    <w:rsid w:val="00FA3163"/>
    <w:rsid w:val="00FA325D"/>
    <w:rsid w:val="00FA32B3"/>
    <w:rsid w:val="00FA33DB"/>
    <w:rsid w:val="00FA340B"/>
    <w:rsid w:val="00FA36DB"/>
    <w:rsid w:val="00FA373F"/>
    <w:rsid w:val="00FA37C4"/>
    <w:rsid w:val="00FA3A3D"/>
    <w:rsid w:val="00FA3C1B"/>
    <w:rsid w:val="00FA3C3B"/>
    <w:rsid w:val="00FA3E78"/>
    <w:rsid w:val="00FA401D"/>
    <w:rsid w:val="00FA4491"/>
    <w:rsid w:val="00FA4566"/>
    <w:rsid w:val="00FA47A0"/>
    <w:rsid w:val="00FA496B"/>
    <w:rsid w:val="00FA4B1C"/>
    <w:rsid w:val="00FA4D29"/>
    <w:rsid w:val="00FA4ECF"/>
    <w:rsid w:val="00FA536A"/>
    <w:rsid w:val="00FA5471"/>
    <w:rsid w:val="00FA593F"/>
    <w:rsid w:val="00FA5B18"/>
    <w:rsid w:val="00FA5EBE"/>
    <w:rsid w:val="00FA5FF5"/>
    <w:rsid w:val="00FA621A"/>
    <w:rsid w:val="00FA626B"/>
    <w:rsid w:val="00FA626C"/>
    <w:rsid w:val="00FA664A"/>
    <w:rsid w:val="00FA6966"/>
    <w:rsid w:val="00FA6AFB"/>
    <w:rsid w:val="00FA6BDA"/>
    <w:rsid w:val="00FA6F67"/>
    <w:rsid w:val="00FA6F9E"/>
    <w:rsid w:val="00FA7418"/>
    <w:rsid w:val="00FA7496"/>
    <w:rsid w:val="00FA759F"/>
    <w:rsid w:val="00FA7B86"/>
    <w:rsid w:val="00FA7C46"/>
    <w:rsid w:val="00FA7CBC"/>
    <w:rsid w:val="00FA7CE1"/>
    <w:rsid w:val="00FA7E0F"/>
    <w:rsid w:val="00FB047C"/>
    <w:rsid w:val="00FB04A8"/>
    <w:rsid w:val="00FB059B"/>
    <w:rsid w:val="00FB064C"/>
    <w:rsid w:val="00FB06A8"/>
    <w:rsid w:val="00FB093A"/>
    <w:rsid w:val="00FB094D"/>
    <w:rsid w:val="00FB098C"/>
    <w:rsid w:val="00FB0B48"/>
    <w:rsid w:val="00FB0BEF"/>
    <w:rsid w:val="00FB0D57"/>
    <w:rsid w:val="00FB0DBE"/>
    <w:rsid w:val="00FB0E53"/>
    <w:rsid w:val="00FB0E9D"/>
    <w:rsid w:val="00FB13C6"/>
    <w:rsid w:val="00FB14D0"/>
    <w:rsid w:val="00FB15E2"/>
    <w:rsid w:val="00FB1C0F"/>
    <w:rsid w:val="00FB1D51"/>
    <w:rsid w:val="00FB1DA3"/>
    <w:rsid w:val="00FB1DB7"/>
    <w:rsid w:val="00FB1F0B"/>
    <w:rsid w:val="00FB250A"/>
    <w:rsid w:val="00FB2523"/>
    <w:rsid w:val="00FB270C"/>
    <w:rsid w:val="00FB27D8"/>
    <w:rsid w:val="00FB2D4C"/>
    <w:rsid w:val="00FB30C7"/>
    <w:rsid w:val="00FB3304"/>
    <w:rsid w:val="00FB331E"/>
    <w:rsid w:val="00FB33AD"/>
    <w:rsid w:val="00FB3458"/>
    <w:rsid w:val="00FB34F3"/>
    <w:rsid w:val="00FB3526"/>
    <w:rsid w:val="00FB3627"/>
    <w:rsid w:val="00FB3851"/>
    <w:rsid w:val="00FB399D"/>
    <w:rsid w:val="00FB3B45"/>
    <w:rsid w:val="00FB3C06"/>
    <w:rsid w:val="00FB3C20"/>
    <w:rsid w:val="00FB3DF1"/>
    <w:rsid w:val="00FB407B"/>
    <w:rsid w:val="00FB4142"/>
    <w:rsid w:val="00FB425E"/>
    <w:rsid w:val="00FB446C"/>
    <w:rsid w:val="00FB4553"/>
    <w:rsid w:val="00FB45D0"/>
    <w:rsid w:val="00FB46B3"/>
    <w:rsid w:val="00FB49B2"/>
    <w:rsid w:val="00FB4D4E"/>
    <w:rsid w:val="00FB4E40"/>
    <w:rsid w:val="00FB4F01"/>
    <w:rsid w:val="00FB4F3E"/>
    <w:rsid w:val="00FB504A"/>
    <w:rsid w:val="00FB538D"/>
    <w:rsid w:val="00FB53BB"/>
    <w:rsid w:val="00FB55A6"/>
    <w:rsid w:val="00FB55EA"/>
    <w:rsid w:val="00FB5703"/>
    <w:rsid w:val="00FB588D"/>
    <w:rsid w:val="00FB5BB2"/>
    <w:rsid w:val="00FB5C7E"/>
    <w:rsid w:val="00FB5F67"/>
    <w:rsid w:val="00FB602A"/>
    <w:rsid w:val="00FB60EF"/>
    <w:rsid w:val="00FB615D"/>
    <w:rsid w:val="00FB6238"/>
    <w:rsid w:val="00FB62B9"/>
    <w:rsid w:val="00FB62E1"/>
    <w:rsid w:val="00FB66E4"/>
    <w:rsid w:val="00FB6802"/>
    <w:rsid w:val="00FB6A48"/>
    <w:rsid w:val="00FB6D11"/>
    <w:rsid w:val="00FB7174"/>
    <w:rsid w:val="00FB7696"/>
    <w:rsid w:val="00FB779F"/>
    <w:rsid w:val="00FB78EE"/>
    <w:rsid w:val="00FB7940"/>
    <w:rsid w:val="00FB7ABC"/>
    <w:rsid w:val="00FB7BAD"/>
    <w:rsid w:val="00FB7D09"/>
    <w:rsid w:val="00FB7D94"/>
    <w:rsid w:val="00FB7E13"/>
    <w:rsid w:val="00FB7E28"/>
    <w:rsid w:val="00FC0014"/>
    <w:rsid w:val="00FC0075"/>
    <w:rsid w:val="00FC027C"/>
    <w:rsid w:val="00FC035B"/>
    <w:rsid w:val="00FC05F5"/>
    <w:rsid w:val="00FC05FC"/>
    <w:rsid w:val="00FC079C"/>
    <w:rsid w:val="00FC090C"/>
    <w:rsid w:val="00FC0F15"/>
    <w:rsid w:val="00FC1222"/>
    <w:rsid w:val="00FC127B"/>
    <w:rsid w:val="00FC12E7"/>
    <w:rsid w:val="00FC1523"/>
    <w:rsid w:val="00FC15F3"/>
    <w:rsid w:val="00FC1A28"/>
    <w:rsid w:val="00FC1CB7"/>
    <w:rsid w:val="00FC1D46"/>
    <w:rsid w:val="00FC1D69"/>
    <w:rsid w:val="00FC1E6E"/>
    <w:rsid w:val="00FC22A2"/>
    <w:rsid w:val="00FC2466"/>
    <w:rsid w:val="00FC25AB"/>
    <w:rsid w:val="00FC25BC"/>
    <w:rsid w:val="00FC2937"/>
    <w:rsid w:val="00FC2AA8"/>
    <w:rsid w:val="00FC2B78"/>
    <w:rsid w:val="00FC2D6A"/>
    <w:rsid w:val="00FC2EC1"/>
    <w:rsid w:val="00FC2F47"/>
    <w:rsid w:val="00FC318C"/>
    <w:rsid w:val="00FC336D"/>
    <w:rsid w:val="00FC34A8"/>
    <w:rsid w:val="00FC34CE"/>
    <w:rsid w:val="00FC36E7"/>
    <w:rsid w:val="00FC3770"/>
    <w:rsid w:val="00FC3B4E"/>
    <w:rsid w:val="00FC3BDC"/>
    <w:rsid w:val="00FC3F8F"/>
    <w:rsid w:val="00FC40E4"/>
    <w:rsid w:val="00FC41A7"/>
    <w:rsid w:val="00FC46D4"/>
    <w:rsid w:val="00FC485C"/>
    <w:rsid w:val="00FC4860"/>
    <w:rsid w:val="00FC4955"/>
    <w:rsid w:val="00FC49CB"/>
    <w:rsid w:val="00FC49D4"/>
    <w:rsid w:val="00FC4A4C"/>
    <w:rsid w:val="00FC4B3C"/>
    <w:rsid w:val="00FC4DE5"/>
    <w:rsid w:val="00FC4F5D"/>
    <w:rsid w:val="00FC535D"/>
    <w:rsid w:val="00FC53F4"/>
    <w:rsid w:val="00FC55E9"/>
    <w:rsid w:val="00FC57EE"/>
    <w:rsid w:val="00FC585E"/>
    <w:rsid w:val="00FC5900"/>
    <w:rsid w:val="00FC5B12"/>
    <w:rsid w:val="00FC5CEF"/>
    <w:rsid w:val="00FC5EE8"/>
    <w:rsid w:val="00FC5F12"/>
    <w:rsid w:val="00FC6029"/>
    <w:rsid w:val="00FC61D7"/>
    <w:rsid w:val="00FC6247"/>
    <w:rsid w:val="00FC6300"/>
    <w:rsid w:val="00FC6383"/>
    <w:rsid w:val="00FC68AA"/>
    <w:rsid w:val="00FC68D5"/>
    <w:rsid w:val="00FC6993"/>
    <w:rsid w:val="00FC6B59"/>
    <w:rsid w:val="00FC6CB4"/>
    <w:rsid w:val="00FC6DD2"/>
    <w:rsid w:val="00FC6E93"/>
    <w:rsid w:val="00FC7151"/>
    <w:rsid w:val="00FC7231"/>
    <w:rsid w:val="00FC72C6"/>
    <w:rsid w:val="00FC7377"/>
    <w:rsid w:val="00FC73A5"/>
    <w:rsid w:val="00FC7449"/>
    <w:rsid w:val="00FC74A4"/>
    <w:rsid w:val="00FC7501"/>
    <w:rsid w:val="00FC7518"/>
    <w:rsid w:val="00FC76B3"/>
    <w:rsid w:val="00FC76B9"/>
    <w:rsid w:val="00FC77F0"/>
    <w:rsid w:val="00FC782E"/>
    <w:rsid w:val="00FC7979"/>
    <w:rsid w:val="00FC7AF3"/>
    <w:rsid w:val="00FC7B3F"/>
    <w:rsid w:val="00FC7BCC"/>
    <w:rsid w:val="00FC7D0F"/>
    <w:rsid w:val="00FC7DD3"/>
    <w:rsid w:val="00FC7DE9"/>
    <w:rsid w:val="00FC7E1B"/>
    <w:rsid w:val="00FD0022"/>
    <w:rsid w:val="00FD02FF"/>
    <w:rsid w:val="00FD031E"/>
    <w:rsid w:val="00FD036A"/>
    <w:rsid w:val="00FD0421"/>
    <w:rsid w:val="00FD06F4"/>
    <w:rsid w:val="00FD08B4"/>
    <w:rsid w:val="00FD0CC4"/>
    <w:rsid w:val="00FD0DDC"/>
    <w:rsid w:val="00FD0EAD"/>
    <w:rsid w:val="00FD0F80"/>
    <w:rsid w:val="00FD1016"/>
    <w:rsid w:val="00FD113C"/>
    <w:rsid w:val="00FD118C"/>
    <w:rsid w:val="00FD130B"/>
    <w:rsid w:val="00FD140A"/>
    <w:rsid w:val="00FD15A4"/>
    <w:rsid w:val="00FD16D4"/>
    <w:rsid w:val="00FD183D"/>
    <w:rsid w:val="00FD196F"/>
    <w:rsid w:val="00FD19E9"/>
    <w:rsid w:val="00FD19FC"/>
    <w:rsid w:val="00FD1A72"/>
    <w:rsid w:val="00FD1DA8"/>
    <w:rsid w:val="00FD2274"/>
    <w:rsid w:val="00FD2AB1"/>
    <w:rsid w:val="00FD2CF3"/>
    <w:rsid w:val="00FD2F63"/>
    <w:rsid w:val="00FD3058"/>
    <w:rsid w:val="00FD309E"/>
    <w:rsid w:val="00FD323F"/>
    <w:rsid w:val="00FD32AC"/>
    <w:rsid w:val="00FD32F6"/>
    <w:rsid w:val="00FD36B2"/>
    <w:rsid w:val="00FD37F6"/>
    <w:rsid w:val="00FD39B5"/>
    <w:rsid w:val="00FD3A86"/>
    <w:rsid w:val="00FD3D6C"/>
    <w:rsid w:val="00FD3E78"/>
    <w:rsid w:val="00FD3F40"/>
    <w:rsid w:val="00FD3F64"/>
    <w:rsid w:val="00FD4044"/>
    <w:rsid w:val="00FD41A8"/>
    <w:rsid w:val="00FD4212"/>
    <w:rsid w:val="00FD4804"/>
    <w:rsid w:val="00FD4984"/>
    <w:rsid w:val="00FD4A44"/>
    <w:rsid w:val="00FD4C89"/>
    <w:rsid w:val="00FD4CB5"/>
    <w:rsid w:val="00FD5070"/>
    <w:rsid w:val="00FD51A0"/>
    <w:rsid w:val="00FD5227"/>
    <w:rsid w:val="00FD5885"/>
    <w:rsid w:val="00FD591A"/>
    <w:rsid w:val="00FD5939"/>
    <w:rsid w:val="00FD5974"/>
    <w:rsid w:val="00FD5ADF"/>
    <w:rsid w:val="00FD5DD3"/>
    <w:rsid w:val="00FD6258"/>
    <w:rsid w:val="00FD6358"/>
    <w:rsid w:val="00FD658B"/>
    <w:rsid w:val="00FD6616"/>
    <w:rsid w:val="00FD66A0"/>
    <w:rsid w:val="00FD69B4"/>
    <w:rsid w:val="00FD6B89"/>
    <w:rsid w:val="00FD6C5F"/>
    <w:rsid w:val="00FD73A5"/>
    <w:rsid w:val="00FD740A"/>
    <w:rsid w:val="00FD76F0"/>
    <w:rsid w:val="00FD77E2"/>
    <w:rsid w:val="00FD78AD"/>
    <w:rsid w:val="00FD795C"/>
    <w:rsid w:val="00FD79BA"/>
    <w:rsid w:val="00FD7A05"/>
    <w:rsid w:val="00FD7A6F"/>
    <w:rsid w:val="00FD7BA1"/>
    <w:rsid w:val="00FD7E0D"/>
    <w:rsid w:val="00FD7E56"/>
    <w:rsid w:val="00FD7E9B"/>
    <w:rsid w:val="00FD7EDD"/>
    <w:rsid w:val="00FD7F2E"/>
    <w:rsid w:val="00FE015B"/>
    <w:rsid w:val="00FE02E3"/>
    <w:rsid w:val="00FE0321"/>
    <w:rsid w:val="00FE0338"/>
    <w:rsid w:val="00FE051B"/>
    <w:rsid w:val="00FE0532"/>
    <w:rsid w:val="00FE05C6"/>
    <w:rsid w:val="00FE0632"/>
    <w:rsid w:val="00FE068D"/>
    <w:rsid w:val="00FE080F"/>
    <w:rsid w:val="00FE0848"/>
    <w:rsid w:val="00FE092A"/>
    <w:rsid w:val="00FE09AB"/>
    <w:rsid w:val="00FE0AD0"/>
    <w:rsid w:val="00FE0B11"/>
    <w:rsid w:val="00FE0BAE"/>
    <w:rsid w:val="00FE0BC5"/>
    <w:rsid w:val="00FE0C96"/>
    <w:rsid w:val="00FE0F45"/>
    <w:rsid w:val="00FE106C"/>
    <w:rsid w:val="00FE10D8"/>
    <w:rsid w:val="00FE10F4"/>
    <w:rsid w:val="00FE1144"/>
    <w:rsid w:val="00FE12E6"/>
    <w:rsid w:val="00FE134F"/>
    <w:rsid w:val="00FE1410"/>
    <w:rsid w:val="00FE1556"/>
    <w:rsid w:val="00FE1858"/>
    <w:rsid w:val="00FE1998"/>
    <w:rsid w:val="00FE1A1E"/>
    <w:rsid w:val="00FE1C11"/>
    <w:rsid w:val="00FE1E58"/>
    <w:rsid w:val="00FE220F"/>
    <w:rsid w:val="00FE2210"/>
    <w:rsid w:val="00FE2307"/>
    <w:rsid w:val="00FE2441"/>
    <w:rsid w:val="00FE24C7"/>
    <w:rsid w:val="00FE27E9"/>
    <w:rsid w:val="00FE2959"/>
    <w:rsid w:val="00FE2B99"/>
    <w:rsid w:val="00FE2D90"/>
    <w:rsid w:val="00FE2D97"/>
    <w:rsid w:val="00FE2F36"/>
    <w:rsid w:val="00FE311B"/>
    <w:rsid w:val="00FE3127"/>
    <w:rsid w:val="00FE319F"/>
    <w:rsid w:val="00FE35F4"/>
    <w:rsid w:val="00FE36CB"/>
    <w:rsid w:val="00FE3812"/>
    <w:rsid w:val="00FE38C4"/>
    <w:rsid w:val="00FE3A6E"/>
    <w:rsid w:val="00FE3AF2"/>
    <w:rsid w:val="00FE3D42"/>
    <w:rsid w:val="00FE3F07"/>
    <w:rsid w:val="00FE408D"/>
    <w:rsid w:val="00FE4334"/>
    <w:rsid w:val="00FE4351"/>
    <w:rsid w:val="00FE45A8"/>
    <w:rsid w:val="00FE4650"/>
    <w:rsid w:val="00FE46AF"/>
    <w:rsid w:val="00FE46CA"/>
    <w:rsid w:val="00FE48FD"/>
    <w:rsid w:val="00FE4A5E"/>
    <w:rsid w:val="00FE5053"/>
    <w:rsid w:val="00FE5253"/>
    <w:rsid w:val="00FE52BB"/>
    <w:rsid w:val="00FE556F"/>
    <w:rsid w:val="00FE59AA"/>
    <w:rsid w:val="00FE59C5"/>
    <w:rsid w:val="00FE5DCC"/>
    <w:rsid w:val="00FE5F3B"/>
    <w:rsid w:val="00FE62E1"/>
    <w:rsid w:val="00FE636F"/>
    <w:rsid w:val="00FE6379"/>
    <w:rsid w:val="00FE63E8"/>
    <w:rsid w:val="00FE642F"/>
    <w:rsid w:val="00FE6445"/>
    <w:rsid w:val="00FE6583"/>
    <w:rsid w:val="00FE658B"/>
    <w:rsid w:val="00FE6644"/>
    <w:rsid w:val="00FE689A"/>
    <w:rsid w:val="00FE69AC"/>
    <w:rsid w:val="00FE6A33"/>
    <w:rsid w:val="00FE6A57"/>
    <w:rsid w:val="00FE6B70"/>
    <w:rsid w:val="00FE6BB5"/>
    <w:rsid w:val="00FE6C78"/>
    <w:rsid w:val="00FE70EB"/>
    <w:rsid w:val="00FE74A1"/>
    <w:rsid w:val="00FE796D"/>
    <w:rsid w:val="00FE7C1C"/>
    <w:rsid w:val="00FE7CB5"/>
    <w:rsid w:val="00FE7DA1"/>
    <w:rsid w:val="00FE7F6E"/>
    <w:rsid w:val="00FF0357"/>
    <w:rsid w:val="00FF04B3"/>
    <w:rsid w:val="00FF0645"/>
    <w:rsid w:val="00FF06AB"/>
    <w:rsid w:val="00FF076B"/>
    <w:rsid w:val="00FF08C6"/>
    <w:rsid w:val="00FF0B56"/>
    <w:rsid w:val="00FF0BA1"/>
    <w:rsid w:val="00FF0D34"/>
    <w:rsid w:val="00FF0ECB"/>
    <w:rsid w:val="00FF1015"/>
    <w:rsid w:val="00FF1018"/>
    <w:rsid w:val="00FF10C5"/>
    <w:rsid w:val="00FF11A3"/>
    <w:rsid w:val="00FF1417"/>
    <w:rsid w:val="00FF1596"/>
    <w:rsid w:val="00FF15D8"/>
    <w:rsid w:val="00FF1604"/>
    <w:rsid w:val="00FF1664"/>
    <w:rsid w:val="00FF17EE"/>
    <w:rsid w:val="00FF198A"/>
    <w:rsid w:val="00FF19DB"/>
    <w:rsid w:val="00FF1B45"/>
    <w:rsid w:val="00FF1CE8"/>
    <w:rsid w:val="00FF210C"/>
    <w:rsid w:val="00FF2112"/>
    <w:rsid w:val="00FF23FB"/>
    <w:rsid w:val="00FF2442"/>
    <w:rsid w:val="00FF245B"/>
    <w:rsid w:val="00FF2480"/>
    <w:rsid w:val="00FF2864"/>
    <w:rsid w:val="00FF2A1C"/>
    <w:rsid w:val="00FF2AF5"/>
    <w:rsid w:val="00FF2C1F"/>
    <w:rsid w:val="00FF2D7C"/>
    <w:rsid w:val="00FF2EE9"/>
    <w:rsid w:val="00FF340C"/>
    <w:rsid w:val="00FF3804"/>
    <w:rsid w:val="00FF38BC"/>
    <w:rsid w:val="00FF3B29"/>
    <w:rsid w:val="00FF3B44"/>
    <w:rsid w:val="00FF3CE7"/>
    <w:rsid w:val="00FF3E1A"/>
    <w:rsid w:val="00FF3EC9"/>
    <w:rsid w:val="00FF3FD3"/>
    <w:rsid w:val="00FF4196"/>
    <w:rsid w:val="00FF451D"/>
    <w:rsid w:val="00FF48F8"/>
    <w:rsid w:val="00FF4937"/>
    <w:rsid w:val="00FF49D6"/>
    <w:rsid w:val="00FF4A4A"/>
    <w:rsid w:val="00FF4C4E"/>
    <w:rsid w:val="00FF4D02"/>
    <w:rsid w:val="00FF4D54"/>
    <w:rsid w:val="00FF4E50"/>
    <w:rsid w:val="00FF4FEE"/>
    <w:rsid w:val="00FF5117"/>
    <w:rsid w:val="00FF525D"/>
    <w:rsid w:val="00FF533B"/>
    <w:rsid w:val="00FF54E6"/>
    <w:rsid w:val="00FF55F9"/>
    <w:rsid w:val="00FF5631"/>
    <w:rsid w:val="00FF57DF"/>
    <w:rsid w:val="00FF58A7"/>
    <w:rsid w:val="00FF591B"/>
    <w:rsid w:val="00FF5B8C"/>
    <w:rsid w:val="00FF5D19"/>
    <w:rsid w:val="00FF5D73"/>
    <w:rsid w:val="00FF5E09"/>
    <w:rsid w:val="00FF5F37"/>
    <w:rsid w:val="00FF606A"/>
    <w:rsid w:val="00FF621B"/>
    <w:rsid w:val="00FF6259"/>
    <w:rsid w:val="00FF638E"/>
    <w:rsid w:val="00FF63E6"/>
    <w:rsid w:val="00FF648A"/>
    <w:rsid w:val="00FF68D5"/>
    <w:rsid w:val="00FF6956"/>
    <w:rsid w:val="00FF6BA9"/>
    <w:rsid w:val="00FF6CF7"/>
    <w:rsid w:val="00FF6F02"/>
    <w:rsid w:val="00FF7042"/>
    <w:rsid w:val="00FF731D"/>
    <w:rsid w:val="00FF74ED"/>
    <w:rsid w:val="00FF784B"/>
    <w:rsid w:val="00FF787A"/>
    <w:rsid w:val="00FF7881"/>
    <w:rsid w:val="00FF78E5"/>
    <w:rsid w:val="00FF79FB"/>
    <w:rsid w:val="00FF7A21"/>
    <w:rsid w:val="00FF7CB6"/>
    <w:rsid w:val="00FF7D2D"/>
    <w:rsid w:val="0106EBB5"/>
    <w:rsid w:val="012F5E74"/>
    <w:rsid w:val="013D3B80"/>
    <w:rsid w:val="01413078"/>
    <w:rsid w:val="01422BCF"/>
    <w:rsid w:val="01478902"/>
    <w:rsid w:val="014F2969"/>
    <w:rsid w:val="015125C4"/>
    <w:rsid w:val="01630455"/>
    <w:rsid w:val="016FEC0F"/>
    <w:rsid w:val="0172B725"/>
    <w:rsid w:val="0183C8EC"/>
    <w:rsid w:val="0185F208"/>
    <w:rsid w:val="019BB0A8"/>
    <w:rsid w:val="01C0F319"/>
    <w:rsid w:val="01C93271"/>
    <w:rsid w:val="01D148F5"/>
    <w:rsid w:val="01D247B2"/>
    <w:rsid w:val="01DBDDEB"/>
    <w:rsid w:val="01DC473B"/>
    <w:rsid w:val="01EECFB5"/>
    <w:rsid w:val="01F2FCE9"/>
    <w:rsid w:val="01F9913C"/>
    <w:rsid w:val="02014D9A"/>
    <w:rsid w:val="02032143"/>
    <w:rsid w:val="0218BDC7"/>
    <w:rsid w:val="0219012F"/>
    <w:rsid w:val="0225AA9A"/>
    <w:rsid w:val="02278686"/>
    <w:rsid w:val="0233D542"/>
    <w:rsid w:val="0235A5C1"/>
    <w:rsid w:val="023E48E2"/>
    <w:rsid w:val="024AF44E"/>
    <w:rsid w:val="024C796F"/>
    <w:rsid w:val="02654A74"/>
    <w:rsid w:val="0265AE52"/>
    <w:rsid w:val="02690EBE"/>
    <w:rsid w:val="026AB4C8"/>
    <w:rsid w:val="0277F7A8"/>
    <w:rsid w:val="02A8B927"/>
    <w:rsid w:val="02A8D9E2"/>
    <w:rsid w:val="02B93800"/>
    <w:rsid w:val="02C498EB"/>
    <w:rsid w:val="02C6BF33"/>
    <w:rsid w:val="02D12388"/>
    <w:rsid w:val="02DC0ACC"/>
    <w:rsid w:val="02E91C0B"/>
    <w:rsid w:val="02FE48DD"/>
    <w:rsid w:val="03082EA1"/>
    <w:rsid w:val="030D5222"/>
    <w:rsid w:val="031BC7EB"/>
    <w:rsid w:val="033D2E1A"/>
    <w:rsid w:val="033F225D"/>
    <w:rsid w:val="033FF5FB"/>
    <w:rsid w:val="03536F81"/>
    <w:rsid w:val="035639B1"/>
    <w:rsid w:val="035C0513"/>
    <w:rsid w:val="035CC37A"/>
    <w:rsid w:val="035CC3A6"/>
    <w:rsid w:val="036527B6"/>
    <w:rsid w:val="037D9F05"/>
    <w:rsid w:val="037F790F"/>
    <w:rsid w:val="03917B5C"/>
    <w:rsid w:val="03A7BCF8"/>
    <w:rsid w:val="03A91923"/>
    <w:rsid w:val="03AF0481"/>
    <w:rsid w:val="03BAAC02"/>
    <w:rsid w:val="03BB6135"/>
    <w:rsid w:val="03C54B5B"/>
    <w:rsid w:val="03C5CB4E"/>
    <w:rsid w:val="03CB1825"/>
    <w:rsid w:val="03CC61D5"/>
    <w:rsid w:val="03D22BBA"/>
    <w:rsid w:val="03EB2514"/>
    <w:rsid w:val="03F7FE91"/>
    <w:rsid w:val="03FD0632"/>
    <w:rsid w:val="04113B57"/>
    <w:rsid w:val="04261AE7"/>
    <w:rsid w:val="04319C7B"/>
    <w:rsid w:val="043873DD"/>
    <w:rsid w:val="043952E4"/>
    <w:rsid w:val="04486F0A"/>
    <w:rsid w:val="044F698B"/>
    <w:rsid w:val="045900D6"/>
    <w:rsid w:val="0477FA11"/>
    <w:rsid w:val="047F311B"/>
    <w:rsid w:val="04864D68"/>
    <w:rsid w:val="048C3744"/>
    <w:rsid w:val="04914B84"/>
    <w:rsid w:val="0492243A"/>
    <w:rsid w:val="0496B053"/>
    <w:rsid w:val="049C0290"/>
    <w:rsid w:val="049F9E17"/>
    <w:rsid w:val="04C4A3EA"/>
    <w:rsid w:val="04D9752C"/>
    <w:rsid w:val="04E60CF8"/>
    <w:rsid w:val="0501DE34"/>
    <w:rsid w:val="05060C32"/>
    <w:rsid w:val="0508DA3D"/>
    <w:rsid w:val="050E2DC2"/>
    <w:rsid w:val="05119BC9"/>
    <w:rsid w:val="05180FB5"/>
    <w:rsid w:val="0519E239"/>
    <w:rsid w:val="052882C2"/>
    <w:rsid w:val="052F409F"/>
    <w:rsid w:val="0536FB12"/>
    <w:rsid w:val="053B5F78"/>
    <w:rsid w:val="053E3AE0"/>
    <w:rsid w:val="054D8CFD"/>
    <w:rsid w:val="05750195"/>
    <w:rsid w:val="058D0CFB"/>
    <w:rsid w:val="058D5FA9"/>
    <w:rsid w:val="05938304"/>
    <w:rsid w:val="059ED3B3"/>
    <w:rsid w:val="05A10085"/>
    <w:rsid w:val="05AC6843"/>
    <w:rsid w:val="05BB5AB1"/>
    <w:rsid w:val="05BB900E"/>
    <w:rsid w:val="05C0BCB6"/>
    <w:rsid w:val="05C0D66C"/>
    <w:rsid w:val="05D0E8FC"/>
    <w:rsid w:val="05D2BAEC"/>
    <w:rsid w:val="05D80149"/>
    <w:rsid w:val="05D8DB02"/>
    <w:rsid w:val="05DC10F0"/>
    <w:rsid w:val="05E1778F"/>
    <w:rsid w:val="05E65C46"/>
    <w:rsid w:val="05E78515"/>
    <w:rsid w:val="05ED9138"/>
    <w:rsid w:val="05EFF4BD"/>
    <w:rsid w:val="06009089"/>
    <w:rsid w:val="0603A407"/>
    <w:rsid w:val="06054867"/>
    <w:rsid w:val="060798CF"/>
    <w:rsid w:val="060D5C0A"/>
    <w:rsid w:val="0620BB38"/>
    <w:rsid w:val="064267E7"/>
    <w:rsid w:val="064C7B35"/>
    <w:rsid w:val="064D0DC7"/>
    <w:rsid w:val="0652E504"/>
    <w:rsid w:val="06673BB3"/>
    <w:rsid w:val="0668E3D1"/>
    <w:rsid w:val="066B8A16"/>
    <w:rsid w:val="0679096E"/>
    <w:rsid w:val="068485A7"/>
    <w:rsid w:val="068DE25C"/>
    <w:rsid w:val="069034EC"/>
    <w:rsid w:val="069DAEB1"/>
    <w:rsid w:val="06B5AC2E"/>
    <w:rsid w:val="06D716F9"/>
    <w:rsid w:val="06DD2DBF"/>
    <w:rsid w:val="06DFF360"/>
    <w:rsid w:val="06E0751B"/>
    <w:rsid w:val="06FB67E9"/>
    <w:rsid w:val="06FDF95D"/>
    <w:rsid w:val="0701F36D"/>
    <w:rsid w:val="0702816D"/>
    <w:rsid w:val="0710C586"/>
    <w:rsid w:val="07173EC2"/>
    <w:rsid w:val="071FF90A"/>
    <w:rsid w:val="0733C206"/>
    <w:rsid w:val="073B453F"/>
    <w:rsid w:val="073D54A6"/>
    <w:rsid w:val="0749C71A"/>
    <w:rsid w:val="074BE19D"/>
    <w:rsid w:val="077F24ED"/>
    <w:rsid w:val="0790F808"/>
    <w:rsid w:val="0797C054"/>
    <w:rsid w:val="07A844F9"/>
    <w:rsid w:val="07BB5B8F"/>
    <w:rsid w:val="07D17AB7"/>
    <w:rsid w:val="07E6AD21"/>
    <w:rsid w:val="07E80E8C"/>
    <w:rsid w:val="07E9ACBB"/>
    <w:rsid w:val="08020BB9"/>
    <w:rsid w:val="0802A689"/>
    <w:rsid w:val="080DBE2A"/>
    <w:rsid w:val="0819DF04"/>
    <w:rsid w:val="081C0C38"/>
    <w:rsid w:val="08202791"/>
    <w:rsid w:val="0835C919"/>
    <w:rsid w:val="0836F45F"/>
    <w:rsid w:val="084D8F11"/>
    <w:rsid w:val="085B2AA6"/>
    <w:rsid w:val="0861F35D"/>
    <w:rsid w:val="0865A899"/>
    <w:rsid w:val="086A2AB9"/>
    <w:rsid w:val="0885281E"/>
    <w:rsid w:val="088CFB47"/>
    <w:rsid w:val="088EFEBD"/>
    <w:rsid w:val="088F925D"/>
    <w:rsid w:val="08BCB9D1"/>
    <w:rsid w:val="08BEB361"/>
    <w:rsid w:val="08D130F2"/>
    <w:rsid w:val="08DAE009"/>
    <w:rsid w:val="08DCB079"/>
    <w:rsid w:val="08DE42EC"/>
    <w:rsid w:val="08E5FC2E"/>
    <w:rsid w:val="08E8814A"/>
    <w:rsid w:val="08E9639E"/>
    <w:rsid w:val="08FA8887"/>
    <w:rsid w:val="08FB0EC4"/>
    <w:rsid w:val="09050952"/>
    <w:rsid w:val="092AE266"/>
    <w:rsid w:val="092BDB07"/>
    <w:rsid w:val="092EB01C"/>
    <w:rsid w:val="092F6294"/>
    <w:rsid w:val="0933F6E8"/>
    <w:rsid w:val="09425DDF"/>
    <w:rsid w:val="094D719A"/>
    <w:rsid w:val="095B6132"/>
    <w:rsid w:val="0964208C"/>
    <w:rsid w:val="0975F197"/>
    <w:rsid w:val="099D4AD2"/>
    <w:rsid w:val="099ECB30"/>
    <w:rsid w:val="09A0A125"/>
    <w:rsid w:val="09A32BED"/>
    <w:rsid w:val="09AD78B7"/>
    <w:rsid w:val="09ADF317"/>
    <w:rsid w:val="09AED18A"/>
    <w:rsid w:val="09B31FD4"/>
    <w:rsid w:val="09BE8B86"/>
    <w:rsid w:val="09C6A436"/>
    <w:rsid w:val="09CACBAD"/>
    <w:rsid w:val="09CF4B74"/>
    <w:rsid w:val="09DB4956"/>
    <w:rsid w:val="09DEB929"/>
    <w:rsid w:val="09E7F0BA"/>
    <w:rsid w:val="09EB3278"/>
    <w:rsid w:val="09EFCDE2"/>
    <w:rsid w:val="09FA6848"/>
    <w:rsid w:val="09FC5C55"/>
    <w:rsid w:val="09FCFF33"/>
    <w:rsid w:val="0A1551B6"/>
    <w:rsid w:val="0A18F7E2"/>
    <w:rsid w:val="0A2204FB"/>
    <w:rsid w:val="0A2B87B4"/>
    <w:rsid w:val="0A31C4E1"/>
    <w:rsid w:val="0A3E309D"/>
    <w:rsid w:val="0A41B14A"/>
    <w:rsid w:val="0A4221BE"/>
    <w:rsid w:val="0A44C8D5"/>
    <w:rsid w:val="0A464CE8"/>
    <w:rsid w:val="0A49328A"/>
    <w:rsid w:val="0A5008E4"/>
    <w:rsid w:val="0A508908"/>
    <w:rsid w:val="0A53695B"/>
    <w:rsid w:val="0A683056"/>
    <w:rsid w:val="0A6979EC"/>
    <w:rsid w:val="0A6A02B7"/>
    <w:rsid w:val="0A70B079"/>
    <w:rsid w:val="0A76EFF6"/>
    <w:rsid w:val="0A81E991"/>
    <w:rsid w:val="0A8CD856"/>
    <w:rsid w:val="0A8F80A6"/>
    <w:rsid w:val="0A9559C6"/>
    <w:rsid w:val="0AB0D3C8"/>
    <w:rsid w:val="0ABCDC36"/>
    <w:rsid w:val="0AE0B773"/>
    <w:rsid w:val="0AE77DB3"/>
    <w:rsid w:val="0AE7DE84"/>
    <w:rsid w:val="0AEB29E8"/>
    <w:rsid w:val="0AEB4951"/>
    <w:rsid w:val="0AF383C6"/>
    <w:rsid w:val="0AF4ABF5"/>
    <w:rsid w:val="0AF5FE3A"/>
    <w:rsid w:val="0B1AB99D"/>
    <w:rsid w:val="0B237236"/>
    <w:rsid w:val="0B30CD4D"/>
    <w:rsid w:val="0B4839CA"/>
    <w:rsid w:val="0B499029"/>
    <w:rsid w:val="0B587526"/>
    <w:rsid w:val="0B58E75D"/>
    <w:rsid w:val="0B67DE3F"/>
    <w:rsid w:val="0B69198F"/>
    <w:rsid w:val="0B74E4F5"/>
    <w:rsid w:val="0B76D40C"/>
    <w:rsid w:val="0B7B8F0D"/>
    <w:rsid w:val="0B849651"/>
    <w:rsid w:val="0B8E11DC"/>
    <w:rsid w:val="0BA3F643"/>
    <w:rsid w:val="0BA6D716"/>
    <w:rsid w:val="0BAA05AA"/>
    <w:rsid w:val="0BAA296A"/>
    <w:rsid w:val="0BAEB76C"/>
    <w:rsid w:val="0BB9AE0F"/>
    <w:rsid w:val="0BC21439"/>
    <w:rsid w:val="0BC98796"/>
    <w:rsid w:val="0BCF1EA7"/>
    <w:rsid w:val="0BCF6B64"/>
    <w:rsid w:val="0BD452C2"/>
    <w:rsid w:val="0BE0CF29"/>
    <w:rsid w:val="0BEB25F5"/>
    <w:rsid w:val="0BF20F5B"/>
    <w:rsid w:val="0BF6C87A"/>
    <w:rsid w:val="0BFA6CAB"/>
    <w:rsid w:val="0C017D36"/>
    <w:rsid w:val="0C1089EB"/>
    <w:rsid w:val="0C12A8C1"/>
    <w:rsid w:val="0C20E7F7"/>
    <w:rsid w:val="0C47CEA4"/>
    <w:rsid w:val="0C584D7D"/>
    <w:rsid w:val="0C63D51D"/>
    <w:rsid w:val="0C67C6CF"/>
    <w:rsid w:val="0C764A93"/>
    <w:rsid w:val="0C8126A3"/>
    <w:rsid w:val="0C8C66DC"/>
    <w:rsid w:val="0C8F4DF8"/>
    <w:rsid w:val="0C9458DB"/>
    <w:rsid w:val="0CA6817A"/>
    <w:rsid w:val="0CAD78FC"/>
    <w:rsid w:val="0CB4FE82"/>
    <w:rsid w:val="0CBF6903"/>
    <w:rsid w:val="0CBFE325"/>
    <w:rsid w:val="0CCBD47C"/>
    <w:rsid w:val="0CE2DB93"/>
    <w:rsid w:val="0CF70AB3"/>
    <w:rsid w:val="0CFAC095"/>
    <w:rsid w:val="0D1BCBC3"/>
    <w:rsid w:val="0D276017"/>
    <w:rsid w:val="0D2A94CB"/>
    <w:rsid w:val="0D30E5F2"/>
    <w:rsid w:val="0D83C6A9"/>
    <w:rsid w:val="0D8D5FB6"/>
    <w:rsid w:val="0D9330E0"/>
    <w:rsid w:val="0D99E3C2"/>
    <w:rsid w:val="0D9C384F"/>
    <w:rsid w:val="0DA2BD4F"/>
    <w:rsid w:val="0DB31332"/>
    <w:rsid w:val="0DC04305"/>
    <w:rsid w:val="0DC8D127"/>
    <w:rsid w:val="0DD585A8"/>
    <w:rsid w:val="0DDE3CEC"/>
    <w:rsid w:val="0DE11E35"/>
    <w:rsid w:val="0DF14195"/>
    <w:rsid w:val="0DFA038A"/>
    <w:rsid w:val="0DFCA6A5"/>
    <w:rsid w:val="0E0DD8D9"/>
    <w:rsid w:val="0E10A6E6"/>
    <w:rsid w:val="0E1147A5"/>
    <w:rsid w:val="0E178A9B"/>
    <w:rsid w:val="0E3472D4"/>
    <w:rsid w:val="0E4E07FC"/>
    <w:rsid w:val="0E582C0B"/>
    <w:rsid w:val="0E6ACD6D"/>
    <w:rsid w:val="0E6C6C4F"/>
    <w:rsid w:val="0E74845C"/>
    <w:rsid w:val="0E78C8FA"/>
    <w:rsid w:val="0E8DCE93"/>
    <w:rsid w:val="0E91736F"/>
    <w:rsid w:val="0E91C6A8"/>
    <w:rsid w:val="0E94141B"/>
    <w:rsid w:val="0E9A8B2F"/>
    <w:rsid w:val="0E9E9C9D"/>
    <w:rsid w:val="0E9FAB27"/>
    <w:rsid w:val="0EA08828"/>
    <w:rsid w:val="0EAA1072"/>
    <w:rsid w:val="0EAB8251"/>
    <w:rsid w:val="0EAC461B"/>
    <w:rsid w:val="0EB4DBE5"/>
    <w:rsid w:val="0EB924A6"/>
    <w:rsid w:val="0EBA0F38"/>
    <w:rsid w:val="0EBEBAF1"/>
    <w:rsid w:val="0EC9CF4C"/>
    <w:rsid w:val="0EDF2EC1"/>
    <w:rsid w:val="0EE1A626"/>
    <w:rsid w:val="0EE95D4A"/>
    <w:rsid w:val="0EEDAC3B"/>
    <w:rsid w:val="0EF4D078"/>
    <w:rsid w:val="0EF60406"/>
    <w:rsid w:val="0EFF5D7E"/>
    <w:rsid w:val="0F039E28"/>
    <w:rsid w:val="0F0F50DE"/>
    <w:rsid w:val="0F1B1A27"/>
    <w:rsid w:val="0F247E33"/>
    <w:rsid w:val="0F24FA76"/>
    <w:rsid w:val="0F34BE77"/>
    <w:rsid w:val="0F381BE6"/>
    <w:rsid w:val="0F4DC856"/>
    <w:rsid w:val="0F4EB8BF"/>
    <w:rsid w:val="0F52F2A8"/>
    <w:rsid w:val="0F5ADD1D"/>
    <w:rsid w:val="0F628687"/>
    <w:rsid w:val="0F67C191"/>
    <w:rsid w:val="0F6AA6E0"/>
    <w:rsid w:val="0F7B8195"/>
    <w:rsid w:val="0F823EE6"/>
    <w:rsid w:val="0F8EFBB2"/>
    <w:rsid w:val="0F92E8B4"/>
    <w:rsid w:val="0FA18CC5"/>
    <w:rsid w:val="0FA63E46"/>
    <w:rsid w:val="0FB7555C"/>
    <w:rsid w:val="0FB978B8"/>
    <w:rsid w:val="0FBAE631"/>
    <w:rsid w:val="0FC29E25"/>
    <w:rsid w:val="0FC6D28B"/>
    <w:rsid w:val="0FCA6054"/>
    <w:rsid w:val="0FE9C2F8"/>
    <w:rsid w:val="0FEF3CFC"/>
    <w:rsid w:val="0FF386DE"/>
    <w:rsid w:val="0FFA267D"/>
    <w:rsid w:val="0FFF7A03"/>
    <w:rsid w:val="1003C8CC"/>
    <w:rsid w:val="1005C950"/>
    <w:rsid w:val="1007598A"/>
    <w:rsid w:val="10096BA0"/>
    <w:rsid w:val="100DCD30"/>
    <w:rsid w:val="100E3FCD"/>
    <w:rsid w:val="101A85A9"/>
    <w:rsid w:val="1029AC06"/>
    <w:rsid w:val="102F73D0"/>
    <w:rsid w:val="103F6257"/>
    <w:rsid w:val="10400EFC"/>
    <w:rsid w:val="10413765"/>
    <w:rsid w:val="1053FC48"/>
    <w:rsid w:val="105B2C50"/>
    <w:rsid w:val="105F62BD"/>
    <w:rsid w:val="10665712"/>
    <w:rsid w:val="106BF36F"/>
    <w:rsid w:val="106C580C"/>
    <w:rsid w:val="1072D0ED"/>
    <w:rsid w:val="107E7707"/>
    <w:rsid w:val="1097500A"/>
    <w:rsid w:val="109C33FC"/>
    <w:rsid w:val="109EC7ED"/>
    <w:rsid w:val="10AAB0F1"/>
    <w:rsid w:val="10AE011F"/>
    <w:rsid w:val="10B30041"/>
    <w:rsid w:val="10B495DF"/>
    <w:rsid w:val="10B872AB"/>
    <w:rsid w:val="10B9BA2C"/>
    <w:rsid w:val="10BAEC99"/>
    <w:rsid w:val="10BF9CAA"/>
    <w:rsid w:val="10C2A5A7"/>
    <w:rsid w:val="10DF1B73"/>
    <w:rsid w:val="10DF8D56"/>
    <w:rsid w:val="10E89018"/>
    <w:rsid w:val="10ECEE41"/>
    <w:rsid w:val="10F11390"/>
    <w:rsid w:val="10FCCEA6"/>
    <w:rsid w:val="110A3DB1"/>
    <w:rsid w:val="111308A6"/>
    <w:rsid w:val="111EC2AD"/>
    <w:rsid w:val="112185C3"/>
    <w:rsid w:val="1126101E"/>
    <w:rsid w:val="112EF0AB"/>
    <w:rsid w:val="113BA875"/>
    <w:rsid w:val="1143CA51"/>
    <w:rsid w:val="114A44DE"/>
    <w:rsid w:val="1156B692"/>
    <w:rsid w:val="11668932"/>
    <w:rsid w:val="1170D038"/>
    <w:rsid w:val="11758B4F"/>
    <w:rsid w:val="117A3A77"/>
    <w:rsid w:val="117B4FE1"/>
    <w:rsid w:val="11891D48"/>
    <w:rsid w:val="11939741"/>
    <w:rsid w:val="119DEB3C"/>
    <w:rsid w:val="11A09050"/>
    <w:rsid w:val="11A093E5"/>
    <w:rsid w:val="11ACC988"/>
    <w:rsid w:val="11BBEB86"/>
    <w:rsid w:val="11C4BBCE"/>
    <w:rsid w:val="11D61198"/>
    <w:rsid w:val="11D9C047"/>
    <w:rsid w:val="11F0ED52"/>
    <w:rsid w:val="11F4B11F"/>
    <w:rsid w:val="12036C9C"/>
    <w:rsid w:val="1206BAD5"/>
    <w:rsid w:val="120B686E"/>
    <w:rsid w:val="121C0064"/>
    <w:rsid w:val="121E86C4"/>
    <w:rsid w:val="1223B20E"/>
    <w:rsid w:val="12241744"/>
    <w:rsid w:val="12369E23"/>
    <w:rsid w:val="125C5864"/>
    <w:rsid w:val="1268BB83"/>
    <w:rsid w:val="126F7D69"/>
    <w:rsid w:val="1290B0C9"/>
    <w:rsid w:val="12A12B19"/>
    <w:rsid w:val="12A69245"/>
    <w:rsid w:val="12AA3528"/>
    <w:rsid w:val="12AA4B0F"/>
    <w:rsid w:val="12B46C0C"/>
    <w:rsid w:val="12BA567B"/>
    <w:rsid w:val="12CB1F9A"/>
    <w:rsid w:val="12D0AF0F"/>
    <w:rsid w:val="12D56056"/>
    <w:rsid w:val="12DFD944"/>
    <w:rsid w:val="12E96787"/>
    <w:rsid w:val="12EE2072"/>
    <w:rsid w:val="12EEF709"/>
    <w:rsid w:val="12F326E8"/>
    <w:rsid w:val="12F8266F"/>
    <w:rsid w:val="1307BAB3"/>
    <w:rsid w:val="130D622E"/>
    <w:rsid w:val="13105BC4"/>
    <w:rsid w:val="1317DBD6"/>
    <w:rsid w:val="1323D456"/>
    <w:rsid w:val="132C24B0"/>
    <w:rsid w:val="133B3A6D"/>
    <w:rsid w:val="135DBD5A"/>
    <w:rsid w:val="136D33E0"/>
    <w:rsid w:val="136E37F0"/>
    <w:rsid w:val="13740E9D"/>
    <w:rsid w:val="137C7F71"/>
    <w:rsid w:val="1388B8B4"/>
    <w:rsid w:val="13914D93"/>
    <w:rsid w:val="1392E80A"/>
    <w:rsid w:val="139E6E59"/>
    <w:rsid w:val="13A1EC4C"/>
    <w:rsid w:val="13B0A43D"/>
    <w:rsid w:val="13B2BDD5"/>
    <w:rsid w:val="13B8397D"/>
    <w:rsid w:val="13C55C24"/>
    <w:rsid w:val="13C5BF28"/>
    <w:rsid w:val="13C9BB51"/>
    <w:rsid w:val="13CDA71A"/>
    <w:rsid w:val="13DD0318"/>
    <w:rsid w:val="13E714B1"/>
    <w:rsid w:val="13E83555"/>
    <w:rsid w:val="13FC4E53"/>
    <w:rsid w:val="14092A22"/>
    <w:rsid w:val="140DE8A6"/>
    <w:rsid w:val="14107AC4"/>
    <w:rsid w:val="1420DB6F"/>
    <w:rsid w:val="1423CD66"/>
    <w:rsid w:val="143205EE"/>
    <w:rsid w:val="144885DF"/>
    <w:rsid w:val="144BF799"/>
    <w:rsid w:val="144DACB7"/>
    <w:rsid w:val="144E39F0"/>
    <w:rsid w:val="14608319"/>
    <w:rsid w:val="14609452"/>
    <w:rsid w:val="146939ED"/>
    <w:rsid w:val="1472B9FF"/>
    <w:rsid w:val="147ED54E"/>
    <w:rsid w:val="1488BB3E"/>
    <w:rsid w:val="148EAB98"/>
    <w:rsid w:val="148FFFE5"/>
    <w:rsid w:val="14922A4D"/>
    <w:rsid w:val="1493DA47"/>
    <w:rsid w:val="14955E79"/>
    <w:rsid w:val="149F2637"/>
    <w:rsid w:val="14A4494A"/>
    <w:rsid w:val="14A6AEDB"/>
    <w:rsid w:val="14AAE8A8"/>
    <w:rsid w:val="14B2E2CC"/>
    <w:rsid w:val="14B3AC37"/>
    <w:rsid w:val="14BC563F"/>
    <w:rsid w:val="14CD3924"/>
    <w:rsid w:val="14DA4CE1"/>
    <w:rsid w:val="14E3BCC3"/>
    <w:rsid w:val="14F378A0"/>
    <w:rsid w:val="14F3C5BE"/>
    <w:rsid w:val="15114231"/>
    <w:rsid w:val="1516A52B"/>
    <w:rsid w:val="154654FE"/>
    <w:rsid w:val="1547C2A0"/>
    <w:rsid w:val="154B0353"/>
    <w:rsid w:val="15587B91"/>
    <w:rsid w:val="15616FA4"/>
    <w:rsid w:val="15667F12"/>
    <w:rsid w:val="157C3D31"/>
    <w:rsid w:val="1592B593"/>
    <w:rsid w:val="15A01444"/>
    <w:rsid w:val="15A930C8"/>
    <w:rsid w:val="15AF6A89"/>
    <w:rsid w:val="15B0E6AE"/>
    <w:rsid w:val="15B4E4D6"/>
    <w:rsid w:val="15B7ECB8"/>
    <w:rsid w:val="15C8AD8D"/>
    <w:rsid w:val="15DCC796"/>
    <w:rsid w:val="15E0D1D9"/>
    <w:rsid w:val="15EB2B05"/>
    <w:rsid w:val="15EBAB1D"/>
    <w:rsid w:val="1608DCB4"/>
    <w:rsid w:val="16185F21"/>
    <w:rsid w:val="1618F361"/>
    <w:rsid w:val="161AC1C2"/>
    <w:rsid w:val="1627D681"/>
    <w:rsid w:val="1630584D"/>
    <w:rsid w:val="163B32E5"/>
    <w:rsid w:val="1651A7D7"/>
    <w:rsid w:val="1651E356"/>
    <w:rsid w:val="1652DE71"/>
    <w:rsid w:val="165CA7D9"/>
    <w:rsid w:val="1669950A"/>
    <w:rsid w:val="166EE78A"/>
    <w:rsid w:val="168F0225"/>
    <w:rsid w:val="169275B3"/>
    <w:rsid w:val="1696CDAF"/>
    <w:rsid w:val="1698B0C2"/>
    <w:rsid w:val="169E1D96"/>
    <w:rsid w:val="16B50D38"/>
    <w:rsid w:val="16B76886"/>
    <w:rsid w:val="16C57B4B"/>
    <w:rsid w:val="16CB2044"/>
    <w:rsid w:val="16CF4D6C"/>
    <w:rsid w:val="16CFFDA3"/>
    <w:rsid w:val="16D23EDE"/>
    <w:rsid w:val="16E216B2"/>
    <w:rsid w:val="16E77160"/>
    <w:rsid w:val="16EFC292"/>
    <w:rsid w:val="16F23C9D"/>
    <w:rsid w:val="170B81EB"/>
    <w:rsid w:val="171685F2"/>
    <w:rsid w:val="171CA0BC"/>
    <w:rsid w:val="173D58B2"/>
    <w:rsid w:val="174268C7"/>
    <w:rsid w:val="1743C990"/>
    <w:rsid w:val="17561720"/>
    <w:rsid w:val="17565122"/>
    <w:rsid w:val="175A3706"/>
    <w:rsid w:val="17607952"/>
    <w:rsid w:val="1767540F"/>
    <w:rsid w:val="176A4F65"/>
    <w:rsid w:val="176F4E01"/>
    <w:rsid w:val="17726E87"/>
    <w:rsid w:val="1773F4C7"/>
    <w:rsid w:val="177DA64B"/>
    <w:rsid w:val="17919488"/>
    <w:rsid w:val="1797DFCA"/>
    <w:rsid w:val="17A090D6"/>
    <w:rsid w:val="17A83B5E"/>
    <w:rsid w:val="17C6F75C"/>
    <w:rsid w:val="17CA1693"/>
    <w:rsid w:val="17D130DD"/>
    <w:rsid w:val="17D13BC2"/>
    <w:rsid w:val="17F8AE11"/>
    <w:rsid w:val="17FFFDAB"/>
    <w:rsid w:val="18025E6A"/>
    <w:rsid w:val="180EE712"/>
    <w:rsid w:val="1820395E"/>
    <w:rsid w:val="182AE41E"/>
    <w:rsid w:val="1838D9D3"/>
    <w:rsid w:val="183AAA8D"/>
    <w:rsid w:val="183CFC32"/>
    <w:rsid w:val="183FB952"/>
    <w:rsid w:val="184AB5B3"/>
    <w:rsid w:val="184BCEEA"/>
    <w:rsid w:val="184DE021"/>
    <w:rsid w:val="1850C395"/>
    <w:rsid w:val="1854DE09"/>
    <w:rsid w:val="187D4602"/>
    <w:rsid w:val="188E5F12"/>
    <w:rsid w:val="189C08AD"/>
    <w:rsid w:val="189E222E"/>
    <w:rsid w:val="18D7DF50"/>
    <w:rsid w:val="18DCF8E5"/>
    <w:rsid w:val="18E24D0E"/>
    <w:rsid w:val="18E3FBA2"/>
    <w:rsid w:val="18E8321A"/>
    <w:rsid w:val="18EAF806"/>
    <w:rsid w:val="190079B5"/>
    <w:rsid w:val="190B57E5"/>
    <w:rsid w:val="191386DD"/>
    <w:rsid w:val="191FE2E3"/>
    <w:rsid w:val="1928E441"/>
    <w:rsid w:val="19299A72"/>
    <w:rsid w:val="192BD515"/>
    <w:rsid w:val="194D0C4E"/>
    <w:rsid w:val="195881A9"/>
    <w:rsid w:val="195CBB9D"/>
    <w:rsid w:val="197AE86B"/>
    <w:rsid w:val="19871D5A"/>
    <w:rsid w:val="198FD076"/>
    <w:rsid w:val="199E341F"/>
    <w:rsid w:val="199F987F"/>
    <w:rsid w:val="19A90092"/>
    <w:rsid w:val="19B94EEC"/>
    <w:rsid w:val="19C763F2"/>
    <w:rsid w:val="19D2C6BA"/>
    <w:rsid w:val="19DBC259"/>
    <w:rsid w:val="19DEAEB3"/>
    <w:rsid w:val="19E46CA6"/>
    <w:rsid w:val="19F3B986"/>
    <w:rsid w:val="19F69838"/>
    <w:rsid w:val="1A13E83D"/>
    <w:rsid w:val="1A21C317"/>
    <w:rsid w:val="1A21DA76"/>
    <w:rsid w:val="1A2DB7EC"/>
    <w:rsid w:val="1A329889"/>
    <w:rsid w:val="1A37C01E"/>
    <w:rsid w:val="1A3839CB"/>
    <w:rsid w:val="1A40A818"/>
    <w:rsid w:val="1A48A8B3"/>
    <w:rsid w:val="1A4D5183"/>
    <w:rsid w:val="1A547ACB"/>
    <w:rsid w:val="1A553389"/>
    <w:rsid w:val="1A5FADC5"/>
    <w:rsid w:val="1A802EA5"/>
    <w:rsid w:val="1A80A5E1"/>
    <w:rsid w:val="1A815C90"/>
    <w:rsid w:val="1A826A2C"/>
    <w:rsid w:val="1A89465A"/>
    <w:rsid w:val="1A8DC9AB"/>
    <w:rsid w:val="1A942D92"/>
    <w:rsid w:val="1A967F7F"/>
    <w:rsid w:val="1A9C6EB4"/>
    <w:rsid w:val="1A9D9C75"/>
    <w:rsid w:val="1AA66F98"/>
    <w:rsid w:val="1AABCF46"/>
    <w:rsid w:val="1AB63430"/>
    <w:rsid w:val="1AC1FEBD"/>
    <w:rsid w:val="1AC76F78"/>
    <w:rsid w:val="1AC8DE59"/>
    <w:rsid w:val="1AD0D9DB"/>
    <w:rsid w:val="1AD77DC5"/>
    <w:rsid w:val="1AEACB4D"/>
    <w:rsid w:val="1AED4DB0"/>
    <w:rsid w:val="1AF1782B"/>
    <w:rsid w:val="1AF9FAF5"/>
    <w:rsid w:val="1AFAA12B"/>
    <w:rsid w:val="1B06C0C4"/>
    <w:rsid w:val="1B0851A5"/>
    <w:rsid w:val="1B0CF0C7"/>
    <w:rsid w:val="1B13AE56"/>
    <w:rsid w:val="1B21801A"/>
    <w:rsid w:val="1B2D35E9"/>
    <w:rsid w:val="1B34DEAA"/>
    <w:rsid w:val="1B3E89EC"/>
    <w:rsid w:val="1B3FF7A8"/>
    <w:rsid w:val="1B459BFA"/>
    <w:rsid w:val="1B4952BD"/>
    <w:rsid w:val="1B4C4D52"/>
    <w:rsid w:val="1B5075FA"/>
    <w:rsid w:val="1B53A9E3"/>
    <w:rsid w:val="1B5931FA"/>
    <w:rsid w:val="1B5EC68C"/>
    <w:rsid w:val="1B612974"/>
    <w:rsid w:val="1B85E6AF"/>
    <w:rsid w:val="1B8CF8C5"/>
    <w:rsid w:val="1B9ACCBB"/>
    <w:rsid w:val="1BBC4506"/>
    <w:rsid w:val="1BC1F171"/>
    <w:rsid w:val="1BC51684"/>
    <w:rsid w:val="1BC554F5"/>
    <w:rsid w:val="1BC5AA68"/>
    <w:rsid w:val="1BCE5A8A"/>
    <w:rsid w:val="1BD11C6B"/>
    <w:rsid w:val="1BEDB7EC"/>
    <w:rsid w:val="1BF01BFD"/>
    <w:rsid w:val="1BF2A997"/>
    <w:rsid w:val="1BFAE499"/>
    <w:rsid w:val="1C072E89"/>
    <w:rsid w:val="1C0D28FB"/>
    <w:rsid w:val="1C134213"/>
    <w:rsid w:val="1C14FF3F"/>
    <w:rsid w:val="1C1B9C64"/>
    <w:rsid w:val="1C311C64"/>
    <w:rsid w:val="1C3A8558"/>
    <w:rsid w:val="1C53F469"/>
    <w:rsid w:val="1C5D633E"/>
    <w:rsid w:val="1C67A410"/>
    <w:rsid w:val="1C6A2E60"/>
    <w:rsid w:val="1C6CDF3E"/>
    <w:rsid w:val="1C6E63AB"/>
    <w:rsid w:val="1C6F2DD7"/>
    <w:rsid w:val="1C80AF3D"/>
    <w:rsid w:val="1C9BAB23"/>
    <w:rsid w:val="1CAA9A44"/>
    <w:rsid w:val="1CC1ADB8"/>
    <w:rsid w:val="1CC86497"/>
    <w:rsid w:val="1CC9ECC7"/>
    <w:rsid w:val="1CCD32CA"/>
    <w:rsid w:val="1CF0632D"/>
    <w:rsid w:val="1D05FD20"/>
    <w:rsid w:val="1D0D4CE5"/>
    <w:rsid w:val="1D1C5F7E"/>
    <w:rsid w:val="1D22AB62"/>
    <w:rsid w:val="1D2D9F38"/>
    <w:rsid w:val="1D392DF2"/>
    <w:rsid w:val="1D394F81"/>
    <w:rsid w:val="1D407A88"/>
    <w:rsid w:val="1D48F546"/>
    <w:rsid w:val="1D4AF5A9"/>
    <w:rsid w:val="1D4CB51C"/>
    <w:rsid w:val="1D5215D2"/>
    <w:rsid w:val="1D55BE93"/>
    <w:rsid w:val="1D63AD96"/>
    <w:rsid w:val="1D6B5852"/>
    <w:rsid w:val="1D867115"/>
    <w:rsid w:val="1D9BC9B8"/>
    <w:rsid w:val="1D9DC176"/>
    <w:rsid w:val="1DABD843"/>
    <w:rsid w:val="1DB1C315"/>
    <w:rsid w:val="1DB81A69"/>
    <w:rsid w:val="1DBF9530"/>
    <w:rsid w:val="1DD68187"/>
    <w:rsid w:val="1DDB2D4C"/>
    <w:rsid w:val="1DDC877B"/>
    <w:rsid w:val="1DE22B8C"/>
    <w:rsid w:val="1DE3532B"/>
    <w:rsid w:val="1DE554DE"/>
    <w:rsid w:val="1DF01026"/>
    <w:rsid w:val="1E00E9C0"/>
    <w:rsid w:val="1E039A7B"/>
    <w:rsid w:val="1E0B85B4"/>
    <w:rsid w:val="1E0E276C"/>
    <w:rsid w:val="1E0FD73A"/>
    <w:rsid w:val="1E4D602E"/>
    <w:rsid w:val="1E58374A"/>
    <w:rsid w:val="1E62138C"/>
    <w:rsid w:val="1E674661"/>
    <w:rsid w:val="1E6AF78A"/>
    <w:rsid w:val="1E6F4434"/>
    <w:rsid w:val="1E725519"/>
    <w:rsid w:val="1E73C1FA"/>
    <w:rsid w:val="1E7F6F55"/>
    <w:rsid w:val="1E7FDE5B"/>
    <w:rsid w:val="1E84D201"/>
    <w:rsid w:val="1EA52368"/>
    <w:rsid w:val="1EAB6148"/>
    <w:rsid w:val="1EAC9E30"/>
    <w:rsid w:val="1EB523D9"/>
    <w:rsid w:val="1EB79ABE"/>
    <w:rsid w:val="1EB98B69"/>
    <w:rsid w:val="1EBF9FBA"/>
    <w:rsid w:val="1EC65435"/>
    <w:rsid w:val="1EC9E5DA"/>
    <w:rsid w:val="1ED30BA1"/>
    <w:rsid w:val="1ED66E32"/>
    <w:rsid w:val="1EDF79DD"/>
    <w:rsid w:val="1EE1E1E2"/>
    <w:rsid w:val="1EEAF39D"/>
    <w:rsid w:val="1EEB1F71"/>
    <w:rsid w:val="1EED06A7"/>
    <w:rsid w:val="1EFB8829"/>
    <w:rsid w:val="1EFBD0DD"/>
    <w:rsid w:val="1EFEEE98"/>
    <w:rsid w:val="1F15E053"/>
    <w:rsid w:val="1F26CF20"/>
    <w:rsid w:val="1F2F12D6"/>
    <w:rsid w:val="1F302143"/>
    <w:rsid w:val="1F31F395"/>
    <w:rsid w:val="1F442EC6"/>
    <w:rsid w:val="1F468E60"/>
    <w:rsid w:val="1F496584"/>
    <w:rsid w:val="1F4C8702"/>
    <w:rsid w:val="1F4DDF6C"/>
    <w:rsid w:val="1F5FC899"/>
    <w:rsid w:val="1F61B20C"/>
    <w:rsid w:val="1F6207F8"/>
    <w:rsid w:val="1F658743"/>
    <w:rsid w:val="1F7610BD"/>
    <w:rsid w:val="1F79E0CF"/>
    <w:rsid w:val="1F7E7597"/>
    <w:rsid w:val="1F8747E4"/>
    <w:rsid w:val="1F892316"/>
    <w:rsid w:val="1F9DE08B"/>
    <w:rsid w:val="1FA08494"/>
    <w:rsid w:val="1FACF61E"/>
    <w:rsid w:val="1FB87BBB"/>
    <w:rsid w:val="1FC6A1B4"/>
    <w:rsid w:val="1FC8FD54"/>
    <w:rsid w:val="1FD2DA9A"/>
    <w:rsid w:val="1FD6526C"/>
    <w:rsid w:val="1FD84CAB"/>
    <w:rsid w:val="1FF9C99D"/>
    <w:rsid w:val="1FFACF7A"/>
    <w:rsid w:val="2007CD6F"/>
    <w:rsid w:val="200BEBC6"/>
    <w:rsid w:val="201FAEE9"/>
    <w:rsid w:val="202E288C"/>
    <w:rsid w:val="203BB4ED"/>
    <w:rsid w:val="203C819C"/>
    <w:rsid w:val="20402F0D"/>
    <w:rsid w:val="20590818"/>
    <w:rsid w:val="2059F1AB"/>
    <w:rsid w:val="205E1A5A"/>
    <w:rsid w:val="206421EB"/>
    <w:rsid w:val="207C1344"/>
    <w:rsid w:val="209FDEE3"/>
    <w:rsid w:val="20A3734E"/>
    <w:rsid w:val="20A4E6F6"/>
    <w:rsid w:val="20A767C9"/>
    <w:rsid w:val="20BC7227"/>
    <w:rsid w:val="20BD544C"/>
    <w:rsid w:val="20CC1BF1"/>
    <w:rsid w:val="20D011A0"/>
    <w:rsid w:val="20D08C72"/>
    <w:rsid w:val="20F19CFA"/>
    <w:rsid w:val="21147032"/>
    <w:rsid w:val="211759B5"/>
    <w:rsid w:val="212121B5"/>
    <w:rsid w:val="2122ABD4"/>
    <w:rsid w:val="214F9AF5"/>
    <w:rsid w:val="215119C6"/>
    <w:rsid w:val="215258B7"/>
    <w:rsid w:val="21640017"/>
    <w:rsid w:val="216B8041"/>
    <w:rsid w:val="216F7C6D"/>
    <w:rsid w:val="218823A8"/>
    <w:rsid w:val="218B374A"/>
    <w:rsid w:val="21AB852A"/>
    <w:rsid w:val="21C4CC53"/>
    <w:rsid w:val="21C60B9D"/>
    <w:rsid w:val="21CFAEA4"/>
    <w:rsid w:val="21DABDA4"/>
    <w:rsid w:val="21DB5513"/>
    <w:rsid w:val="21DF7C8E"/>
    <w:rsid w:val="21E30250"/>
    <w:rsid w:val="21EDD677"/>
    <w:rsid w:val="21F0D3ED"/>
    <w:rsid w:val="220DAB08"/>
    <w:rsid w:val="22114F6F"/>
    <w:rsid w:val="2211E8ED"/>
    <w:rsid w:val="2220FF71"/>
    <w:rsid w:val="22260B1E"/>
    <w:rsid w:val="2237587E"/>
    <w:rsid w:val="223908E5"/>
    <w:rsid w:val="225E3A9F"/>
    <w:rsid w:val="226C6C34"/>
    <w:rsid w:val="2271A87F"/>
    <w:rsid w:val="2288776A"/>
    <w:rsid w:val="22895426"/>
    <w:rsid w:val="228F2383"/>
    <w:rsid w:val="229DC1BC"/>
    <w:rsid w:val="229FAE00"/>
    <w:rsid w:val="22A1429E"/>
    <w:rsid w:val="22A18876"/>
    <w:rsid w:val="22A3A47D"/>
    <w:rsid w:val="22BE732E"/>
    <w:rsid w:val="22C058F2"/>
    <w:rsid w:val="22C2C0E4"/>
    <w:rsid w:val="22CBD5C1"/>
    <w:rsid w:val="22CDF63A"/>
    <w:rsid w:val="22E496E0"/>
    <w:rsid w:val="22ED0749"/>
    <w:rsid w:val="22FADDCA"/>
    <w:rsid w:val="23016DAE"/>
    <w:rsid w:val="230289E9"/>
    <w:rsid w:val="2306AA8C"/>
    <w:rsid w:val="23236119"/>
    <w:rsid w:val="2326FAD6"/>
    <w:rsid w:val="23284FCE"/>
    <w:rsid w:val="2333FEA4"/>
    <w:rsid w:val="23438BDC"/>
    <w:rsid w:val="23473855"/>
    <w:rsid w:val="23482EB0"/>
    <w:rsid w:val="234AFD76"/>
    <w:rsid w:val="23593C5B"/>
    <w:rsid w:val="23A7715D"/>
    <w:rsid w:val="23A90BD4"/>
    <w:rsid w:val="23C963B6"/>
    <w:rsid w:val="23D4646F"/>
    <w:rsid w:val="23DAE76E"/>
    <w:rsid w:val="23DF7249"/>
    <w:rsid w:val="23E1098B"/>
    <w:rsid w:val="23E69FD5"/>
    <w:rsid w:val="23F6D83F"/>
    <w:rsid w:val="23FC0090"/>
    <w:rsid w:val="23FE2FE2"/>
    <w:rsid w:val="2402F3AA"/>
    <w:rsid w:val="24052B07"/>
    <w:rsid w:val="24057CA5"/>
    <w:rsid w:val="2413A961"/>
    <w:rsid w:val="2419C2BB"/>
    <w:rsid w:val="242E5AFF"/>
    <w:rsid w:val="24354212"/>
    <w:rsid w:val="243BE357"/>
    <w:rsid w:val="2442F1A3"/>
    <w:rsid w:val="244BF16B"/>
    <w:rsid w:val="24751915"/>
    <w:rsid w:val="24809365"/>
    <w:rsid w:val="2483EAB0"/>
    <w:rsid w:val="2484D43A"/>
    <w:rsid w:val="24897D0A"/>
    <w:rsid w:val="24932861"/>
    <w:rsid w:val="24995623"/>
    <w:rsid w:val="249A8414"/>
    <w:rsid w:val="249B40B3"/>
    <w:rsid w:val="24A3622C"/>
    <w:rsid w:val="24A54CCD"/>
    <w:rsid w:val="24AA0420"/>
    <w:rsid w:val="24AE701D"/>
    <w:rsid w:val="24AECED4"/>
    <w:rsid w:val="24B301CC"/>
    <w:rsid w:val="24B6A855"/>
    <w:rsid w:val="24BC54B5"/>
    <w:rsid w:val="24C96911"/>
    <w:rsid w:val="24CE4FEC"/>
    <w:rsid w:val="24D01C3A"/>
    <w:rsid w:val="24E12E3E"/>
    <w:rsid w:val="24E2E1A3"/>
    <w:rsid w:val="24E8C49E"/>
    <w:rsid w:val="24F59A27"/>
    <w:rsid w:val="24F5CB91"/>
    <w:rsid w:val="24F64663"/>
    <w:rsid w:val="24FD2269"/>
    <w:rsid w:val="25079DFC"/>
    <w:rsid w:val="25164B1C"/>
    <w:rsid w:val="251C6DC9"/>
    <w:rsid w:val="251E1DF5"/>
    <w:rsid w:val="2526D0B5"/>
    <w:rsid w:val="2539A52E"/>
    <w:rsid w:val="25493BCB"/>
    <w:rsid w:val="254C936F"/>
    <w:rsid w:val="25715C3B"/>
    <w:rsid w:val="2573B581"/>
    <w:rsid w:val="257C6EBF"/>
    <w:rsid w:val="257EF874"/>
    <w:rsid w:val="25848FDA"/>
    <w:rsid w:val="2584EC65"/>
    <w:rsid w:val="2594070E"/>
    <w:rsid w:val="259653F2"/>
    <w:rsid w:val="25A16304"/>
    <w:rsid w:val="25B01BBC"/>
    <w:rsid w:val="25B99E6D"/>
    <w:rsid w:val="25BD92F4"/>
    <w:rsid w:val="25C3A5E5"/>
    <w:rsid w:val="25C69D33"/>
    <w:rsid w:val="25CE5148"/>
    <w:rsid w:val="25CF93BC"/>
    <w:rsid w:val="25D8BDFF"/>
    <w:rsid w:val="25DD8E9A"/>
    <w:rsid w:val="25ED1140"/>
    <w:rsid w:val="25F0905D"/>
    <w:rsid w:val="25F2AF32"/>
    <w:rsid w:val="25F98525"/>
    <w:rsid w:val="25FCB436"/>
    <w:rsid w:val="260642B6"/>
    <w:rsid w:val="26178456"/>
    <w:rsid w:val="261A64CA"/>
    <w:rsid w:val="2625DA1D"/>
    <w:rsid w:val="2640D5E5"/>
    <w:rsid w:val="26488F18"/>
    <w:rsid w:val="264D4C49"/>
    <w:rsid w:val="26520DDE"/>
    <w:rsid w:val="2664D8DF"/>
    <w:rsid w:val="26699700"/>
    <w:rsid w:val="267114CE"/>
    <w:rsid w:val="2687D289"/>
    <w:rsid w:val="2688D16D"/>
    <w:rsid w:val="268B3F07"/>
    <w:rsid w:val="268FC477"/>
    <w:rsid w:val="269376CB"/>
    <w:rsid w:val="269E7095"/>
    <w:rsid w:val="269EF9F9"/>
    <w:rsid w:val="26A299F0"/>
    <w:rsid w:val="26AEDE97"/>
    <w:rsid w:val="26AF0B2D"/>
    <w:rsid w:val="26B3914E"/>
    <w:rsid w:val="26BC7DEB"/>
    <w:rsid w:val="26BD8722"/>
    <w:rsid w:val="26BFFB35"/>
    <w:rsid w:val="26C3247E"/>
    <w:rsid w:val="26EBD8C8"/>
    <w:rsid w:val="26F0A54F"/>
    <w:rsid w:val="2705DF5E"/>
    <w:rsid w:val="27087CED"/>
    <w:rsid w:val="270CB332"/>
    <w:rsid w:val="273430D6"/>
    <w:rsid w:val="27367FB2"/>
    <w:rsid w:val="273EA7C5"/>
    <w:rsid w:val="2769D3EA"/>
    <w:rsid w:val="276D6578"/>
    <w:rsid w:val="276EE929"/>
    <w:rsid w:val="27704FDD"/>
    <w:rsid w:val="278B63AD"/>
    <w:rsid w:val="278CDB52"/>
    <w:rsid w:val="278EBCB7"/>
    <w:rsid w:val="2790F1EC"/>
    <w:rsid w:val="27975CB9"/>
    <w:rsid w:val="279EA0A6"/>
    <w:rsid w:val="27A8A0F7"/>
    <w:rsid w:val="27ACECED"/>
    <w:rsid w:val="27AF67FB"/>
    <w:rsid w:val="27B8ECF0"/>
    <w:rsid w:val="27B9ACB5"/>
    <w:rsid w:val="27BF0F08"/>
    <w:rsid w:val="27C759D7"/>
    <w:rsid w:val="27D07668"/>
    <w:rsid w:val="27D20A96"/>
    <w:rsid w:val="27D636DF"/>
    <w:rsid w:val="27EEC310"/>
    <w:rsid w:val="2807EB6D"/>
    <w:rsid w:val="280D496F"/>
    <w:rsid w:val="281937FE"/>
    <w:rsid w:val="28218FBC"/>
    <w:rsid w:val="282289DE"/>
    <w:rsid w:val="282367E1"/>
    <w:rsid w:val="2823987B"/>
    <w:rsid w:val="28283973"/>
    <w:rsid w:val="2829827C"/>
    <w:rsid w:val="2838FC5B"/>
    <w:rsid w:val="28391B77"/>
    <w:rsid w:val="284324A0"/>
    <w:rsid w:val="28523549"/>
    <w:rsid w:val="286BB0C8"/>
    <w:rsid w:val="286DB410"/>
    <w:rsid w:val="2870065D"/>
    <w:rsid w:val="287C90DE"/>
    <w:rsid w:val="2881922A"/>
    <w:rsid w:val="28848228"/>
    <w:rsid w:val="288ABC0A"/>
    <w:rsid w:val="288D5C9F"/>
    <w:rsid w:val="288EE46A"/>
    <w:rsid w:val="289628BC"/>
    <w:rsid w:val="28A3094B"/>
    <w:rsid w:val="28A4BBD2"/>
    <w:rsid w:val="28ACD61E"/>
    <w:rsid w:val="28AD6FA8"/>
    <w:rsid w:val="28AE2210"/>
    <w:rsid w:val="28B5132D"/>
    <w:rsid w:val="28C6FB20"/>
    <w:rsid w:val="28C9A6A2"/>
    <w:rsid w:val="28CBBA06"/>
    <w:rsid w:val="28CEC4D7"/>
    <w:rsid w:val="28D0E950"/>
    <w:rsid w:val="28D6BEDC"/>
    <w:rsid w:val="28EC0FAF"/>
    <w:rsid w:val="291CDDB7"/>
    <w:rsid w:val="291E5F9F"/>
    <w:rsid w:val="292E7C15"/>
    <w:rsid w:val="292FA9FC"/>
    <w:rsid w:val="292FBC3D"/>
    <w:rsid w:val="2938DD2F"/>
    <w:rsid w:val="29489409"/>
    <w:rsid w:val="294D9652"/>
    <w:rsid w:val="294FC05F"/>
    <w:rsid w:val="29557D16"/>
    <w:rsid w:val="2959488B"/>
    <w:rsid w:val="295A3E5B"/>
    <w:rsid w:val="29607159"/>
    <w:rsid w:val="2964D560"/>
    <w:rsid w:val="296B57A4"/>
    <w:rsid w:val="297A610A"/>
    <w:rsid w:val="298608A6"/>
    <w:rsid w:val="298F1626"/>
    <w:rsid w:val="29A4F821"/>
    <w:rsid w:val="29AB5009"/>
    <w:rsid w:val="29C56263"/>
    <w:rsid w:val="29C6D87C"/>
    <w:rsid w:val="29C8D835"/>
    <w:rsid w:val="29CCBC88"/>
    <w:rsid w:val="29CCDE04"/>
    <w:rsid w:val="29CD3046"/>
    <w:rsid w:val="29D67971"/>
    <w:rsid w:val="29E13521"/>
    <w:rsid w:val="29E2B8A5"/>
    <w:rsid w:val="29E2E6C1"/>
    <w:rsid w:val="29EBA63E"/>
    <w:rsid w:val="2A01405F"/>
    <w:rsid w:val="2A01FB16"/>
    <w:rsid w:val="2A076AA6"/>
    <w:rsid w:val="2A0A69A8"/>
    <w:rsid w:val="2A0AA546"/>
    <w:rsid w:val="2A145337"/>
    <w:rsid w:val="2A18330B"/>
    <w:rsid w:val="2A1BF70F"/>
    <w:rsid w:val="2A20875B"/>
    <w:rsid w:val="2A236758"/>
    <w:rsid w:val="2A251C04"/>
    <w:rsid w:val="2A294206"/>
    <w:rsid w:val="2A37CFFD"/>
    <w:rsid w:val="2A4174C9"/>
    <w:rsid w:val="2A4ECE82"/>
    <w:rsid w:val="2A58693D"/>
    <w:rsid w:val="2A5E9F52"/>
    <w:rsid w:val="2A61710C"/>
    <w:rsid w:val="2A67FDE7"/>
    <w:rsid w:val="2A78734C"/>
    <w:rsid w:val="2A7FF0CB"/>
    <w:rsid w:val="2A8306EC"/>
    <w:rsid w:val="2A8FB60C"/>
    <w:rsid w:val="2A9539FE"/>
    <w:rsid w:val="2A95D9B5"/>
    <w:rsid w:val="2A9E5ECA"/>
    <w:rsid w:val="2AB98E4D"/>
    <w:rsid w:val="2ABB8893"/>
    <w:rsid w:val="2AC383E2"/>
    <w:rsid w:val="2AC38B93"/>
    <w:rsid w:val="2AC78A48"/>
    <w:rsid w:val="2AD89E7D"/>
    <w:rsid w:val="2ADEFA9F"/>
    <w:rsid w:val="2AE6CA3E"/>
    <w:rsid w:val="2AE97BF5"/>
    <w:rsid w:val="2AF0476A"/>
    <w:rsid w:val="2B15CCB6"/>
    <w:rsid w:val="2B22875A"/>
    <w:rsid w:val="2B3BD038"/>
    <w:rsid w:val="2B4AE06E"/>
    <w:rsid w:val="2B4DC8FC"/>
    <w:rsid w:val="2B4F840C"/>
    <w:rsid w:val="2B5095D2"/>
    <w:rsid w:val="2B52FB4C"/>
    <w:rsid w:val="2B552601"/>
    <w:rsid w:val="2B55AA0F"/>
    <w:rsid w:val="2B5CF19D"/>
    <w:rsid w:val="2B6199F3"/>
    <w:rsid w:val="2B6229E7"/>
    <w:rsid w:val="2B634E3D"/>
    <w:rsid w:val="2B6A8DA3"/>
    <w:rsid w:val="2B6FA560"/>
    <w:rsid w:val="2B707D57"/>
    <w:rsid w:val="2B71BB33"/>
    <w:rsid w:val="2B72DFA1"/>
    <w:rsid w:val="2B7893D7"/>
    <w:rsid w:val="2B79F66F"/>
    <w:rsid w:val="2B80C28E"/>
    <w:rsid w:val="2B8BE395"/>
    <w:rsid w:val="2BA00A8F"/>
    <w:rsid w:val="2BA1D33E"/>
    <w:rsid w:val="2BA9332C"/>
    <w:rsid w:val="2BBEAEC1"/>
    <w:rsid w:val="2BC8437E"/>
    <w:rsid w:val="2BCB1A30"/>
    <w:rsid w:val="2BCEA09B"/>
    <w:rsid w:val="2BD68C0D"/>
    <w:rsid w:val="2BDA30E4"/>
    <w:rsid w:val="2BDC0379"/>
    <w:rsid w:val="2BDCCFB9"/>
    <w:rsid w:val="2BE5024E"/>
    <w:rsid w:val="2BF0F742"/>
    <w:rsid w:val="2BF7604F"/>
    <w:rsid w:val="2C01E629"/>
    <w:rsid w:val="2C1A8362"/>
    <w:rsid w:val="2C21E538"/>
    <w:rsid w:val="2C287D08"/>
    <w:rsid w:val="2C29ED30"/>
    <w:rsid w:val="2C4575CD"/>
    <w:rsid w:val="2C4B3493"/>
    <w:rsid w:val="2C5F584E"/>
    <w:rsid w:val="2C615140"/>
    <w:rsid w:val="2C670C60"/>
    <w:rsid w:val="2C7B28C4"/>
    <w:rsid w:val="2C82BC26"/>
    <w:rsid w:val="2C82F33C"/>
    <w:rsid w:val="2C9FE929"/>
    <w:rsid w:val="2CA6B841"/>
    <w:rsid w:val="2CA8DDF0"/>
    <w:rsid w:val="2CADE38A"/>
    <w:rsid w:val="2CAE1299"/>
    <w:rsid w:val="2CAF06D2"/>
    <w:rsid w:val="2CB0E7D4"/>
    <w:rsid w:val="2CD0CAD4"/>
    <w:rsid w:val="2CD277A4"/>
    <w:rsid w:val="2CD85B22"/>
    <w:rsid w:val="2CE01458"/>
    <w:rsid w:val="2CE66C7A"/>
    <w:rsid w:val="2CE7F3DD"/>
    <w:rsid w:val="2CEF18C7"/>
    <w:rsid w:val="2CF5AFED"/>
    <w:rsid w:val="2CF6611C"/>
    <w:rsid w:val="2CF6B5D8"/>
    <w:rsid w:val="2CFE9C60"/>
    <w:rsid w:val="2D040897"/>
    <w:rsid w:val="2D07D592"/>
    <w:rsid w:val="2D07E429"/>
    <w:rsid w:val="2D086C28"/>
    <w:rsid w:val="2D0C40C2"/>
    <w:rsid w:val="2D0C5AB4"/>
    <w:rsid w:val="2D192FB1"/>
    <w:rsid w:val="2D1974B9"/>
    <w:rsid w:val="2D1AC217"/>
    <w:rsid w:val="2D26A003"/>
    <w:rsid w:val="2D51340D"/>
    <w:rsid w:val="2D575542"/>
    <w:rsid w:val="2D5DCFED"/>
    <w:rsid w:val="2D6A1B2F"/>
    <w:rsid w:val="2D79BC7A"/>
    <w:rsid w:val="2D7EDBAF"/>
    <w:rsid w:val="2D7EF0D0"/>
    <w:rsid w:val="2D86CB28"/>
    <w:rsid w:val="2DA6C0C3"/>
    <w:rsid w:val="2DAA9629"/>
    <w:rsid w:val="2DB3007F"/>
    <w:rsid w:val="2DBEA065"/>
    <w:rsid w:val="2DC22DA4"/>
    <w:rsid w:val="2DC28401"/>
    <w:rsid w:val="2DC4A8CA"/>
    <w:rsid w:val="2DC86834"/>
    <w:rsid w:val="2DCA07DD"/>
    <w:rsid w:val="2DCB7556"/>
    <w:rsid w:val="2DD7046B"/>
    <w:rsid w:val="2DD8A865"/>
    <w:rsid w:val="2DDFF756"/>
    <w:rsid w:val="2DEEC09C"/>
    <w:rsid w:val="2E07D755"/>
    <w:rsid w:val="2E08B48F"/>
    <w:rsid w:val="2E10AB76"/>
    <w:rsid w:val="2E124BBE"/>
    <w:rsid w:val="2E23F162"/>
    <w:rsid w:val="2E2576AF"/>
    <w:rsid w:val="2E2B0CF4"/>
    <w:rsid w:val="2E307E8C"/>
    <w:rsid w:val="2E344577"/>
    <w:rsid w:val="2E41EBDF"/>
    <w:rsid w:val="2E428747"/>
    <w:rsid w:val="2E84ECDF"/>
    <w:rsid w:val="2E8F5E4C"/>
    <w:rsid w:val="2E90F34F"/>
    <w:rsid w:val="2E971187"/>
    <w:rsid w:val="2E97E90E"/>
    <w:rsid w:val="2E987A64"/>
    <w:rsid w:val="2EBDF8B5"/>
    <w:rsid w:val="2EC1951E"/>
    <w:rsid w:val="2ED6766E"/>
    <w:rsid w:val="2EE327CB"/>
    <w:rsid w:val="2EEEB688"/>
    <w:rsid w:val="2EF00F77"/>
    <w:rsid w:val="2EF0D3AE"/>
    <w:rsid w:val="2EFB1BBB"/>
    <w:rsid w:val="2F184340"/>
    <w:rsid w:val="2F1D4A1A"/>
    <w:rsid w:val="2F25511A"/>
    <w:rsid w:val="2F294584"/>
    <w:rsid w:val="2F2F7CFE"/>
    <w:rsid w:val="2F342C8D"/>
    <w:rsid w:val="2F3BFD82"/>
    <w:rsid w:val="2F4D2E61"/>
    <w:rsid w:val="2F50F4DC"/>
    <w:rsid w:val="2F510498"/>
    <w:rsid w:val="2F6456B4"/>
    <w:rsid w:val="2F697398"/>
    <w:rsid w:val="2F6F5458"/>
    <w:rsid w:val="2F712574"/>
    <w:rsid w:val="2F8978BE"/>
    <w:rsid w:val="2F90291D"/>
    <w:rsid w:val="2FB68ECF"/>
    <w:rsid w:val="2FBC0527"/>
    <w:rsid w:val="2FC59A3D"/>
    <w:rsid w:val="2FD28862"/>
    <w:rsid w:val="2FF204D3"/>
    <w:rsid w:val="2FF69868"/>
    <w:rsid w:val="2FFC4626"/>
    <w:rsid w:val="2FFDC528"/>
    <w:rsid w:val="301B3493"/>
    <w:rsid w:val="301D6365"/>
    <w:rsid w:val="30394272"/>
    <w:rsid w:val="3040947B"/>
    <w:rsid w:val="3044FA03"/>
    <w:rsid w:val="304835B1"/>
    <w:rsid w:val="304B8E94"/>
    <w:rsid w:val="304CAC82"/>
    <w:rsid w:val="304F2D0A"/>
    <w:rsid w:val="304F5EE0"/>
    <w:rsid w:val="306287E3"/>
    <w:rsid w:val="3068B55C"/>
    <w:rsid w:val="3069DA92"/>
    <w:rsid w:val="307498D4"/>
    <w:rsid w:val="3078F2D2"/>
    <w:rsid w:val="307FC796"/>
    <w:rsid w:val="30810881"/>
    <w:rsid w:val="30968B04"/>
    <w:rsid w:val="30979DAB"/>
    <w:rsid w:val="309F3705"/>
    <w:rsid w:val="30AADBF0"/>
    <w:rsid w:val="30B68668"/>
    <w:rsid w:val="30C00A65"/>
    <w:rsid w:val="30C8BECD"/>
    <w:rsid w:val="30CAF01C"/>
    <w:rsid w:val="30CF9421"/>
    <w:rsid w:val="30D432CD"/>
    <w:rsid w:val="30D5B2B5"/>
    <w:rsid w:val="30E058F1"/>
    <w:rsid w:val="30E2E4C1"/>
    <w:rsid w:val="30EF2C79"/>
    <w:rsid w:val="30F2B754"/>
    <w:rsid w:val="30FC1CA4"/>
    <w:rsid w:val="3103801D"/>
    <w:rsid w:val="310FF1CA"/>
    <w:rsid w:val="311765D3"/>
    <w:rsid w:val="311A1B25"/>
    <w:rsid w:val="314D255D"/>
    <w:rsid w:val="3167CBA4"/>
    <w:rsid w:val="317D0D7F"/>
    <w:rsid w:val="3181FDF3"/>
    <w:rsid w:val="31883568"/>
    <w:rsid w:val="318C8A6B"/>
    <w:rsid w:val="319BDB0E"/>
    <w:rsid w:val="31A5D679"/>
    <w:rsid w:val="31A66CE6"/>
    <w:rsid w:val="31A8118F"/>
    <w:rsid w:val="31B6770A"/>
    <w:rsid w:val="31C07EB6"/>
    <w:rsid w:val="31C7D45A"/>
    <w:rsid w:val="31CFB60F"/>
    <w:rsid w:val="31D20080"/>
    <w:rsid w:val="31D810F7"/>
    <w:rsid w:val="31DF0B70"/>
    <w:rsid w:val="31FF4CAB"/>
    <w:rsid w:val="32025BEB"/>
    <w:rsid w:val="320C4394"/>
    <w:rsid w:val="320EC947"/>
    <w:rsid w:val="3212822D"/>
    <w:rsid w:val="32248E00"/>
    <w:rsid w:val="322D63A9"/>
    <w:rsid w:val="322F6C25"/>
    <w:rsid w:val="323984DF"/>
    <w:rsid w:val="3254A160"/>
    <w:rsid w:val="3256D795"/>
    <w:rsid w:val="32674D5A"/>
    <w:rsid w:val="3269A3C4"/>
    <w:rsid w:val="326B5179"/>
    <w:rsid w:val="3283E4E6"/>
    <w:rsid w:val="328D2E3E"/>
    <w:rsid w:val="328F80D3"/>
    <w:rsid w:val="329A3BE7"/>
    <w:rsid w:val="329CF639"/>
    <w:rsid w:val="32A015F3"/>
    <w:rsid w:val="32AD5C9A"/>
    <w:rsid w:val="32B113A4"/>
    <w:rsid w:val="32B99CA3"/>
    <w:rsid w:val="32BBA858"/>
    <w:rsid w:val="32C81FC2"/>
    <w:rsid w:val="32C9C380"/>
    <w:rsid w:val="32CA85ED"/>
    <w:rsid w:val="32D5C2DB"/>
    <w:rsid w:val="32E5E693"/>
    <w:rsid w:val="330023FA"/>
    <w:rsid w:val="33154C97"/>
    <w:rsid w:val="334BC9EE"/>
    <w:rsid w:val="3368BF66"/>
    <w:rsid w:val="336D0B59"/>
    <w:rsid w:val="336D9BAE"/>
    <w:rsid w:val="3375C00E"/>
    <w:rsid w:val="33771599"/>
    <w:rsid w:val="337B79B6"/>
    <w:rsid w:val="337E2C14"/>
    <w:rsid w:val="33843B36"/>
    <w:rsid w:val="3386B6B3"/>
    <w:rsid w:val="3389737B"/>
    <w:rsid w:val="338D768E"/>
    <w:rsid w:val="3399D193"/>
    <w:rsid w:val="339F78A6"/>
    <w:rsid w:val="33A5D780"/>
    <w:rsid w:val="33AD7948"/>
    <w:rsid w:val="33B364FC"/>
    <w:rsid w:val="33B7B199"/>
    <w:rsid w:val="33BF6E66"/>
    <w:rsid w:val="33C085B8"/>
    <w:rsid w:val="33D1016A"/>
    <w:rsid w:val="33DD0A61"/>
    <w:rsid w:val="33EB18D7"/>
    <w:rsid w:val="33EC1604"/>
    <w:rsid w:val="33F869A5"/>
    <w:rsid w:val="340E9EB4"/>
    <w:rsid w:val="34128911"/>
    <w:rsid w:val="341F9847"/>
    <w:rsid w:val="342730E8"/>
    <w:rsid w:val="342B76A3"/>
    <w:rsid w:val="34322060"/>
    <w:rsid w:val="34323F11"/>
    <w:rsid w:val="34383515"/>
    <w:rsid w:val="3449C904"/>
    <w:rsid w:val="3450C4EE"/>
    <w:rsid w:val="345197E2"/>
    <w:rsid w:val="3453A0AD"/>
    <w:rsid w:val="347CB0C4"/>
    <w:rsid w:val="34840591"/>
    <w:rsid w:val="34848751"/>
    <w:rsid w:val="348F3ED9"/>
    <w:rsid w:val="3495CB06"/>
    <w:rsid w:val="34A30056"/>
    <w:rsid w:val="34A65BB0"/>
    <w:rsid w:val="34AAE396"/>
    <w:rsid w:val="34B1ED6F"/>
    <w:rsid w:val="34BD60DD"/>
    <w:rsid w:val="34D945DD"/>
    <w:rsid w:val="34DE99FE"/>
    <w:rsid w:val="34E79D99"/>
    <w:rsid w:val="34E7DA2C"/>
    <w:rsid w:val="34ED1BEC"/>
    <w:rsid w:val="34F723B3"/>
    <w:rsid w:val="34F9C8E9"/>
    <w:rsid w:val="34FD68E4"/>
    <w:rsid w:val="350169E7"/>
    <w:rsid w:val="35033D72"/>
    <w:rsid w:val="350E4E97"/>
    <w:rsid w:val="35241C92"/>
    <w:rsid w:val="3529A770"/>
    <w:rsid w:val="3533BCC2"/>
    <w:rsid w:val="3533E921"/>
    <w:rsid w:val="353E78CE"/>
    <w:rsid w:val="3554B1D5"/>
    <w:rsid w:val="356F5921"/>
    <w:rsid w:val="357043AF"/>
    <w:rsid w:val="35719E9B"/>
    <w:rsid w:val="3575276E"/>
    <w:rsid w:val="358207FB"/>
    <w:rsid w:val="35841343"/>
    <w:rsid w:val="3597A351"/>
    <w:rsid w:val="35A0E337"/>
    <w:rsid w:val="35A2E5EF"/>
    <w:rsid w:val="35A36F95"/>
    <w:rsid w:val="35A4C0C7"/>
    <w:rsid w:val="35AACFFA"/>
    <w:rsid w:val="35B89EAB"/>
    <w:rsid w:val="35B93E04"/>
    <w:rsid w:val="35C0747F"/>
    <w:rsid w:val="35C7B65C"/>
    <w:rsid w:val="35F36AE0"/>
    <w:rsid w:val="35F69527"/>
    <w:rsid w:val="35FA1DDD"/>
    <w:rsid w:val="360420A8"/>
    <w:rsid w:val="361E197F"/>
    <w:rsid w:val="361E360D"/>
    <w:rsid w:val="362428A6"/>
    <w:rsid w:val="36253829"/>
    <w:rsid w:val="3629088A"/>
    <w:rsid w:val="3637E704"/>
    <w:rsid w:val="36433236"/>
    <w:rsid w:val="36516E23"/>
    <w:rsid w:val="36607AC2"/>
    <w:rsid w:val="3664BC7A"/>
    <w:rsid w:val="36668D46"/>
    <w:rsid w:val="366A8955"/>
    <w:rsid w:val="366EF0DE"/>
    <w:rsid w:val="367D55E3"/>
    <w:rsid w:val="36801B51"/>
    <w:rsid w:val="3683C6B1"/>
    <w:rsid w:val="368E9EC4"/>
    <w:rsid w:val="3691F8A0"/>
    <w:rsid w:val="36944E5D"/>
    <w:rsid w:val="369861FA"/>
    <w:rsid w:val="369D3312"/>
    <w:rsid w:val="369DF881"/>
    <w:rsid w:val="36AD985E"/>
    <w:rsid w:val="36B32FFE"/>
    <w:rsid w:val="36B68D8C"/>
    <w:rsid w:val="36BD5219"/>
    <w:rsid w:val="36C7B967"/>
    <w:rsid w:val="36DAD349"/>
    <w:rsid w:val="36E39A67"/>
    <w:rsid w:val="36E8939D"/>
    <w:rsid w:val="36EDDB41"/>
    <w:rsid w:val="36F57635"/>
    <w:rsid w:val="36FDE562"/>
    <w:rsid w:val="370084C4"/>
    <w:rsid w:val="370909A5"/>
    <w:rsid w:val="370CF602"/>
    <w:rsid w:val="370DEFD7"/>
    <w:rsid w:val="3710879F"/>
    <w:rsid w:val="3712930B"/>
    <w:rsid w:val="3713118B"/>
    <w:rsid w:val="3721CA70"/>
    <w:rsid w:val="37271781"/>
    <w:rsid w:val="37271C2E"/>
    <w:rsid w:val="372D4693"/>
    <w:rsid w:val="372E692C"/>
    <w:rsid w:val="37548BF8"/>
    <w:rsid w:val="375A0682"/>
    <w:rsid w:val="376B7B2D"/>
    <w:rsid w:val="376EB80D"/>
    <w:rsid w:val="3770041E"/>
    <w:rsid w:val="3772DD21"/>
    <w:rsid w:val="3791C780"/>
    <w:rsid w:val="3792DFA0"/>
    <w:rsid w:val="3793CF4A"/>
    <w:rsid w:val="37A177DE"/>
    <w:rsid w:val="37AACB1B"/>
    <w:rsid w:val="37C31333"/>
    <w:rsid w:val="37C5E0E8"/>
    <w:rsid w:val="37CD1ACF"/>
    <w:rsid w:val="37CF158B"/>
    <w:rsid w:val="37D90662"/>
    <w:rsid w:val="37E7D484"/>
    <w:rsid w:val="37E806CF"/>
    <w:rsid w:val="37E8F8DC"/>
    <w:rsid w:val="37EEB24C"/>
    <w:rsid w:val="37FA2570"/>
    <w:rsid w:val="37FC1A77"/>
    <w:rsid w:val="3804E6DA"/>
    <w:rsid w:val="3817E961"/>
    <w:rsid w:val="381F30BC"/>
    <w:rsid w:val="382ECD8A"/>
    <w:rsid w:val="383E0FE5"/>
    <w:rsid w:val="383E13C3"/>
    <w:rsid w:val="38439A05"/>
    <w:rsid w:val="3846D30E"/>
    <w:rsid w:val="384F4B4D"/>
    <w:rsid w:val="38554CF4"/>
    <w:rsid w:val="386C5443"/>
    <w:rsid w:val="387FC449"/>
    <w:rsid w:val="389EF31C"/>
    <w:rsid w:val="38A3C445"/>
    <w:rsid w:val="38AF905D"/>
    <w:rsid w:val="38B18F0C"/>
    <w:rsid w:val="38C0739F"/>
    <w:rsid w:val="38C0F98C"/>
    <w:rsid w:val="38C7AA71"/>
    <w:rsid w:val="38C9E086"/>
    <w:rsid w:val="38E8D874"/>
    <w:rsid w:val="38EB3A42"/>
    <w:rsid w:val="38F20337"/>
    <w:rsid w:val="38F49DDD"/>
    <w:rsid w:val="3906451C"/>
    <w:rsid w:val="390BF289"/>
    <w:rsid w:val="39189C0F"/>
    <w:rsid w:val="3918EF7A"/>
    <w:rsid w:val="391E76B0"/>
    <w:rsid w:val="3928C3B6"/>
    <w:rsid w:val="3928D6EF"/>
    <w:rsid w:val="392E3516"/>
    <w:rsid w:val="393225CC"/>
    <w:rsid w:val="39365F44"/>
    <w:rsid w:val="394721DE"/>
    <w:rsid w:val="394D86F7"/>
    <w:rsid w:val="39521946"/>
    <w:rsid w:val="39550711"/>
    <w:rsid w:val="395B91E4"/>
    <w:rsid w:val="3961F93D"/>
    <w:rsid w:val="39688AEB"/>
    <w:rsid w:val="396ACB44"/>
    <w:rsid w:val="39703F41"/>
    <w:rsid w:val="397C704A"/>
    <w:rsid w:val="397E78B3"/>
    <w:rsid w:val="3980A82D"/>
    <w:rsid w:val="398E245E"/>
    <w:rsid w:val="399204EC"/>
    <w:rsid w:val="3995495B"/>
    <w:rsid w:val="399B89FE"/>
    <w:rsid w:val="399E2A4F"/>
    <w:rsid w:val="399FB11E"/>
    <w:rsid w:val="39A21AFB"/>
    <w:rsid w:val="39AE4E93"/>
    <w:rsid w:val="39C42E4E"/>
    <w:rsid w:val="39CCAEF6"/>
    <w:rsid w:val="39E8A03D"/>
    <w:rsid w:val="3A084229"/>
    <w:rsid w:val="3A094AAC"/>
    <w:rsid w:val="3A206EE8"/>
    <w:rsid w:val="3A2FE561"/>
    <w:rsid w:val="3A317CB6"/>
    <w:rsid w:val="3A41DFA1"/>
    <w:rsid w:val="3A4B6739"/>
    <w:rsid w:val="3A4DE124"/>
    <w:rsid w:val="3A4E8F39"/>
    <w:rsid w:val="3A6B6223"/>
    <w:rsid w:val="3A739E9A"/>
    <w:rsid w:val="3A7453B1"/>
    <w:rsid w:val="3A78B7C4"/>
    <w:rsid w:val="3A790BC7"/>
    <w:rsid w:val="3A7DC2F0"/>
    <w:rsid w:val="3A7E4C7A"/>
    <w:rsid w:val="3A7FE33D"/>
    <w:rsid w:val="3A97FF3C"/>
    <w:rsid w:val="3A986327"/>
    <w:rsid w:val="3AA3DCB6"/>
    <w:rsid w:val="3AB4369E"/>
    <w:rsid w:val="3AC10D37"/>
    <w:rsid w:val="3AC8BB54"/>
    <w:rsid w:val="3AC94380"/>
    <w:rsid w:val="3AD8422D"/>
    <w:rsid w:val="3ADD55B7"/>
    <w:rsid w:val="3AEAD15A"/>
    <w:rsid w:val="3AEBCA81"/>
    <w:rsid w:val="3B0452A4"/>
    <w:rsid w:val="3B0B392A"/>
    <w:rsid w:val="3B15D739"/>
    <w:rsid w:val="3B1DD860"/>
    <w:rsid w:val="3B20999E"/>
    <w:rsid w:val="3B33021E"/>
    <w:rsid w:val="3B35B9BB"/>
    <w:rsid w:val="3B59085D"/>
    <w:rsid w:val="3B6036A5"/>
    <w:rsid w:val="3B63601D"/>
    <w:rsid w:val="3B652AEB"/>
    <w:rsid w:val="3B6E65D3"/>
    <w:rsid w:val="3B8DBF19"/>
    <w:rsid w:val="3B8EF6C0"/>
    <w:rsid w:val="3B9278D8"/>
    <w:rsid w:val="3B998913"/>
    <w:rsid w:val="3BA2E477"/>
    <w:rsid w:val="3BBE2806"/>
    <w:rsid w:val="3BC03749"/>
    <w:rsid w:val="3BCDECFB"/>
    <w:rsid w:val="3BE15316"/>
    <w:rsid w:val="3BF1FD4A"/>
    <w:rsid w:val="3BF6796F"/>
    <w:rsid w:val="3C007DC1"/>
    <w:rsid w:val="3C0AE5FB"/>
    <w:rsid w:val="3C1A6B87"/>
    <w:rsid w:val="3C2ED44E"/>
    <w:rsid w:val="3C2FF598"/>
    <w:rsid w:val="3C3587ED"/>
    <w:rsid w:val="3C5F2F85"/>
    <w:rsid w:val="3C625DCC"/>
    <w:rsid w:val="3C627993"/>
    <w:rsid w:val="3C66F8BA"/>
    <w:rsid w:val="3C6AB9CE"/>
    <w:rsid w:val="3C6C76C7"/>
    <w:rsid w:val="3C6E61D6"/>
    <w:rsid w:val="3C6EF055"/>
    <w:rsid w:val="3C84AFE3"/>
    <w:rsid w:val="3C95CB31"/>
    <w:rsid w:val="3C97BB81"/>
    <w:rsid w:val="3CA2FC8C"/>
    <w:rsid w:val="3CA4EFB0"/>
    <w:rsid w:val="3CAADF7B"/>
    <w:rsid w:val="3CBA471D"/>
    <w:rsid w:val="3CC1694F"/>
    <w:rsid w:val="3CCC536D"/>
    <w:rsid w:val="3CD5CECA"/>
    <w:rsid w:val="3CE3AA8F"/>
    <w:rsid w:val="3CF6D4C6"/>
    <w:rsid w:val="3CFBE6A7"/>
    <w:rsid w:val="3D11D36F"/>
    <w:rsid w:val="3D206908"/>
    <w:rsid w:val="3D256DB7"/>
    <w:rsid w:val="3D2A821A"/>
    <w:rsid w:val="3D355974"/>
    <w:rsid w:val="3D382BA3"/>
    <w:rsid w:val="3D3CC6D3"/>
    <w:rsid w:val="3D3FBD46"/>
    <w:rsid w:val="3D623B14"/>
    <w:rsid w:val="3D65467A"/>
    <w:rsid w:val="3D7675DB"/>
    <w:rsid w:val="3D789B47"/>
    <w:rsid w:val="3D8B9B23"/>
    <w:rsid w:val="3D8BD14A"/>
    <w:rsid w:val="3D90E3B4"/>
    <w:rsid w:val="3D91A237"/>
    <w:rsid w:val="3D94DF46"/>
    <w:rsid w:val="3D96F442"/>
    <w:rsid w:val="3DAD8A93"/>
    <w:rsid w:val="3DB03B9F"/>
    <w:rsid w:val="3DC055A6"/>
    <w:rsid w:val="3DD5C5F9"/>
    <w:rsid w:val="3DD994E2"/>
    <w:rsid w:val="3DDBE3BF"/>
    <w:rsid w:val="3DE1EBBF"/>
    <w:rsid w:val="3DE51573"/>
    <w:rsid w:val="3DE79758"/>
    <w:rsid w:val="3DF61B58"/>
    <w:rsid w:val="3E02C888"/>
    <w:rsid w:val="3E201C74"/>
    <w:rsid w:val="3E25503E"/>
    <w:rsid w:val="3E330BB3"/>
    <w:rsid w:val="3E34F684"/>
    <w:rsid w:val="3E42D79D"/>
    <w:rsid w:val="3E573365"/>
    <w:rsid w:val="3E579E3E"/>
    <w:rsid w:val="3E5D2ACD"/>
    <w:rsid w:val="3E69CABB"/>
    <w:rsid w:val="3E938D89"/>
    <w:rsid w:val="3E944A17"/>
    <w:rsid w:val="3E9B2877"/>
    <w:rsid w:val="3EA48BCE"/>
    <w:rsid w:val="3EA6E423"/>
    <w:rsid w:val="3EB5E075"/>
    <w:rsid w:val="3EBC1160"/>
    <w:rsid w:val="3EBFDDE3"/>
    <w:rsid w:val="3EC0F1B2"/>
    <w:rsid w:val="3EC71CCD"/>
    <w:rsid w:val="3ECF2E5B"/>
    <w:rsid w:val="3ED38E54"/>
    <w:rsid w:val="3ED8473F"/>
    <w:rsid w:val="3EF29336"/>
    <w:rsid w:val="3EF69A9B"/>
    <w:rsid w:val="3F013058"/>
    <w:rsid w:val="3F21CFAF"/>
    <w:rsid w:val="3F45FD0F"/>
    <w:rsid w:val="3F5873E3"/>
    <w:rsid w:val="3F5A53B0"/>
    <w:rsid w:val="3F65621E"/>
    <w:rsid w:val="3F6E9A5E"/>
    <w:rsid w:val="3F732178"/>
    <w:rsid w:val="3F810C53"/>
    <w:rsid w:val="3F8B4223"/>
    <w:rsid w:val="3F8E7906"/>
    <w:rsid w:val="3F9D8C36"/>
    <w:rsid w:val="3F9ED173"/>
    <w:rsid w:val="3FA12E23"/>
    <w:rsid w:val="3FAAA92A"/>
    <w:rsid w:val="3FB0CD7A"/>
    <w:rsid w:val="3FBA3CD0"/>
    <w:rsid w:val="3FBDB137"/>
    <w:rsid w:val="3FC4B51F"/>
    <w:rsid w:val="3FC5528F"/>
    <w:rsid w:val="3FC7476F"/>
    <w:rsid w:val="3FDE73BC"/>
    <w:rsid w:val="3FDE8FDF"/>
    <w:rsid w:val="3FDF2C34"/>
    <w:rsid w:val="40127BEA"/>
    <w:rsid w:val="4012E320"/>
    <w:rsid w:val="401DA578"/>
    <w:rsid w:val="4020A04C"/>
    <w:rsid w:val="40215DFE"/>
    <w:rsid w:val="40237B36"/>
    <w:rsid w:val="40349F8C"/>
    <w:rsid w:val="40358377"/>
    <w:rsid w:val="403E4B7C"/>
    <w:rsid w:val="4040E9E7"/>
    <w:rsid w:val="404B7AAA"/>
    <w:rsid w:val="40543FE9"/>
    <w:rsid w:val="405CE9A4"/>
    <w:rsid w:val="4063A5FB"/>
    <w:rsid w:val="406AC9F5"/>
    <w:rsid w:val="40768018"/>
    <w:rsid w:val="40790FA4"/>
    <w:rsid w:val="407E5E70"/>
    <w:rsid w:val="408102C5"/>
    <w:rsid w:val="4081C624"/>
    <w:rsid w:val="408353C3"/>
    <w:rsid w:val="40958BAF"/>
    <w:rsid w:val="409E31F4"/>
    <w:rsid w:val="40A4E365"/>
    <w:rsid w:val="40AAEC59"/>
    <w:rsid w:val="40B48FFC"/>
    <w:rsid w:val="40BA50C0"/>
    <w:rsid w:val="40BF4133"/>
    <w:rsid w:val="40C1C77E"/>
    <w:rsid w:val="40C9BD9B"/>
    <w:rsid w:val="40D03262"/>
    <w:rsid w:val="40DF4BC5"/>
    <w:rsid w:val="40E6774B"/>
    <w:rsid w:val="40F23997"/>
    <w:rsid w:val="410079E0"/>
    <w:rsid w:val="411AA88E"/>
    <w:rsid w:val="412556CF"/>
    <w:rsid w:val="41289235"/>
    <w:rsid w:val="412D18C9"/>
    <w:rsid w:val="4132C9F8"/>
    <w:rsid w:val="413301D0"/>
    <w:rsid w:val="413D336B"/>
    <w:rsid w:val="4143CB34"/>
    <w:rsid w:val="4157862E"/>
    <w:rsid w:val="4157D6E3"/>
    <w:rsid w:val="41620064"/>
    <w:rsid w:val="4164936C"/>
    <w:rsid w:val="4169D433"/>
    <w:rsid w:val="416A5D2F"/>
    <w:rsid w:val="41737D46"/>
    <w:rsid w:val="41801FCA"/>
    <w:rsid w:val="4189289D"/>
    <w:rsid w:val="4191CDA9"/>
    <w:rsid w:val="419EB26A"/>
    <w:rsid w:val="41A092D0"/>
    <w:rsid w:val="41A8C8D3"/>
    <w:rsid w:val="41ACB62E"/>
    <w:rsid w:val="41B72D39"/>
    <w:rsid w:val="41B7F337"/>
    <w:rsid w:val="41BC7DD0"/>
    <w:rsid w:val="41BD2E5F"/>
    <w:rsid w:val="41C17B06"/>
    <w:rsid w:val="41C4F17D"/>
    <w:rsid w:val="41DE2521"/>
    <w:rsid w:val="41F11B1D"/>
    <w:rsid w:val="41F1EFCB"/>
    <w:rsid w:val="41F1FAD1"/>
    <w:rsid w:val="4206346D"/>
    <w:rsid w:val="4208CA97"/>
    <w:rsid w:val="4210714C"/>
    <w:rsid w:val="4215D940"/>
    <w:rsid w:val="4219DC7F"/>
    <w:rsid w:val="421AEE57"/>
    <w:rsid w:val="4229EC62"/>
    <w:rsid w:val="422C6830"/>
    <w:rsid w:val="4230A6EA"/>
    <w:rsid w:val="4233454B"/>
    <w:rsid w:val="42345609"/>
    <w:rsid w:val="4237D47C"/>
    <w:rsid w:val="42407131"/>
    <w:rsid w:val="4247D58E"/>
    <w:rsid w:val="424DFE54"/>
    <w:rsid w:val="425786B4"/>
    <w:rsid w:val="425B060E"/>
    <w:rsid w:val="425E21C5"/>
    <w:rsid w:val="42612047"/>
    <w:rsid w:val="426B933A"/>
    <w:rsid w:val="42792254"/>
    <w:rsid w:val="4279BD1E"/>
    <w:rsid w:val="427BDDCA"/>
    <w:rsid w:val="42973278"/>
    <w:rsid w:val="429AA73A"/>
    <w:rsid w:val="429C8F65"/>
    <w:rsid w:val="42AA2730"/>
    <w:rsid w:val="42CCF2F5"/>
    <w:rsid w:val="42D48E49"/>
    <w:rsid w:val="42D73556"/>
    <w:rsid w:val="42D8DE71"/>
    <w:rsid w:val="42DD0891"/>
    <w:rsid w:val="42E080B6"/>
    <w:rsid w:val="42EE8EAF"/>
    <w:rsid w:val="42F085FA"/>
    <w:rsid w:val="42F0EF6E"/>
    <w:rsid w:val="42F7ABB7"/>
    <w:rsid w:val="42FC83CA"/>
    <w:rsid w:val="4312444E"/>
    <w:rsid w:val="4320AC52"/>
    <w:rsid w:val="4322F33A"/>
    <w:rsid w:val="432677E6"/>
    <w:rsid w:val="4329F099"/>
    <w:rsid w:val="434198C4"/>
    <w:rsid w:val="43468C20"/>
    <w:rsid w:val="435265F2"/>
    <w:rsid w:val="435D89DB"/>
    <w:rsid w:val="4367194A"/>
    <w:rsid w:val="437651F1"/>
    <w:rsid w:val="439761F0"/>
    <w:rsid w:val="439C628E"/>
    <w:rsid w:val="43CE5538"/>
    <w:rsid w:val="43D31B60"/>
    <w:rsid w:val="43DA591D"/>
    <w:rsid w:val="43F429A1"/>
    <w:rsid w:val="44075D28"/>
    <w:rsid w:val="440E9623"/>
    <w:rsid w:val="4415B8C0"/>
    <w:rsid w:val="442923C1"/>
    <w:rsid w:val="442BC441"/>
    <w:rsid w:val="443302B8"/>
    <w:rsid w:val="443818EC"/>
    <w:rsid w:val="443AD096"/>
    <w:rsid w:val="443EA465"/>
    <w:rsid w:val="443FC5EA"/>
    <w:rsid w:val="4442BB42"/>
    <w:rsid w:val="4449FE7C"/>
    <w:rsid w:val="444C4C90"/>
    <w:rsid w:val="445C5C24"/>
    <w:rsid w:val="445E26C5"/>
    <w:rsid w:val="44611B46"/>
    <w:rsid w:val="4461E6F2"/>
    <w:rsid w:val="4465FC16"/>
    <w:rsid w:val="446AA678"/>
    <w:rsid w:val="446B3279"/>
    <w:rsid w:val="446BE52E"/>
    <w:rsid w:val="446FF524"/>
    <w:rsid w:val="4488B773"/>
    <w:rsid w:val="44B02FD1"/>
    <w:rsid w:val="44B53924"/>
    <w:rsid w:val="44B59AB5"/>
    <w:rsid w:val="44B674D8"/>
    <w:rsid w:val="44C7E64B"/>
    <w:rsid w:val="44D0AF9C"/>
    <w:rsid w:val="44D2BA13"/>
    <w:rsid w:val="44D9FDA9"/>
    <w:rsid w:val="44E0A303"/>
    <w:rsid w:val="44E0A3F1"/>
    <w:rsid w:val="450CA4BD"/>
    <w:rsid w:val="45133DCC"/>
    <w:rsid w:val="451C507B"/>
    <w:rsid w:val="451DD308"/>
    <w:rsid w:val="4524A8AE"/>
    <w:rsid w:val="45281266"/>
    <w:rsid w:val="452E0DB0"/>
    <w:rsid w:val="452F93F6"/>
    <w:rsid w:val="45302820"/>
    <w:rsid w:val="45479C9D"/>
    <w:rsid w:val="4548FEF5"/>
    <w:rsid w:val="45506538"/>
    <w:rsid w:val="455F4E87"/>
    <w:rsid w:val="45649670"/>
    <w:rsid w:val="4571E15A"/>
    <w:rsid w:val="45817234"/>
    <w:rsid w:val="458983CB"/>
    <w:rsid w:val="458F9F82"/>
    <w:rsid w:val="459573EF"/>
    <w:rsid w:val="45A128FC"/>
    <w:rsid w:val="45AE94AC"/>
    <w:rsid w:val="45B27022"/>
    <w:rsid w:val="45C82855"/>
    <w:rsid w:val="45D29A1A"/>
    <w:rsid w:val="45D3DE04"/>
    <w:rsid w:val="45F5F020"/>
    <w:rsid w:val="45F7B688"/>
    <w:rsid w:val="46048A2E"/>
    <w:rsid w:val="46180C39"/>
    <w:rsid w:val="461FB719"/>
    <w:rsid w:val="462AC2B6"/>
    <w:rsid w:val="463A5CE4"/>
    <w:rsid w:val="463D399D"/>
    <w:rsid w:val="464314FE"/>
    <w:rsid w:val="464CCF89"/>
    <w:rsid w:val="4651DBCD"/>
    <w:rsid w:val="4652116E"/>
    <w:rsid w:val="46530178"/>
    <w:rsid w:val="466B1A4A"/>
    <w:rsid w:val="466B8F55"/>
    <w:rsid w:val="4682A779"/>
    <w:rsid w:val="46910F08"/>
    <w:rsid w:val="469A3843"/>
    <w:rsid w:val="46D0CFA9"/>
    <w:rsid w:val="46D14681"/>
    <w:rsid w:val="46D6C364"/>
    <w:rsid w:val="46DAB7D9"/>
    <w:rsid w:val="46E1D01B"/>
    <w:rsid w:val="46EADC43"/>
    <w:rsid w:val="46ED44E8"/>
    <w:rsid w:val="46EDA107"/>
    <w:rsid w:val="46F021CF"/>
    <w:rsid w:val="46F453C7"/>
    <w:rsid w:val="46FBCD8F"/>
    <w:rsid w:val="47070A0C"/>
    <w:rsid w:val="471492C0"/>
    <w:rsid w:val="471A8B02"/>
    <w:rsid w:val="471AC49C"/>
    <w:rsid w:val="4725AE89"/>
    <w:rsid w:val="473A5164"/>
    <w:rsid w:val="4745E0C4"/>
    <w:rsid w:val="475678B8"/>
    <w:rsid w:val="476EAB21"/>
    <w:rsid w:val="4776B59F"/>
    <w:rsid w:val="47803907"/>
    <w:rsid w:val="47861119"/>
    <w:rsid w:val="47A3EE5E"/>
    <w:rsid w:val="47A5B274"/>
    <w:rsid w:val="47B388A8"/>
    <w:rsid w:val="47D37B96"/>
    <w:rsid w:val="47E44338"/>
    <w:rsid w:val="47E64751"/>
    <w:rsid w:val="47F65EEF"/>
    <w:rsid w:val="47F92512"/>
    <w:rsid w:val="47FC3112"/>
    <w:rsid w:val="48002151"/>
    <w:rsid w:val="48055563"/>
    <w:rsid w:val="48068EDE"/>
    <w:rsid w:val="480F19E1"/>
    <w:rsid w:val="480F5F37"/>
    <w:rsid w:val="4811B57B"/>
    <w:rsid w:val="4822BC9A"/>
    <w:rsid w:val="482412E9"/>
    <w:rsid w:val="48291DC2"/>
    <w:rsid w:val="48292306"/>
    <w:rsid w:val="48416D6E"/>
    <w:rsid w:val="4845A969"/>
    <w:rsid w:val="486A9AAB"/>
    <w:rsid w:val="4880AD88"/>
    <w:rsid w:val="48923657"/>
    <w:rsid w:val="4892A990"/>
    <w:rsid w:val="4893AC1E"/>
    <w:rsid w:val="4893DCD6"/>
    <w:rsid w:val="48A74AF5"/>
    <w:rsid w:val="48B821AF"/>
    <w:rsid w:val="48BA9C7A"/>
    <w:rsid w:val="48C153C2"/>
    <w:rsid w:val="48D9747E"/>
    <w:rsid w:val="48EC3C65"/>
    <w:rsid w:val="49061C11"/>
    <w:rsid w:val="490673FC"/>
    <w:rsid w:val="49096C25"/>
    <w:rsid w:val="491231D1"/>
    <w:rsid w:val="492D5E32"/>
    <w:rsid w:val="4936295C"/>
    <w:rsid w:val="493B1C83"/>
    <w:rsid w:val="493F738C"/>
    <w:rsid w:val="4945DBAB"/>
    <w:rsid w:val="49475B69"/>
    <w:rsid w:val="4947EED2"/>
    <w:rsid w:val="494D42BA"/>
    <w:rsid w:val="49538374"/>
    <w:rsid w:val="4957639B"/>
    <w:rsid w:val="4962E091"/>
    <w:rsid w:val="496A18FE"/>
    <w:rsid w:val="497BB977"/>
    <w:rsid w:val="497F87B4"/>
    <w:rsid w:val="498093F0"/>
    <w:rsid w:val="4981C4AA"/>
    <w:rsid w:val="49950172"/>
    <w:rsid w:val="4995D4AD"/>
    <w:rsid w:val="499B90FB"/>
    <w:rsid w:val="49ABD00C"/>
    <w:rsid w:val="49AE67F3"/>
    <w:rsid w:val="49AF7E9F"/>
    <w:rsid w:val="49B7A798"/>
    <w:rsid w:val="49C41001"/>
    <w:rsid w:val="49C6014A"/>
    <w:rsid w:val="49C73A80"/>
    <w:rsid w:val="49D54654"/>
    <w:rsid w:val="49D74812"/>
    <w:rsid w:val="49E66909"/>
    <w:rsid w:val="49E8B8C7"/>
    <w:rsid w:val="49E8C7B7"/>
    <w:rsid w:val="49E930E5"/>
    <w:rsid w:val="49EBEE79"/>
    <w:rsid w:val="49EE39CD"/>
    <w:rsid w:val="4A02183D"/>
    <w:rsid w:val="4A0CA0AE"/>
    <w:rsid w:val="4A141A6E"/>
    <w:rsid w:val="4A185153"/>
    <w:rsid w:val="4A225218"/>
    <w:rsid w:val="4A3EDBED"/>
    <w:rsid w:val="4A644B3A"/>
    <w:rsid w:val="4A69B5AF"/>
    <w:rsid w:val="4A71668D"/>
    <w:rsid w:val="4A8B6051"/>
    <w:rsid w:val="4A8C5050"/>
    <w:rsid w:val="4A9FDBE5"/>
    <w:rsid w:val="4AA35B44"/>
    <w:rsid w:val="4AAA5D15"/>
    <w:rsid w:val="4ABC0337"/>
    <w:rsid w:val="4AD98355"/>
    <w:rsid w:val="4ADAC524"/>
    <w:rsid w:val="4B074C2A"/>
    <w:rsid w:val="4B0E489E"/>
    <w:rsid w:val="4B103A43"/>
    <w:rsid w:val="4B15F03F"/>
    <w:rsid w:val="4B33B3C9"/>
    <w:rsid w:val="4B449C60"/>
    <w:rsid w:val="4B5B7971"/>
    <w:rsid w:val="4B5C3655"/>
    <w:rsid w:val="4B64261F"/>
    <w:rsid w:val="4B64BBF3"/>
    <w:rsid w:val="4B79D0E0"/>
    <w:rsid w:val="4B7B35E6"/>
    <w:rsid w:val="4B81E7B1"/>
    <w:rsid w:val="4B8D1B29"/>
    <w:rsid w:val="4BA8B301"/>
    <w:rsid w:val="4BB57ED3"/>
    <w:rsid w:val="4BBF38AD"/>
    <w:rsid w:val="4BC3682F"/>
    <w:rsid w:val="4BC3DEA3"/>
    <w:rsid w:val="4BC932CA"/>
    <w:rsid w:val="4BCB7AFB"/>
    <w:rsid w:val="4BCF4FB5"/>
    <w:rsid w:val="4BD32A3D"/>
    <w:rsid w:val="4BD43FA9"/>
    <w:rsid w:val="4BDADF1F"/>
    <w:rsid w:val="4BDCFA39"/>
    <w:rsid w:val="4BE68E0B"/>
    <w:rsid w:val="4BF1FEAF"/>
    <w:rsid w:val="4BFEB8D3"/>
    <w:rsid w:val="4BFF37DB"/>
    <w:rsid w:val="4BFFA0B8"/>
    <w:rsid w:val="4C02A215"/>
    <w:rsid w:val="4C06588B"/>
    <w:rsid w:val="4C0FE1F3"/>
    <w:rsid w:val="4C16081F"/>
    <w:rsid w:val="4C17F41B"/>
    <w:rsid w:val="4C24EC61"/>
    <w:rsid w:val="4C3BAC46"/>
    <w:rsid w:val="4C3F1630"/>
    <w:rsid w:val="4C45966B"/>
    <w:rsid w:val="4C539903"/>
    <w:rsid w:val="4C56B78F"/>
    <w:rsid w:val="4C5803EF"/>
    <w:rsid w:val="4C622DED"/>
    <w:rsid w:val="4C727959"/>
    <w:rsid w:val="4C738EA0"/>
    <w:rsid w:val="4C77EF77"/>
    <w:rsid w:val="4C81843D"/>
    <w:rsid w:val="4C87D944"/>
    <w:rsid w:val="4C8B47A8"/>
    <w:rsid w:val="4C939BB7"/>
    <w:rsid w:val="4C98BA79"/>
    <w:rsid w:val="4CB1326B"/>
    <w:rsid w:val="4CBB550C"/>
    <w:rsid w:val="4CBDF735"/>
    <w:rsid w:val="4CC2913F"/>
    <w:rsid w:val="4CC5CDB9"/>
    <w:rsid w:val="4CD0DF01"/>
    <w:rsid w:val="4CD6F0BC"/>
    <w:rsid w:val="4CDC9FD3"/>
    <w:rsid w:val="4CE1335A"/>
    <w:rsid w:val="4CE3262C"/>
    <w:rsid w:val="4CE5EDC6"/>
    <w:rsid w:val="4CEB2939"/>
    <w:rsid w:val="4CF59CE1"/>
    <w:rsid w:val="4CF77F22"/>
    <w:rsid w:val="4CFD179A"/>
    <w:rsid w:val="4D1A896D"/>
    <w:rsid w:val="4D28B8A2"/>
    <w:rsid w:val="4D2FBA93"/>
    <w:rsid w:val="4D34091C"/>
    <w:rsid w:val="4D3C0031"/>
    <w:rsid w:val="4D4FAEBF"/>
    <w:rsid w:val="4D5418EA"/>
    <w:rsid w:val="4D7A96E3"/>
    <w:rsid w:val="4D92BE03"/>
    <w:rsid w:val="4D99EE2A"/>
    <w:rsid w:val="4D9C140B"/>
    <w:rsid w:val="4D9C3EB1"/>
    <w:rsid w:val="4DA97A64"/>
    <w:rsid w:val="4DBA81ED"/>
    <w:rsid w:val="4DC42574"/>
    <w:rsid w:val="4DC4B207"/>
    <w:rsid w:val="4DD2ABEB"/>
    <w:rsid w:val="4DD9372A"/>
    <w:rsid w:val="4DDE7494"/>
    <w:rsid w:val="4DDFC9BC"/>
    <w:rsid w:val="4DE132F3"/>
    <w:rsid w:val="4DE3BB2D"/>
    <w:rsid w:val="4DF52FED"/>
    <w:rsid w:val="4DF6D5AB"/>
    <w:rsid w:val="4E02EFC1"/>
    <w:rsid w:val="4E11BB27"/>
    <w:rsid w:val="4E126D65"/>
    <w:rsid w:val="4E34BB6D"/>
    <w:rsid w:val="4E3D4CD0"/>
    <w:rsid w:val="4E419AD6"/>
    <w:rsid w:val="4E525C79"/>
    <w:rsid w:val="4E5A6604"/>
    <w:rsid w:val="4E5D2353"/>
    <w:rsid w:val="4E6483A5"/>
    <w:rsid w:val="4E76DD3E"/>
    <w:rsid w:val="4E7786BD"/>
    <w:rsid w:val="4E77AEB3"/>
    <w:rsid w:val="4E7A0B71"/>
    <w:rsid w:val="4E7B5D8B"/>
    <w:rsid w:val="4E7B6D0A"/>
    <w:rsid w:val="4E8A4C28"/>
    <w:rsid w:val="4E92422B"/>
    <w:rsid w:val="4E969499"/>
    <w:rsid w:val="4EB21FA6"/>
    <w:rsid w:val="4EB2FADD"/>
    <w:rsid w:val="4EBADCFD"/>
    <w:rsid w:val="4EBCD9AB"/>
    <w:rsid w:val="4ED717B8"/>
    <w:rsid w:val="4ED9D64F"/>
    <w:rsid w:val="4EEA6994"/>
    <w:rsid w:val="4F07B429"/>
    <w:rsid w:val="4F1DB7B6"/>
    <w:rsid w:val="4F2C1586"/>
    <w:rsid w:val="4F40A124"/>
    <w:rsid w:val="4F415382"/>
    <w:rsid w:val="4F42D56D"/>
    <w:rsid w:val="4F44D7B0"/>
    <w:rsid w:val="4F498F19"/>
    <w:rsid w:val="4F4F6980"/>
    <w:rsid w:val="4F4FE152"/>
    <w:rsid w:val="4F541041"/>
    <w:rsid w:val="4F59F5AA"/>
    <w:rsid w:val="4F62F70D"/>
    <w:rsid w:val="4F72B67A"/>
    <w:rsid w:val="4F734F34"/>
    <w:rsid w:val="4F7D5C36"/>
    <w:rsid w:val="4F871A33"/>
    <w:rsid w:val="4F998E20"/>
    <w:rsid w:val="4F9A3047"/>
    <w:rsid w:val="4F9C9C5F"/>
    <w:rsid w:val="4FA37456"/>
    <w:rsid w:val="4FA6A3D4"/>
    <w:rsid w:val="4FAB686F"/>
    <w:rsid w:val="4FAC7B14"/>
    <w:rsid w:val="4FB0223D"/>
    <w:rsid w:val="4FBA19D8"/>
    <w:rsid w:val="4FBC8FAC"/>
    <w:rsid w:val="4FBF7E74"/>
    <w:rsid w:val="4FC32C6F"/>
    <w:rsid w:val="4FC50CA6"/>
    <w:rsid w:val="4FDD7867"/>
    <w:rsid w:val="4FE9456C"/>
    <w:rsid w:val="5008CFBF"/>
    <w:rsid w:val="500CEDD0"/>
    <w:rsid w:val="500F2D79"/>
    <w:rsid w:val="5016CADF"/>
    <w:rsid w:val="501A9A49"/>
    <w:rsid w:val="502D4C0C"/>
    <w:rsid w:val="502E9B0A"/>
    <w:rsid w:val="50319019"/>
    <w:rsid w:val="503371AC"/>
    <w:rsid w:val="50406E0B"/>
    <w:rsid w:val="50431C5E"/>
    <w:rsid w:val="504DACD3"/>
    <w:rsid w:val="505E87BB"/>
    <w:rsid w:val="5062615D"/>
    <w:rsid w:val="50670D2B"/>
    <w:rsid w:val="50715775"/>
    <w:rsid w:val="5072037A"/>
    <w:rsid w:val="507BD945"/>
    <w:rsid w:val="50837CD1"/>
    <w:rsid w:val="508C684E"/>
    <w:rsid w:val="508F3110"/>
    <w:rsid w:val="50921424"/>
    <w:rsid w:val="5094A5D0"/>
    <w:rsid w:val="50A0F618"/>
    <w:rsid w:val="50B0D3B5"/>
    <w:rsid w:val="50D38E4A"/>
    <w:rsid w:val="50D4B3BA"/>
    <w:rsid w:val="50D73902"/>
    <w:rsid w:val="50DE697B"/>
    <w:rsid w:val="50E21246"/>
    <w:rsid w:val="50E6BBF4"/>
    <w:rsid w:val="50FE74CB"/>
    <w:rsid w:val="510D3AF7"/>
    <w:rsid w:val="510E4F19"/>
    <w:rsid w:val="511A6D8A"/>
    <w:rsid w:val="511B56C9"/>
    <w:rsid w:val="5131C463"/>
    <w:rsid w:val="513CB282"/>
    <w:rsid w:val="51483909"/>
    <w:rsid w:val="5163A081"/>
    <w:rsid w:val="51670CCE"/>
    <w:rsid w:val="517A5DDC"/>
    <w:rsid w:val="51828248"/>
    <w:rsid w:val="5189937F"/>
    <w:rsid w:val="518E525D"/>
    <w:rsid w:val="51904DC0"/>
    <w:rsid w:val="51937BDB"/>
    <w:rsid w:val="51A21CFA"/>
    <w:rsid w:val="51A71D80"/>
    <w:rsid w:val="51B44974"/>
    <w:rsid w:val="51B9AA3C"/>
    <w:rsid w:val="51B9E8A0"/>
    <w:rsid w:val="51C54C43"/>
    <w:rsid w:val="51C8B8A2"/>
    <w:rsid w:val="51CE27DF"/>
    <w:rsid w:val="51DCB376"/>
    <w:rsid w:val="51E6A307"/>
    <w:rsid w:val="51EDB77A"/>
    <w:rsid w:val="51F7727D"/>
    <w:rsid w:val="520BCA7D"/>
    <w:rsid w:val="520CBC53"/>
    <w:rsid w:val="5211B692"/>
    <w:rsid w:val="521872F4"/>
    <w:rsid w:val="5218798B"/>
    <w:rsid w:val="52268D34"/>
    <w:rsid w:val="5228F405"/>
    <w:rsid w:val="522B0171"/>
    <w:rsid w:val="523D87C8"/>
    <w:rsid w:val="5248A7A3"/>
    <w:rsid w:val="525326D8"/>
    <w:rsid w:val="5256C8E1"/>
    <w:rsid w:val="525C4F67"/>
    <w:rsid w:val="52611510"/>
    <w:rsid w:val="526AB9DA"/>
    <w:rsid w:val="528B6691"/>
    <w:rsid w:val="52AC5104"/>
    <w:rsid w:val="52B51D1E"/>
    <w:rsid w:val="52C77BEF"/>
    <w:rsid w:val="52CD9C0E"/>
    <w:rsid w:val="52D3CDA6"/>
    <w:rsid w:val="52D85291"/>
    <w:rsid w:val="52E4CBFE"/>
    <w:rsid w:val="53042B13"/>
    <w:rsid w:val="5304ADCF"/>
    <w:rsid w:val="530D5960"/>
    <w:rsid w:val="53176DE1"/>
    <w:rsid w:val="5320BCA2"/>
    <w:rsid w:val="53288978"/>
    <w:rsid w:val="532E3321"/>
    <w:rsid w:val="5344F45E"/>
    <w:rsid w:val="53470B63"/>
    <w:rsid w:val="5348B2F9"/>
    <w:rsid w:val="534C9028"/>
    <w:rsid w:val="534CF602"/>
    <w:rsid w:val="534E6A6B"/>
    <w:rsid w:val="535CB72E"/>
    <w:rsid w:val="53650B28"/>
    <w:rsid w:val="5369BA03"/>
    <w:rsid w:val="536F18FA"/>
    <w:rsid w:val="5382725B"/>
    <w:rsid w:val="5384279A"/>
    <w:rsid w:val="539A2F2A"/>
    <w:rsid w:val="539A7CF9"/>
    <w:rsid w:val="53A0657D"/>
    <w:rsid w:val="53A1A14E"/>
    <w:rsid w:val="53A44EDD"/>
    <w:rsid w:val="53ACA75F"/>
    <w:rsid w:val="53B005FB"/>
    <w:rsid w:val="53B084CB"/>
    <w:rsid w:val="53B6804F"/>
    <w:rsid w:val="53BDB254"/>
    <w:rsid w:val="53DB7C0D"/>
    <w:rsid w:val="53DDB6B2"/>
    <w:rsid w:val="53E7190F"/>
    <w:rsid w:val="53E85293"/>
    <w:rsid w:val="53EC6A06"/>
    <w:rsid w:val="540A0023"/>
    <w:rsid w:val="5414F271"/>
    <w:rsid w:val="5419964F"/>
    <w:rsid w:val="54221AE0"/>
    <w:rsid w:val="5425F8E7"/>
    <w:rsid w:val="5429071D"/>
    <w:rsid w:val="5445EFDB"/>
    <w:rsid w:val="54465D13"/>
    <w:rsid w:val="544CD7C5"/>
    <w:rsid w:val="544EE025"/>
    <w:rsid w:val="544FB8F9"/>
    <w:rsid w:val="54587C0E"/>
    <w:rsid w:val="546A12C4"/>
    <w:rsid w:val="546BC939"/>
    <w:rsid w:val="546C5B96"/>
    <w:rsid w:val="546D503B"/>
    <w:rsid w:val="546D7370"/>
    <w:rsid w:val="54771C62"/>
    <w:rsid w:val="547E7456"/>
    <w:rsid w:val="5480CE9E"/>
    <w:rsid w:val="54851245"/>
    <w:rsid w:val="5486A258"/>
    <w:rsid w:val="548B555C"/>
    <w:rsid w:val="548E3716"/>
    <w:rsid w:val="548FA461"/>
    <w:rsid w:val="54923E81"/>
    <w:rsid w:val="54BD72CD"/>
    <w:rsid w:val="54CB0581"/>
    <w:rsid w:val="54DEBB09"/>
    <w:rsid w:val="54EF80F9"/>
    <w:rsid w:val="54F0EFD9"/>
    <w:rsid w:val="550988CF"/>
    <w:rsid w:val="551689E3"/>
    <w:rsid w:val="55177815"/>
    <w:rsid w:val="551A01E7"/>
    <w:rsid w:val="551C1318"/>
    <w:rsid w:val="551E8934"/>
    <w:rsid w:val="5542D3EF"/>
    <w:rsid w:val="555E1EEE"/>
    <w:rsid w:val="5562BF0B"/>
    <w:rsid w:val="556353D6"/>
    <w:rsid w:val="55704A4B"/>
    <w:rsid w:val="5577CB81"/>
    <w:rsid w:val="5584E111"/>
    <w:rsid w:val="5585F107"/>
    <w:rsid w:val="558CBD8C"/>
    <w:rsid w:val="558DD710"/>
    <w:rsid w:val="558F2C4C"/>
    <w:rsid w:val="5591961E"/>
    <w:rsid w:val="559563D5"/>
    <w:rsid w:val="559ED3C3"/>
    <w:rsid w:val="55A50FE7"/>
    <w:rsid w:val="55A70BD0"/>
    <w:rsid w:val="55B04BDB"/>
    <w:rsid w:val="55BFB67E"/>
    <w:rsid w:val="55C8687B"/>
    <w:rsid w:val="55C8A270"/>
    <w:rsid w:val="55C8F480"/>
    <w:rsid w:val="55C9C2DC"/>
    <w:rsid w:val="55D0CCD1"/>
    <w:rsid w:val="55E05DEC"/>
    <w:rsid w:val="55EC1312"/>
    <w:rsid w:val="55EC772B"/>
    <w:rsid w:val="55EF8FF8"/>
    <w:rsid w:val="55F5F592"/>
    <w:rsid w:val="55FB54A5"/>
    <w:rsid w:val="5601D65D"/>
    <w:rsid w:val="5607F6A7"/>
    <w:rsid w:val="560D2E2E"/>
    <w:rsid w:val="560E2DC0"/>
    <w:rsid w:val="56152AA0"/>
    <w:rsid w:val="562A22DB"/>
    <w:rsid w:val="562F1A23"/>
    <w:rsid w:val="5633C24F"/>
    <w:rsid w:val="56346BFD"/>
    <w:rsid w:val="56361FE9"/>
    <w:rsid w:val="56507096"/>
    <w:rsid w:val="56643900"/>
    <w:rsid w:val="56B9CA6E"/>
    <w:rsid w:val="56BB1F93"/>
    <w:rsid w:val="56BC84CD"/>
    <w:rsid w:val="56BFB35E"/>
    <w:rsid w:val="56C5E162"/>
    <w:rsid w:val="56DCDE75"/>
    <w:rsid w:val="56E5820B"/>
    <w:rsid w:val="56ED371E"/>
    <w:rsid w:val="56F43872"/>
    <w:rsid w:val="56F7DBC5"/>
    <w:rsid w:val="56FD99C0"/>
    <w:rsid w:val="571F4124"/>
    <w:rsid w:val="5723EC0C"/>
    <w:rsid w:val="5750C2BD"/>
    <w:rsid w:val="575362AC"/>
    <w:rsid w:val="5758A264"/>
    <w:rsid w:val="575D10D9"/>
    <w:rsid w:val="575E0147"/>
    <w:rsid w:val="5773B740"/>
    <w:rsid w:val="5775DC90"/>
    <w:rsid w:val="5777E629"/>
    <w:rsid w:val="577C52AE"/>
    <w:rsid w:val="577C651A"/>
    <w:rsid w:val="57815DE2"/>
    <w:rsid w:val="57B2E843"/>
    <w:rsid w:val="57EDE1F7"/>
    <w:rsid w:val="5804AEF5"/>
    <w:rsid w:val="58086C66"/>
    <w:rsid w:val="5809AD13"/>
    <w:rsid w:val="58335762"/>
    <w:rsid w:val="584C8B7D"/>
    <w:rsid w:val="58635E98"/>
    <w:rsid w:val="58638D94"/>
    <w:rsid w:val="5863C476"/>
    <w:rsid w:val="58641C2F"/>
    <w:rsid w:val="586433A0"/>
    <w:rsid w:val="5871C1AA"/>
    <w:rsid w:val="587DC478"/>
    <w:rsid w:val="5882A2DF"/>
    <w:rsid w:val="5890D9A2"/>
    <w:rsid w:val="5892C852"/>
    <w:rsid w:val="589684ED"/>
    <w:rsid w:val="589B8234"/>
    <w:rsid w:val="58A46112"/>
    <w:rsid w:val="58AB7DE0"/>
    <w:rsid w:val="58ABD791"/>
    <w:rsid w:val="58B3F705"/>
    <w:rsid w:val="58C53575"/>
    <w:rsid w:val="58DC2141"/>
    <w:rsid w:val="58E6BE97"/>
    <w:rsid w:val="58EADA45"/>
    <w:rsid w:val="58EC334F"/>
    <w:rsid w:val="58FCA3A1"/>
    <w:rsid w:val="590CF4A3"/>
    <w:rsid w:val="5913B68A"/>
    <w:rsid w:val="591D9260"/>
    <w:rsid w:val="5928DD0D"/>
    <w:rsid w:val="5951AF45"/>
    <w:rsid w:val="595BC635"/>
    <w:rsid w:val="59678308"/>
    <w:rsid w:val="5968C6B2"/>
    <w:rsid w:val="5969FED0"/>
    <w:rsid w:val="596B7790"/>
    <w:rsid w:val="5974C7E9"/>
    <w:rsid w:val="5989ADA5"/>
    <w:rsid w:val="598A5869"/>
    <w:rsid w:val="5990C1DE"/>
    <w:rsid w:val="59947765"/>
    <w:rsid w:val="599D6134"/>
    <w:rsid w:val="599EA228"/>
    <w:rsid w:val="59D26322"/>
    <w:rsid w:val="59D459D4"/>
    <w:rsid w:val="59EAB4F5"/>
    <w:rsid w:val="59F0EE52"/>
    <w:rsid w:val="59F8D590"/>
    <w:rsid w:val="59FA5FA9"/>
    <w:rsid w:val="5A030617"/>
    <w:rsid w:val="5A0F3F7A"/>
    <w:rsid w:val="5A115DDE"/>
    <w:rsid w:val="5A173DD3"/>
    <w:rsid w:val="5A28E0FE"/>
    <w:rsid w:val="5A2A1719"/>
    <w:rsid w:val="5A31C242"/>
    <w:rsid w:val="5A3939E8"/>
    <w:rsid w:val="5A4DF93A"/>
    <w:rsid w:val="5A59569F"/>
    <w:rsid w:val="5A60F153"/>
    <w:rsid w:val="5A6585C0"/>
    <w:rsid w:val="5A6919D7"/>
    <w:rsid w:val="5A6FAAEB"/>
    <w:rsid w:val="5A7625C9"/>
    <w:rsid w:val="5A7E0440"/>
    <w:rsid w:val="5A8B3A62"/>
    <w:rsid w:val="5A8BE679"/>
    <w:rsid w:val="5A965E8E"/>
    <w:rsid w:val="5AA79965"/>
    <w:rsid w:val="5ABF9741"/>
    <w:rsid w:val="5AE1A8AF"/>
    <w:rsid w:val="5AE25E1F"/>
    <w:rsid w:val="5AEC9D79"/>
    <w:rsid w:val="5AF86A77"/>
    <w:rsid w:val="5AFC51D9"/>
    <w:rsid w:val="5AFF9EC9"/>
    <w:rsid w:val="5B03AF15"/>
    <w:rsid w:val="5B0F6567"/>
    <w:rsid w:val="5B273A81"/>
    <w:rsid w:val="5B2755C4"/>
    <w:rsid w:val="5B2B2EE4"/>
    <w:rsid w:val="5B323183"/>
    <w:rsid w:val="5B43D695"/>
    <w:rsid w:val="5B45C56B"/>
    <w:rsid w:val="5B4CBA8A"/>
    <w:rsid w:val="5B4CFF8B"/>
    <w:rsid w:val="5B5C48E1"/>
    <w:rsid w:val="5B6007F9"/>
    <w:rsid w:val="5B747C74"/>
    <w:rsid w:val="5B7DE65F"/>
    <w:rsid w:val="5B805393"/>
    <w:rsid w:val="5B84E49B"/>
    <w:rsid w:val="5B8602A2"/>
    <w:rsid w:val="5B871F76"/>
    <w:rsid w:val="5B9DAE4A"/>
    <w:rsid w:val="5BA860E1"/>
    <w:rsid w:val="5BBFF845"/>
    <w:rsid w:val="5BC60CA0"/>
    <w:rsid w:val="5BC6A387"/>
    <w:rsid w:val="5BC80176"/>
    <w:rsid w:val="5BCDBE2D"/>
    <w:rsid w:val="5BD4116A"/>
    <w:rsid w:val="5BD87EB5"/>
    <w:rsid w:val="5BDCDCE4"/>
    <w:rsid w:val="5BF32281"/>
    <w:rsid w:val="5C0455F1"/>
    <w:rsid w:val="5C1D3F98"/>
    <w:rsid w:val="5C1F20FD"/>
    <w:rsid w:val="5C243977"/>
    <w:rsid w:val="5C4DAA0C"/>
    <w:rsid w:val="5C5285D1"/>
    <w:rsid w:val="5C76736B"/>
    <w:rsid w:val="5C86585C"/>
    <w:rsid w:val="5C93059F"/>
    <w:rsid w:val="5CA09C45"/>
    <w:rsid w:val="5CAC23DA"/>
    <w:rsid w:val="5CB53B86"/>
    <w:rsid w:val="5CBB0904"/>
    <w:rsid w:val="5CBD0CA8"/>
    <w:rsid w:val="5CC1A0FC"/>
    <w:rsid w:val="5CC6F8E5"/>
    <w:rsid w:val="5CC90F1B"/>
    <w:rsid w:val="5CD41A76"/>
    <w:rsid w:val="5CDF129E"/>
    <w:rsid w:val="5CE7BD07"/>
    <w:rsid w:val="5CFB56A0"/>
    <w:rsid w:val="5D0DEAA7"/>
    <w:rsid w:val="5D132424"/>
    <w:rsid w:val="5D29A73F"/>
    <w:rsid w:val="5D2A326E"/>
    <w:rsid w:val="5D2ED31E"/>
    <w:rsid w:val="5D2F9400"/>
    <w:rsid w:val="5D3598C2"/>
    <w:rsid w:val="5D3BB660"/>
    <w:rsid w:val="5D3F751B"/>
    <w:rsid w:val="5D440862"/>
    <w:rsid w:val="5D5930AE"/>
    <w:rsid w:val="5D5BD680"/>
    <w:rsid w:val="5D61BF0A"/>
    <w:rsid w:val="5D773DD2"/>
    <w:rsid w:val="5D849CD7"/>
    <w:rsid w:val="5D85F20F"/>
    <w:rsid w:val="5D86E872"/>
    <w:rsid w:val="5D8874AF"/>
    <w:rsid w:val="5D9050DA"/>
    <w:rsid w:val="5D93EDA4"/>
    <w:rsid w:val="5D9F2EB3"/>
    <w:rsid w:val="5DA25E5D"/>
    <w:rsid w:val="5DB21152"/>
    <w:rsid w:val="5DB6B62E"/>
    <w:rsid w:val="5DB74EDC"/>
    <w:rsid w:val="5DBA7B1B"/>
    <w:rsid w:val="5DBFBD8F"/>
    <w:rsid w:val="5DC534D9"/>
    <w:rsid w:val="5DC61F08"/>
    <w:rsid w:val="5DC66AB9"/>
    <w:rsid w:val="5DCAD1F9"/>
    <w:rsid w:val="5DCB21CE"/>
    <w:rsid w:val="5DCBE035"/>
    <w:rsid w:val="5DD09301"/>
    <w:rsid w:val="5DDD09C0"/>
    <w:rsid w:val="5DE4CFC7"/>
    <w:rsid w:val="5DEF546C"/>
    <w:rsid w:val="5DF8A0D8"/>
    <w:rsid w:val="5E02DFA0"/>
    <w:rsid w:val="5E09016A"/>
    <w:rsid w:val="5E154477"/>
    <w:rsid w:val="5E1C7F96"/>
    <w:rsid w:val="5E45F42A"/>
    <w:rsid w:val="5E48AF1B"/>
    <w:rsid w:val="5E4DA0EB"/>
    <w:rsid w:val="5E4EC02B"/>
    <w:rsid w:val="5E55EEFB"/>
    <w:rsid w:val="5E5713A4"/>
    <w:rsid w:val="5E680FD1"/>
    <w:rsid w:val="5E705E3A"/>
    <w:rsid w:val="5E729181"/>
    <w:rsid w:val="5E72EE2C"/>
    <w:rsid w:val="5E7AC602"/>
    <w:rsid w:val="5E98633A"/>
    <w:rsid w:val="5E9DE6BF"/>
    <w:rsid w:val="5EA79F72"/>
    <w:rsid w:val="5EAAE639"/>
    <w:rsid w:val="5EBBC8FA"/>
    <w:rsid w:val="5EBC64AE"/>
    <w:rsid w:val="5EC19C3D"/>
    <w:rsid w:val="5EC22E30"/>
    <w:rsid w:val="5EC83B07"/>
    <w:rsid w:val="5ECC9BF7"/>
    <w:rsid w:val="5ECEFC92"/>
    <w:rsid w:val="5EDC8259"/>
    <w:rsid w:val="5EEC5968"/>
    <w:rsid w:val="5EFDECFF"/>
    <w:rsid w:val="5EFE0BEA"/>
    <w:rsid w:val="5F06B61F"/>
    <w:rsid w:val="5F1096CE"/>
    <w:rsid w:val="5F1351C3"/>
    <w:rsid w:val="5F1837F5"/>
    <w:rsid w:val="5F2BE35F"/>
    <w:rsid w:val="5F2C09BA"/>
    <w:rsid w:val="5F43DA71"/>
    <w:rsid w:val="5F4E889E"/>
    <w:rsid w:val="5F521CAD"/>
    <w:rsid w:val="5F52F5FB"/>
    <w:rsid w:val="5F55B359"/>
    <w:rsid w:val="5F63F8D6"/>
    <w:rsid w:val="5F752E81"/>
    <w:rsid w:val="5F7E1BC4"/>
    <w:rsid w:val="5F7E4F39"/>
    <w:rsid w:val="5F97A1E7"/>
    <w:rsid w:val="5FA28C3B"/>
    <w:rsid w:val="5FAC910F"/>
    <w:rsid w:val="5FAE59B7"/>
    <w:rsid w:val="5FAEF148"/>
    <w:rsid w:val="5FBA19B8"/>
    <w:rsid w:val="5FBE2928"/>
    <w:rsid w:val="5FC8C68C"/>
    <w:rsid w:val="5FCB71A1"/>
    <w:rsid w:val="5FE8856D"/>
    <w:rsid w:val="5FEF112A"/>
    <w:rsid w:val="5FF5EF21"/>
    <w:rsid w:val="5FF74535"/>
    <w:rsid w:val="5FFF314F"/>
    <w:rsid w:val="600511CB"/>
    <w:rsid w:val="60180803"/>
    <w:rsid w:val="601EEA11"/>
    <w:rsid w:val="6031FA48"/>
    <w:rsid w:val="60352AB8"/>
    <w:rsid w:val="604B97B0"/>
    <w:rsid w:val="60568021"/>
    <w:rsid w:val="605744F8"/>
    <w:rsid w:val="605ABABE"/>
    <w:rsid w:val="606673E0"/>
    <w:rsid w:val="606B429F"/>
    <w:rsid w:val="606C524A"/>
    <w:rsid w:val="60742E51"/>
    <w:rsid w:val="60762C49"/>
    <w:rsid w:val="6081540A"/>
    <w:rsid w:val="609236B9"/>
    <w:rsid w:val="6097B5FC"/>
    <w:rsid w:val="60A088EC"/>
    <w:rsid w:val="60AD03B9"/>
    <w:rsid w:val="60AE593A"/>
    <w:rsid w:val="60BC7A38"/>
    <w:rsid w:val="60C20795"/>
    <w:rsid w:val="60C9CBB6"/>
    <w:rsid w:val="60CC12AC"/>
    <w:rsid w:val="60D95935"/>
    <w:rsid w:val="60D9A368"/>
    <w:rsid w:val="60E4C47E"/>
    <w:rsid w:val="60E57AE2"/>
    <w:rsid w:val="60E7F241"/>
    <w:rsid w:val="60E9B214"/>
    <w:rsid w:val="60EBFEAA"/>
    <w:rsid w:val="60FFD256"/>
    <w:rsid w:val="6102A9FD"/>
    <w:rsid w:val="6109C2C1"/>
    <w:rsid w:val="61194E42"/>
    <w:rsid w:val="611AD996"/>
    <w:rsid w:val="611CF1BD"/>
    <w:rsid w:val="613DB18D"/>
    <w:rsid w:val="613F65A4"/>
    <w:rsid w:val="6142061C"/>
    <w:rsid w:val="61431506"/>
    <w:rsid w:val="6146CEC4"/>
    <w:rsid w:val="614F9771"/>
    <w:rsid w:val="615B5C04"/>
    <w:rsid w:val="6168A57B"/>
    <w:rsid w:val="616C94B9"/>
    <w:rsid w:val="616D4760"/>
    <w:rsid w:val="617D8138"/>
    <w:rsid w:val="6189E167"/>
    <w:rsid w:val="618F237E"/>
    <w:rsid w:val="618F6314"/>
    <w:rsid w:val="6192C161"/>
    <w:rsid w:val="619EC026"/>
    <w:rsid w:val="619F95C2"/>
    <w:rsid w:val="61A3F9B0"/>
    <w:rsid w:val="61A421D6"/>
    <w:rsid w:val="61A9BFCF"/>
    <w:rsid w:val="61ACB313"/>
    <w:rsid w:val="61C14867"/>
    <w:rsid w:val="61D8F7CA"/>
    <w:rsid w:val="61DD7507"/>
    <w:rsid w:val="61E2B5DE"/>
    <w:rsid w:val="61F5AF5A"/>
    <w:rsid w:val="61F5BA9B"/>
    <w:rsid w:val="6209ACF8"/>
    <w:rsid w:val="620CB888"/>
    <w:rsid w:val="621BA6D8"/>
    <w:rsid w:val="622AF4BE"/>
    <w:rsid w:val="622AF8B0"/>
    <w:rsid w:val="622D4F1B"/>
    <w:rsid w:val="62358350"/>
    <w:rsid w:val="62367127"/>
    <w:rsid w:val="623DB219"/>
    <w:rsid w:val="624B06DE"/>
    <w:rsid w:val="62557498"/>
    <w:rsid w:val="625DF631"/>
    <w:rsid w:val="626B2C33"/>
    <w:rsid w:val="626B9B33"/>
    <w:rsid w:val="626F7629"/>
    <w:rsid w:val="627B38BD"/>
    <w:rsid w:val="629137D0"/>
    <w:rsid w:val="629CBE9C"/>
    <w:rsid w:val="629F74F7"/>
    <w:rsid w:val="62C2256D"/>
    <w:rsid w:val="62EBF269"/>
    <w:rsid w:val="62F2662E"/>
    <w:rsid w:val="6300991A"/>
    <w:rsid w:val="6303B6E8"/>
    <w:rsid w:val="6309CA9F"/>
    <w:rsid w:val="630D34D9"/>
    <w:rsid w:val="631C4B9F"/>
    <w:rsid w:val="631F8998"/>
    <w:rsid w:val="631FFE18"/>
    <w:rsid w:val="6321120E"/>
    <w:rsid w:val="632DBE48"/>
    <w:rsid w:val="632E610C"/>
    <w:rsid w:val="634DB98D"/>
    <w:rsid w:val="635894A5"/>
    <w:rsid w:val="63644CD6"/>
    <w:rsid w:val="63689F44"/>
    <w:rsid w:val="6369A0FC"/>
    <w:rsid w:val="63747748"/>
    <w:rsid w:val="637B54C7"/>
    <w:rsid w:val="63806E4C"/>
    <w:rsid w:val="63895340"/>
    <w:rsid w:val="638FB77F"/>
    <w:rsid w:val="63939766"/>
    <w:rsid w:val="6393B2B3"/>
    <w:rsid w:val="639C00B1"/>
    <w:rsid w:val="63A6B24D"/>
    <w:rsid w:val="63AF2F77"/>
    <w:rsid w:val="63B5BF66"/>
    <w:rsid w:val="63BC7833"/>
    <w:rsid w:val="63C06693"/>
    <w:rsid w:val="63C07A6C"/>
    <w:rsid w:val="63C71C72"/>
    <w:rsid w:val="63D1C1C3"/>
    <w:rsid w:val="63D7CD5F"/>
    <w:rsid w:val="63DC6367"/>
    <w:rsid w:val="63F146DA"/>
    <w:rsid w:val="6403EF21"/>
    <w:rsid w:val="640D7418"/>
    <w:rsid w:val="640F08D2"/>
    <w:rsid w:val="6414F400"/>
    <w:rsid w:val="6421278B"/>
    <w:rsid w:val="6427608F"/>
    <w:rsid w:val="642D0F1F"/>
    <w:rsid w:val="64395E47"/>
    <w:rsid w:val="6451E6D8"/>
    <w:rsid w:val="64566931"/>
    <w:rsid w:val="6463EE5C"/>
    <w:rsid w:val="646CEB05"/>
    <w:rsid w:val="646DA7B3"/>
    <w:rsid w:val="6473D2A1"/>
    <w:rsid w:val="64790FB5"/>
    <w:rsid w:val="648E62C3"/>
    <w:rsid w:val="6494432B"/>
    <w:rsid w:val="64950AAE"/>
    <w:rsid w:val="64962EE4"/>
    <w:rsid w:val="649773BC"/>
    <w:rsid w:val="649896D8"/>
    <w:rsid w:val="649B0313"/>
    <w:rsid w:val="649F11B4"/>
    <w:rsid w:val="64A5B541"/>
    <w:rsid w:val="64B19AF8"/>
    <w:rsid w:val="64B88F12"/>
    <w:rsid w:val="64B9EDA0"/>
    <w:rsid w:val="64BD52A9"/>
    <w:rsid w:val="64C990F2"/>
    <w:rsid w:val="64D2BF05"/>
    <w:rsid w:val="64DF53F5"/>
    <w:rsid w:val="64F94876"/>
    <w:rsid w:val="64FA002E"/>
    <w:rsid w:val="64FDAB63"/>
    <w:rsid w:val="65010DAD"/>
    <w:rsid w:val="650609E7"/>
    <w:rsid w:val="65148B43"/>
    <w:rsid w:val="652F67C7"/>
    <w:rsid w:val="652F78A3"/>
    <w:rsid w:val="653A24F4"/>
    <w:rsid w:val="653E7F90"/>
    <w:rsid w:val="6541A630"/>
    <w:rsid w:val="6544C6E6"/>
    <w:rsid w:val="654E242B"/>
    <w:rsid w:val="6551413C"/>
    <w:rsid w:val="6552A95C"/>
    <w:rsid w:val="65543994"/>
    <w:rsid w:val="6561CC32"/>
    <w:rsid w:val="6567FD68"/>
    <w:rsid w:val="65703A3A"/>
    <w:rsid w:val="6572DEFC"/>
    <w:rsid w:val="657D2EB0"/>
    <w:rsid w:val="657EDB6C"/>
    <w:rsid w:val="657FD8C7"/>
    <w:rsid w:val="65816034"/>
    <w:rsid w:val="659E90FD"/>
    <w:rsid w:val="65B8511A"/>
    <w:rsid w:val="65D56FD9"/>
    <w:rsid w:val="65D91135"/>
    <w:rsid w:val="65E446C5"/>
    <w:rsid w:val="65FB94DE"/>
    <w:rsid w:val="65FD6BC5"/>
    <w:rsid w:val="65FDD7B1"/>
    <w:rsid w:val="6601C565"/>
    <w:rsid w:val="66131A48"/>
    <w:rsid w:val="661A6059"/>
    <w:rsid w:val="661ADCE1"/>
    <w:rsid w:val="661DB4A5"/>
    <w:rsid w:val="66268102"/>
    <w:rsid w:val="662D5D3B"/>
    <w:rsid w:val="66310398"/>
    <w:rsid w:val="664D35A7"/>
    <w:rsid w:val="6650C025"/>
    <w:rsid w:val="6650F027"/>
    <w:rsid w:val="665C04A8"/>
    <w:rsid w:val="665E1FB2"/>
    <w:rsid w:val="66694D9D"/>
    <w:rsid w:val="666DAAB3"/>
    <w:rsid w:val="66716D97"/>
    <w:rsid w:val="6682044F"/>
    <w:rsid w:val="668A10C5"/>
    <w:rsid w:val="668B28E2"/>
    <w:rsid w:val="6690D7DC"/>
    <w:rsid w:val="669441F8"/>
    <w:rsid w:val="66973D44"/>
    <w:rsid w:val="669BA578"/>
    <w:rsid w:val="669E0287"/>
    <w:rsid w:val="66AFA84E"/>
    <w:rsid w:val="66BF51DD"/>
    <w:rsid w:val="66C59DEA"/>
    <w:rsid w:val="66C73457"/>
    <w:rsid w:val="66C84CE4"/>
    <w:rsid w:val="66F27086"/>
    <w:rsid w:val="66F687E7"/>
    <w:rsid w:val="66F88C82"/>
    <w:rsid w:val="66FC3159"/>
    <w:rsid w:val="6702287A"/>
    <w:rsid w:val="6707A5CF"/>
    <w:rsid w:val="670AE9E9"/>
    <w:rsid w:val="6745B768"/>
    <w:rsid w:val="6746CD3D"/>
    <w:rsid w:val="674BB5BD"/>
    <w:rsid w:val="6755E6E8"/>
    <w:rsid w:val="675F1F7B"/>
    <w:rsid w:val="675F4AC2"/>
    <w:rsid w:val="676117EC"/>
    <w:rsid w:val="6761455D"/>
    <w:rsid w:val="676269F6"/>
    <w:rsid w:val="6763F82E"/>
    <w:rsid w:val="676F921E"/>
    <w:rsid w:val="676FB548"/>
    <w:rsid w:val="6774E196"/>
    <w:rsid w:val="678347E1"/>
    <w:rsid w:val="678B09E4"/>
    <w:rsid w:val="67B34457"/>
    <w:rsid w:val="67BE85E6"/>
    <w:rsid w:val="67D3309D"/>
    <w:rsid w:val="67E1AE1B"/>
    <w:rsid w:val="67F74E29"/>
    <w:rsid w:val="68059A5F"/>
    <w:rsid w:val="68140CCE"/>
    <w:rsid w:val="6819E752"/>
    <w:rsid w:val="681B4B23"/>
    <w:rsid w:val="682003C6"/>
    <w:rsid w:val="682F24DA"/>
    <w:rsid w:val="683B97CE"/>
    <w:rsid w:val="683F5AE6"/>
    <w:rsid w:val="685108E5"/>
    <w:rsid w:val="685FAE31"/>
    <w:rsid w:val="6867F6F5"/>
    <w:rsid w:val="68784DE0"/>
    <w:rsid w:val="688122B4"/>
    <w:rsid w:val="6882F514"/>
    <w:rsid w:val="688A0AFF"/>
    <w:rsid w:val="6897A76E"/>
    <w:rsid w:val="689A4F23"/>
    <w:rsid w:val="68A59D65"/>
    <w:rsid w:val="68C1AC4D"/>
    <w:rsid w:val="68CD44A7"/>
    <w:rsid w:val="68F71840"/>
    <w:rsid w:val="690BA1DF"/>
    <w:rsid w:val="690D0A8F"/>
    <w:rsid w:val="690E7D5B"/>
    <w:rsid w:val="6937D97D"/>
    <w:rsid w:val="693A9E20"/>
    <w:rsid w:val="693EB446"/>
    <w:rsid w:val="694144C6"/>
    <w:rsid w:val="6942E0FB"/>
    <w:rsid w:val="694C7158"/>
    <w:rsid w:val="6966EA22"/>
    <w:rsid w:val="69675BAA"/>
    <w:rsid w:val="6967642A"/>
    <w:rsid w:val="696A0103"/>
    <w:rsid w:val="696E13B4"/>
    <w:rsid w:val="698A58B4"/>
    <w:rsid w:val="698CFDA7"/>
    <w:rsid w:val="699C0DC0"/>
    <w:rsid w:val="69A19E75"/>
    <w:rsid w:val="69A38111"/>
    <w:rsid w:val="69A6D21B"/>
    <w:rsid w:val="69CC9B31"/>
    <w:rsid w:val="69D309FC"/>
    <w:rsid w:val="69D41630"/>
    <w:rsid w:val="69E886EC"/>
    <w:rsid w:val="69F42DC9"/>
    <w:rsid w:val="69F9FA54"/>
    <w:rsid w:val="6A02E7FE"/>
    <w:rsid w:val="6A096065"/>
    <w:rsid w:val="6A09CF75"/>
    <w:rsid w:val="6A123860"/>
    <w:rsid w:val="6A1BD1E0"/>
    <w:rsid w:val="6A23E3A6"/>
    <w:rsid w:val="6A255A44"/>
    <w:rsid w:val="6A3E4C6E"/>
    <w:rsid w:val="6A5AA23F"/>
    <w:rsid w:val="6A76FC18"/>
    <w:rsid w:val="6A80BC86"/>
    <w:rsid w:val="6A810973"/>
    <w:rsid w:val="6A90CBD0"/>
    <w:rsid w:val="6A91A9EF"/>
    <w:rsid w:val="6A9572C4"/>
    <w:rsid w:val="6A973A5F"/>
    <w:rsid w:val="6A9DEDE8"/>
    <w:rsid w:val="6A9E2235"/>
    <w:rsid w:val="6AA53890"/>
    <w:rsid w:val="6AA74ED3"/>
    <w:rsid w:val="6AAAD2BA"/>
    <w:rsid w:val="6AAC8258"/>
    <w:rsid w:val="6AAF240D"/>
    <w:rsid w:val="6ABC83A0"/>
    <w:rsid w:val="6AC71566"/>
    <w:rsid w:val="6ADA1BE5"/>
    <w:rsid w:val="6AE5459C"/>
    <w:rsid w:val="6AE87437"/>
    <w:rsid w:val="6B000C69"/>
    <w:rsid w:val="6B005795"/>
    <w:rsid w:val="6B00AF2D"/>
    <w:rsid w:val="6B0661BE"/>
    <w:rsid w:val="6B0B9059"/>
    <w:rsid w:val="6B0BFC2D"/>
    <w:rsid w:val="6B11CFAB"/>
    <w:rsid w:val="6B233FEC"/>
    <w:rsid w:val="6B25191F"/>
    <w:rsid w:val="6B29AA0D"/>
    <w:rsid w:val="6B2A8C3F"/>
    <w:rsid w:val="6B2C0948"/>
    <w:rsid w:val="6B4B7E0C"/>
    <w:rsid w:val="6B5BD492"/>
    <w:rsid w:val="6B5D4058"/>
    <w:rsid w:val="6B5DDD10"/>
    <w:rsid w:val="6B636BCF"/>
    <w:rsid w:val="6B66017F"/>
    <w:rsid w:val="6B67B766"/>
    <w:rsid w:val="6B74848C"/>
    <w:rsid w:val="6B9E48F8"/>
    <w:rsid w:val="6BA406DC"/>
    <w:rsid w:val="6BB18022"/>
    <w:rsid w:val="6BC2D357"/>
    <w:rsid w:val="6BC2DD67"/>
    <w:rsid w:val="6BC84E0A"/>
    <w:rsid w:val="6BCA3637"/>
    <w:rsid w:val="6BCDD923"/>
    <w:rsid w:val="6BD993D4"/>
    <w:rsid w:val="6BE15C3D"/>
    <w:rsid w:val="6BE6C11D"/>
    <w:rsid w:val="6BE7D944"/>
    <w:rsid w:val="6C1434B6"/>
    <w:rsid w:val="6C2C64BB"/>
    <w:rsid w:val="6C3CD1F7"/>
    <w:rsid w:val="6C467937"/>
    <w:rsid w:val="6C488EA4"/>
    <w:rsid w:val="6C4C824C"/>
    <w:rsid w:val="6C4F8966"/>
    <w:rsid w:val="6C4FC19C"/>
    <w:rsid w:val="6C529421"/>
    <w:rsid w:val="6C57BA45"/>
    <w:rsid w:val="6C5E5FC9"/>
    <w:rsid w:val="6C643DFD"/>
    <w:rsid w:val="6C85CE07"/>
    <w:rsid w:val="6CA3E60D"/>
    <w:rsid w:val="6CA486E9"/>
    <w:rsid w:val="6CA9E2F8"/>
    <w:rsid w:val="6CB01754"/>
    <w:rsid w:val="6CBCDC3B"/>
    <w:rsid w:val="6CDE453B"/>
    <w:rsid w:val="6CE3CE14"/>
    <w:rsid w:val="6CEA5F6A"/>
    <w:rsid w:val="6CEC3242"/>
    <w:rsid w:val="6D05C840"/>
    <w:rsid w:val="6D06B528"/>
    <w:rsid w:val="6D0AAA09"/>
    <w:rsid w:val="6D180196"/>
    <w:rsid w:val="6D238C92"/>
    <w:rsid w:val="6D3A5B4C"/>
    <w:rsid w:val="6D40E348"/>
    <w:rsid w:val="6D45A241"/>
    <w:rsid w:val="6D47EEE8"/>
    <w:rsid w:val="6D490BCE"/>
    <w:rsid w:val="6D4F26FA"/>
    <w:rsid w:val="6D614818"/>
    <w:rsid w:val="6D683481"/>
    <w:rsid w:val="6D68E54F"/>
    <w:rsid w:val="6D75CB9A"/>
    <w:rsid w:val="6D7BBE16"/>
    <w:rsid w:val="6D8ECA38"/>
    <w:rsid w:val="6D9EA198"/>
    <w:rsid w:val="6DB3A1C3"/>
    <w:rsid w:val="6DB96863"/>
    <w:rsid w:val="6DBC85B4"/>
    <w:rsid w:val="6DD89D0C"/>
    <w:rsid w:val="6DDF303A"/>
    <w:rsid w:val="6DE98BCC"/>
    <w:rsid w:val="6DECB360"/>
    <w:rsid w:val="6DEDC525"/>
    <w:rsid w:val="6DF7AAC3"/>
    <w:rsid w:val="6E001522"/>
    <w:rsid w:val="6E03A8CB"/>
    <w:rsid w:val="6E092969"/>
    <w:rsid w:val="6E176D90"/>
    <w:rsid w:val="6E1BD939"/>
    <w:rsid w:val="6E1EB880"/>
    <w:rsid w:val="6E31EC8C"/>
    <w:rsid w:val="6E389D67"/>
    <w:rsid w:val="6E38E054"/>
    <w:rsid w:val="6E3E8A43"/>
    <w:rsid w:val="6E40EC09"/>
    <w:rsid w:val="6E41CDE3"/>
    <w:rsid w:val="6E462916"/>
    <w:rsid w:val="6E47116D"/>
    <w:rsid w:val="6E491CC4"/>
    <w:rsid w:val="6E4B79D7"/>
    <w:rsid w:val="6E4F769F"/>
    <w:rsid w:val="6E4FA2B4"/>
    <w:rsid w:val="6E52CF81"/>
    <w:rsid w:val="6E6D7F85"/>
    <w:rsid w:val="6E8C3088"/>
    <w:rsid w:val="6E936008"/>
    <w:rsid w:val="6E9B9CE3"/>
    <w:rsid w:val="6E9F384E"/>
    <w:rsid w:val="6EA023A2"/>
    <w:rsid w:val="6EA72E88"/>
    <w:rsid w:val="6EA9111E"/>
    <w:rsid w:val="6EC7FCB3"/>
    <w:rsid w:val="6EC8D1F9"/>
    <w:rsid w:val="6ECD2265"/>
    <w:rsid w:val="6EDFC20B"/>
    <w:rsid w:val="6EEBFEB9"/>
    <w:rsid w:val="6EECDD6F"/>
    <w:rsid w:val="6EF01EE5"/>
    <w:rsid w:val="6EF4057C"/>
    <w:rsid w:val="6EF8010D"/>
    <w:rsid w:val="6EFFF496"/>
    <w:rsid w:val="6F01B6E6"/>
    <w:rsid w:val="6F07419A"/>
    <w:rsid w:val="6F0848D9"/>
    <w:rsid w:val="6F0A49D1"/>
    <w:rsid w:val="6F0D1414"/>
    <w:rsid w:val="6F16DE75"/>
    <w:rsid w:val="6F1AE64D"/>
    <w:rsid w:val="6F1C9183"/>
    <w:rsid w:val="6F246999"/>
    <w:rsid w:val="6F25EF93"/>
    <w:rsid w:val="6F2DD075"/>
    <w:rsid w:val="6F3E5F4B"/>
    <w:rsid w:val="6F494E6A"/>
    <w:rsid w:val="6F543B3B"/>
    <w:rsid w:val="6F5CA48F"/>
    <w:rsid w:val="6F64057D"/>
    <w:rsid w:val="6F66C2E4"/>
    <w:rsid w:val="6F767BDE"/>
    <w:rsid w:val="6F8F5810"/>
    <w:rsid w:val="6F8FD9CF"/>
    <w:rsid w:val="6F928418"/>
    <w:rsid w:val="6F96DB6A"/>
    <w:rsid w:val="6F99FC5D"/>
    <w:rsid w:val="6F9F46D9"/>
    <w:rsid w:val="6FA3AC6C"/>
    <w:rsid w:val="6FB01365"/>
    <w:rsid w:val="6FB1AEEC"/>
    <w:rsid w:val="6FB27C8E"/>
    <w:rsid w:val="6FBC5088"/>
    <w:rsid w:val="6FBD8415"/>
    <w:rsid w:val="6FC31DAE"/>
    <w:rsid w:val="6FE516BC"/>
    <w:rsid w:val="6FF34543"/>
    <w:rsid w:val="6FF61B34"/>
    <w:rsid w:val="6FFC6CC3"/>
    <w:rsid w:val="701103DD"/>
    <w:rsid w:val="702043E1"/>
    <w:rsid w:val="702111BC"/>
    <w:rsid w:val="702293CD"/>
    <w:rsid w:val="70273C2B"/>
    <w:rsid w:val="70297BD4"/>
    <w:rsid w:val="7031E6A7"/>
    <w:rsid w:val="7033C3C7"/>
    <w:rsid w:val="703E2947"/>
    <w:rsid w:val="70466717"/>
    <w:rsid w:val="7048867D"/>
    <w:rsid w:val="7056BD60"/>
    <w:rsid w:val="7057C870"/>
    <w:rsid w:val="705B9673"/>
    <w:rsid w:val="705D2A0A"/>
    <w:rsid w:val="70659C0A"/>
    <w:rsid w:val="70744D01"/>
    <w:rsid w:val="708E316E"/>
    <w:rsid w:val="708FF95E"/>
    <w:rsid w:val="70929E8F"/>
    <w:rsid w:val="7096746A"/>
    <w:rsid w:val="70A47603"/>
    <w:rsid w:val="70AE1393"/>
    <w:rsid w:val="70BC89D6"/>
    <w:rsid w:val="70BF0DCF"/>
    <w:rsid w:val="70CEC567"/>
    <w:rsid w:val="70D48E43"/>
    <w:rsid w:val="70E270AB"/>
    <w:rsid w:val="70EF2C08"/>
    <w:rsid w:val="7103112F"/>
    <w:rsid w:val="71062D08"/>
    <w:rsid w:val="7109171A"/>
    <w:rsid w:val="71110467"/>
    <w:rsid w:val="711EA838"/>
    <w:rsid w:val="7120A1F8"/>
    <w:rsid w:val="713A116D"/>
    <w:rsid w:val="7146EE86"/>
    <w:rsid w:val="7151A15E"/>
    <w:rsid w:val="716D3666"/>
    <w:rsid w:val="71789C10"/>
    <w:rsid w:val="717BD612"/>
    <w:rsid w:val="7182889F"/>
    <w:rsid w:val="71861449"/>
    <w:rsid w:val="718C8B50"/>
    <w:rsid w:val="71A33911"/>
    <w:rsid w:val="71AA65DF"/>
    <w:rsid w:val="71ABD76C"/>
    <w:rsid w:val="71B0172D"/>
    <w:rsid w:val="71BFB1C3"/>
    <w:rsid w:val="71C9E84B"/>
    <w:rsid w:val="71CD935D"/>
    <w:rsid w:val="71CE4489"/>
    <w:rsid w:val="71D6A8D6"/>
    <w:rsid w:val="71D9B89F"/>
    <w:rsid w:val="71E571E4"/>
    <w:rsid w:val="71E70044"/>
    <w:rsid w:val="71EA332D"/>
    <w:rsid w:val="71EC4710"/>
    <w:rsid w:val="72018CB7"/>
    <w:rsid w:val="720D4B33"/>
    <w:rsid w:val="721DA86D"/>
    <w:rsid w:val="7229C81B"/>
    <w:rsid w:val="7229F4D0"/>
    <w:rsid w:val="722CF14B"/>
    <w:rsid w:val="723D905F"/>
    <w:rsid w:val="7248D9C6"/>
    <w:rsid w:val="724A538B"/>
    <w:rsid w:val="7251A201"/>
    <w:rsid w:val="725391CF"/>
    <w:rsid w:val="72562806"/>
    <w:rsid w:val="726BAAB4"/>
    <w:rsid w:val="726F44EF"/>
    <w:rsid w:val="727B9284"/>
    <w:rsid w:val="727EED17"/>
    <w:rsid w:val="728546F6"/>
    <w:rsid w:val="729FDC4C"/>
    <w:rsid w:val="72A0B60F"/>
    <w:rsid w:val="72A24DDE"/>
    <w:rsid w:val="72A42862"/>
    <w:rsid w:val="72AF9AD0"/>
    <w:rsid w:val="72B2C5AD"/>
    <w:rsid w:val="72C0C536"/>
    <w:rsid w:val="72CAD2E5"/>
    <w:rsid w:val="72D77A08"/>
    <w:rsid w:val="72DAA57E"/>
    <w:rsid w:val="72DE54A0"/>
    <w:rsid w:val="72DE8EEE"/>
    <w:rsid w:val="72FBEC8F"/>
    <w:rsid w:val="73097DA0"/>
    <w:rsid w:val="730FD7F0"/>
    <w:rsid w:val="731371EC"/>
    <w:rsid w:val="73145AE4"/>
    <w:rsid w:val="7319EFFB"/>
    <w:rsid w:val="732D9AE8"/>
    <w:rsid w:val="7332CC1F"/>
    <w:rsid w:val="733601E4"/>
    <w:rsid w:val="733951EA"/>
    <w:rsid w:val="733CAF29"/>
    <w:rsid w:val="735B73C6"/>
    <w:rsid w:val="735E23CB"/>
    <w:rsid w:val="736C0D59"/>
    <w:rsid w:val="736C6FE6"/>
    <w:rsid w:val="7377D666"/>
    <w:rsid w:val="7384EC79"/>
    <w:rsid w:val="738C4223"/>
    <w:rsid w:val="73912251"/>
    <w:rsid w:val="739975DA"/>
    <w:rsid w:val="73A05021"/>
    <w:rsid w:val="73A4011F"/>
    <w:rsid w:val="73B4B431"/>
    <w:rsid w:val="73B6C671"/>
    <w:rsid w:val="73BA0FA3"/>
    <w:rsid w:val="73C1A960"/>
    <w:rsid w:val="73C56012"/>
    <w:rsid w:val="73C998BC"/>
    <w:rsid w:val="73CDF25F"/>
    <w:rsid w:val="73CF5405"/>
    <w:rsid w:val="73D2142B"/>
    <w:rsid w:val="73D9558A"/>
    <w:rsid w:val="73DC518D"/>
    <w:rsid w:val="73F1CBF4"/>
    <w:rsid w:val="73F42884"/>
    <w:rsid w:val="73F78FCF"/>
    <w:rsid w:val="73F9CB13"/>
    <w:rsid w:val="73FEC43E"/>
    <w:rsid w:val="74057F34"/>
    <w:rsid w:val="74069E3A"/>
    <w:rsid w:val="741685C7"/>
    <w:rsid w:val="74222E70"/>
    <w:rsid w:val="743AF893"/>
    <w:rsid w:val="743E53E9"/>
    <w:rsid w:val="74417238"/>
    <w:rsid w:val="745FE876"/>
    <w:rsid w:val="746BAC94"/>
    <w:rsid w:val="747AC217"/>
    <w:rsid w:val="7485D663"/>
    <w:rsid w:val="749294B2"/>
    <w:rsid w:val="749B7A58"/>
    <w:rsid w:val="74A0E8B4"/>
    <w:rsid w:val="74A4D063"/>
    <w:rsid w:val="74A70B67"/>
    <w:rsid w:val="74AE79DF"/>
    <w:rsid w:val="74B41ED9"/>
    <w:rsid w:val="74B6111E"/>
    <w:rsid w:val="74C7DCB3"/>
    <w:rsid w:val="74D48B45"/>
    <w:rsid w:val="74E87493"/>
    <w:rsid w:val="74ED51AB"/>
    <w:rsid w:val="75030910"/>
    <w:rsid w:val="75110CBA"/>
    <w:rsid w:val="751390B5"/>
    <w:rsid w:val="751889E7"/>
    <w:rsid w:val="751BE50F"/>
    <w:rsid w:val="752351CD"/>
    <w:rsid w:val="753C4759"/>
    <w:rsid w:val="7540D75D"/>
    <w:rsid w:val="754916C9"/>
    <w:rsid w:val="754EB85E"/>
    <w:rsid w:val="7553716C"/>
    <w:rsid w:val="7554CBFF"/>
    <w:rsid w:val="75553F2A"/>
    <w:rsid w:val="75775975"/>
    <w:rsid w:val="7583012D"/>
    <w:rsid w:val="75863796"/>
    <w:rsid w:val="75A7F756"/>
    <w:rsid w:val="75AB3F1F"/>
    <w:rsid w:val="75B2D2AC"/>
    <w:rsid w:val="75B5B2E0"/>
    <w:rsid w:val="75BDD0D2"/>
    <w:rsid w:val="75CDA55F"/>
    <w:rsid w:val="75D34701"/>
    <w:rsid w:val="75D7C18C"/>
    <w:rsid w:val="75DDE9C5"/>
    <w:rsid w:val="75DE6D59"/>
    <w:rsid w:val="75E0D8C6"/>
    <w:rsid w:val="75E5FAC0"/>
    <w:rsid w:val="75E8270B"/>
    <w:rsid w:val="75E827AD"/>
    <w:rsid w:val="75EC6C3D"/>
    <w:rsid w:val="75F69004"/>
    <w:rsid w:val="75F8C366"/>
    <w:rsid w:val="7603517A"/>
    <w:rsid w:val="7607351B"/>
    <w:rsid w:val="7609D8BC"/>
    <w:rsid w:val="760AC009"/>
    <w:rsid w:val="7614930B"/>
    <w:rsid w:val="7619CBBC"/>
    <w:rsid w:val="7626E193"/>
    <w:rsid w:val="76280283"/>
    <w:rsid w:val="763AA6DE"/>
    <w:rsid w:val="763D2F7F"/>
    <w:rsid w:val="763F7057"/>
    <w:rsid w:val="76489283"/>
    <w:rsid w:val="764CA754"/>
    <w:rsid w:val="7657F107"/>
    <w:rsid w:val="765F32D0"/>
    <w:rsid w:val="7661F1B6"/>
    <w:rsid w:val="7686C3F8"/>
    <w:rsid w:val="76971139"/>
    <w:rsid w:val="76ADA123"/>
    <w:rsid w:val="76B3F49D"/>
    <w:rsid w:val="76B95F6B"/>
    <w:rsid w:val="76D67072"/>
    <w:rsid w:val="76E123A1"/>
    <w:rsid w:val="76E49275"/>
    <w:rsid w:val="76E86F37"/>
    <w:rsid w:val="76EEECCF"/>
    <w:rsid w:val="76EF3B67"/>
    <w:rsid w:val="76F1F33A"/>
    <w:rsid w:val="7707F70E"/>
    <w:rsid w:val="772A9F5A"/>
    <w:rsid w:val="7743FE8A"/>
    <w:rsid w:val="7749580D"/>
    <w:rsid w:val="775306AE"/>
    <w:rsid w:val="775A6B34"/>
    <w:rsid w:val="77696DE7"/>
    <w:rsid w:val="77754F48"/>
    <w:rsid w:val="778B0560"/>
    <w:rsid w:val="7792F31D"/>
    <w:rsid w:val="77A42DBD"/>
    <w:rsid w:val="77A6F892"/>
    <w:rsid w:val="77A7F130"/>
    <w:rsid w:val="77B09DD4"/>
    <w:rsid w:val="77B4E773"/>
    <w:rsid w:val="77B5C556"/>
    <w:rsid w:val="77CD3C87"/>
    <w:rsid w:val="77E0E683"/>
    <w:rsid w:val="77F37574"/>
    <w:rsid w:val="77F89352"/>
    <w:rsid w:val="7801EE1C"/>
    <w:rsid w:val="7818ABA7"/>
    <w:rsid w:val="781A9866"/>
    <w:rsid w:val="781F48BC"/>
    <w:rsid w:val="782A2730"/>
    <w:rsid w:val="78377585"/>
    <w:rsid w:val="78425F22"/>
    <w:rsid w:val="78479DBC"/>
    <w:rsid w:val="784863C7"/>
    <w:rsid w:val="7849AE8D"/>
    <w:rsid w:val="78547B0D"/>
    <w:rsid w:val="7854BFE4"/>
    <w:rsid w:val="7856E242"/>
    <w:rsid w:val="786EB6A1"/>
    <w:rsid w:val="78725484"/>
    <w:rsid w:val="78842985"/>
    <w:rsid w:val="7895E50A"/>
    <w:rsid w:val="78A299F7"/>
    <w:rsid w:val="78B12A28"/>
    <w:rsid w:val="78C5453B"/>
    <w:rsid w:val="78C7C19E"/>
    <w:rsid w:val="78C7EEB1"/>
    <w:rsid w:val="78D553A1"/>
    <w:rsid w:val="78DFE27F"/>
    <w:rsid w:val="78F3EC14"/>
    <w:rsid w:val="79054B5C"/>
    <w:rsid w:val="7916CE3A"/>
    <w:rsid w:val="7919A69F"/>
    <w:rsid w:val="7937A8C5"/>
    <w:rsid w:val="793A746A"/>
    <w:rsid w:val="793D5745"/>
    <w:rsid w:val="793DE957"/>
    <w:rsid w:val="79550E71"/>
    <w:rsid w:val="795985C3"/>
    <w:rsid w:val="795C965D"/>
    <w:rsid w:val="7969CA91"/>
    <w:rsid w:val="7969E0B5"/>
    <w:rsid w:val="796CC0F4"/>
    <w:rsid w:val="7975560A"/>
    <w:rsid w:val="797AEC5A"/>
    <w:rsid w:val="7994665D"/>
    <w:rsid w:val="7999B6C5"/>
    <w:rsid w:val="799CCCC4"/>
    <w:rsid w:val="79A8A4FD"/>
    <w:rsid w:val="79B9979A"/>
    <w:rsid w:val="79C8E272"/>
    <w:rsid w:val="79C9A8FB"/>
    <w:rsid w:val="79D130AC"/>
    <w:rsid w:val="79D6581E"/>
    <w:rsid w:val="79E9B5FE"/>
    <w:rsid w:val="79F0D396"/>
    <w:rsid w:val="79FA89A6"/>
    <w:rsid w:val="7A00C959"/>
    <w:rsid w:val="7A0BC142"/>
    <w:rsid w:val="7A0BEAD0"/>
    <w:rsid w:val="7A109B46"/>
    <w:rsid w:val="7A10CA3A"/>
    <w:rsid w:val="7A1339A3"/>
    <w:rsid w:val="7A13E492"/>
    <w:rsid w:val="7A1613EC"/>
    <w:rsid w:val="7A208E37"/>
    <w:rsid w:val="7A2853F9"/>
    <w:rsid w:val="7A2E2BA0"/>
    <w:rsid w:val="7A32B54A"/>
    <w:rsid w:val="7A3AE31B"/>
    <w:rsid w:val="7A60F5EC"/>
    <w:rsid w:val="7A6C9034"/>
    <w:rsid w:val="7A6DAA1B"/>
    <w:rsid w:val="7A7465A0"/>
    <w:rsid w:val="7A78C07D"/>
    <w:rsid w:val="7A8A4A6C"/>
    <w:rsid w:val="7A8E575D"/>
    <w:rsid w:val="7A9B0A2E"/>
    <w:rsid w:val="7AA6C0A5"/>
    <w:rsid w:val="7AA6ECEF"/>
    <w:rsid w:val="7AA73D74"/>
    <w:rsid w:val="7AB0C6F1"/>
    <w:rsid w:val="7AB4CEFC"/>
    <w:rsid w:val="7AB6FE4C"/>
    <w:rsid w:val="7AB99ACC"/>
    <w:rsid w:val="7ABB4E12"/>
    <w:rsid w:val="7ABCF968"/>
    <w:rsid w:val="7AE367E9"/>
    <w:rsid w:val="7AF14E8A"/>
    <w:rsid w:val="7AF4F09F"/>
    <w:rsid w:val="7AFDCEEF"/>
    <w:rsid w:val="7B0970DC"/>
    <w:rsid w:val="7B0A9964"/>
    <w:rsid w:val="7B1D3B71"/>
    <w:rsid w:val="7B30156A"/>
    <w:rsid w:val="7B33FBD2"/>
    <w:rsid w:val="7B34905E"/>
    <w:rsid w:val="7B3F8077"/>
    <w:rsid w:val="7B44458A"/>
    <w:rsid w:val="7B48AECC"/>
    <w:rsid w:val="7B699B89"/>
    <w:rsid w:val="7B6F62CA"/>
    <w:rsid w:val="7B7A0DBE"/>
    <w:rsid w:val="7B831836"/>
    <w:rsid w:val="7B8607C8"/>
    <w:rsid w:val="7B87A700"/>
    <w:rsid w:val="7B955791"/>
    <w:rsid w:val="7BA3703C"/>
    <w:rsid w:val="7BA8B6C2"/>
    <w:rsid w:val="7BAB3D96"/>
    <w:rsid w:val="7BB49894"/>
    <w:rsid w:val="7BC29BB2"/>
    <w:rsid w:val="7BC55A11"/>
    <w:rsid w:val="7BCE4585"/>
    <w:rsid w:val="7BD70CE5"/>
    <w:rsid w:val="7BFF89AA"/>
    <w:rsid w:val="7C0A42F5"/>
    <w:rsid w:val="7C0F6374"/>
    <w:rsid w:val="7C241CB1"/>
    <w:rsid w:val="7C300FD2"/>
    <w:rsid w:val="7C330947"/>
    <w:rsid w:val="7C35B02A"/>
    <w:rsid w:val="7C3F9FC9"/>
    <w:rsid w:val="7C49D4FA"/>
    <w:rsid w:val="7C4B358E"/>
    <w:rsid w:val="7C5282D8"/>
    <w:rsid w:val="7C632237"/>
    <w:rsid w:val="7C68E947"/>
    <w:rsid w:val="7C7AACB6"/>
    <w:rsid w:val="7C86A889"/>
    <w:rsid w:val="7C8E907E"/>
    <w:rsid w:val="7C97DBF8"/>
    <w:rsid w:val="7C9C81F1"/>
    <w:rsid w:val="7C9D17DA"/>
    <w:rsid w:val="7CAE4D0B"/>
    <w:rsid w:val="7CB7C5AB"/>
    <w:rsid w:val="7CD68BD7"/>
    <w:rsid w:val="7CE8B312"/>
    <w:rsid w:val="7CE9E795"/>
    <w:rsid w:val="7CF7ABB3"/>
    <w:rsid w:val="7CF81DB7"/>
    <w:rsid w:val="7D0E109E"/>
    <w:rsid w:val="7D1091BF"/>
    <w:rsid w:val="7D1B0347"/>
    <w:rsid w:val="7D1BA379"/>
    <w:rsid w:val="7D283F55"/>
    <w:rsid w:val="7D2E9678"/>
    <w:rsid w:val="7D53155A"/>
    <w:rsid w:val="7D592E9B"/>
    <w:rsid w:val="7D594CEE"/>
    <w:rsid w:val="7D5FCE0E"/>
    <w:rsid w:val="7D65166C"/>
    <w:rsid w:val="7D655ED7"/>
    <w:rsid w:val="7D6ACF52"/>
    <w:rsid w:val="7D83D5E3"/>
    <w:rsid w:val="7D8FE984"/>
    <w:rsid w:val="7DA2BAF7"/>
    <w:rsid w:val="7DA6D140"/>
    <w:rsid w:val="7DB95847"/>
    <w:rsid w:val="7DBB956F"/>
    <w:rsid w:val="7DC27EE0"/>
    <w:rsid w:val="7DCEE220"/>
    <w:rsid w:val="7DD8EA04"/>
    <w:rsid w:val="7DE49FB2"/>
    <w:rsid w:val="7E02346A"/>
    <w:rsid w:val="7E036F36"/>
    <w:rsid w:val="7E07060A"/>
    <w:rsid w:val="7E0AF1DE"/>
    <w:rsid w:val="7E163A16"/>
    <w:rsid w:val="7E1B0368"/>
    <w:rsid w:val="7E259DCE"/>
    <w:rsid w:val="7E26834B"/>
    <w:rsid w:val="7E2CE04F"/>
    <w:rsid w:val="7E3F562E"/>
    <w:rsid w:val="7E4C8481"/>
    <w:rsid w:val="7E5275B2"/>
    <w:rsid w:val="7E58F7DD"/>
    <w:rsid w:val="7E6A3D4C"/>
    <w:rsid w:val="7E6B7189"/>
    <w:rsid w:val="7E6E3C9C"/>
    <w:rsid w:val="7E726461"/>
    <w:rsid w:val="7E73DC52"/>
    <w:rsid w:val="7E7F3A79"/>
    <w:rsid w:val="7E829478"/>
    <w:rsid w:val="7E905CB0"/>
    <w:rsid w:val="7EB32DAC"/>
    <w:rsid w:val="7EB852F5"/>
    <w:rsid w:val="7EB93EBE"/>
    <w:rsid w:val="7ECDFAC9"/>
    <w:rsid w:val="7EE2ADEE"/>
    <w:rsid w:val="7EE44EE9"/>
    <w:rsid w:val="7EF1B81A"/>
    <w:rsid w:val="7EFC70EC"/>
    <w:rsid w:val="7F0B72D6"/>
    <w:rsid w:val="7F36196A"/>
    <w:rsid w:val="7F445493"/>
    <w:rsid w:val="7F5009AC"/>
    <w:rsid w:val="7F55502A"/>
    <w:rsid w:val="7F648646"/>
    <w:rsid w:val="7F735B55"/>
    <w:rsid w:val="7F73C405"/>
    <w:rsid w:val="7F9617F0"/>
    <w:rsid w:val="7FB46B95"/>
    <w:rsid w:val="7FB6FC89"/>
    <w:rsid w:val="7FCB76AA"/>
    <w:rsid w:val="7FCF6BA7"/>
    <w:rsid w:val="7FF0E3CA"/>
    <w:rsid w:val="7FFE5D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E6AD21"/>
  <w15:docId w15:val="{B66474F0-C2A4-461C-904E-256F8D79B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5E8"/>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196B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89144F"/>
    <w:pPr>
      <w:keepNext/>
      <w:keepLines/>
      <w:spacing w:before="4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EB0D7F"/>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D2561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BF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96BF5"/>
    <w:pPr>
      <w:spacing w:before="480" w:line="276" w:lineRule="auto"/>
      <w:outlineLvl w:val="9"/>
    </w:pPr>
    <w:rPr>
      <w:b/>
      <w:bCs/>
      <w:sz w:val="28"/>
      <w:szCs w:val="28"/>
    </w:rPr>
  </w:style>
  <w:style w:type="paragraph" w:styleId="TOC1">
    <w:name w:val="toc 1"/>
    <w:basedOn w:val="Normal"/>
    <w:next w:val="Normal"/>
    <w:autoRedefine/>
    <w:uiPriority w:val="39"/>
    <w:unhideWhenUsed/>
    <w:rsid w:val="0007058C"/>
    <w:pPr>
      <w:tabs>
        <w:tab w:val="right" w:leader="dot" w:pos="9350"/>
      </w:tabs>
      <w:spacing w:before="120" w:after="120"/>
    </w:pPr>
    <w:rPr>
      <w:rFonts w:cstheme="minorHAnsi"/>
      <w:bCs/>
      <w:caps/>
      <w:sz w:val="20"/>
      <w:szCs w:val="20"/>
    </w:rPr>
  </w:style>
  <w:style w:type="paragraph" w:styleId="TOC2">
    <w:name w:val="toc 2"/>
    <w:basedOn w:val="Normal"/>
    <w:next w:val="Normal"/>
    <w:autoRedefine/>
    <w:uiPriority w:val="39"/>
    <w:unhideWhenUsed/>
    <w:rsid w:val="00196BF5"/>
    <w:pPr>
      <w:ind w:left="220"/>
    </w:pPr>
    <w:rPr>
      <w:rFonts w:cstheme="minorHAnsi"/>
      <w:smallCaps/>
      <w:sz w:val="20"/>
      <w:szCs w:val="20"/>
    </w:rPr>
  </w:style>
  <w:style w:type="paragraph" w:styleId="TOC3">
    <w:name w:val="toc 3"/>
    <w:basedOn w:val="Normal"/>
    <w:next w:val="Normal"/>
    <w:autoRedefine/>
    <w:uiPriority w:val="39"/>
    <w:unhideWhenUsed/>
    <w:rsid w:val="00CF04E8"/>
    <w:pPr>
      <w:tabs>
        <w:tab w:val="right" w:leader="dot" w:pos="9350"/>
      </w:tabs>
      <w:ind w:left="440"/>
    </w:pPr>
    <w:rPr>
      <w:rFonts w:cstheme="minorHAnsi"/>
      <w:i/>
      <w:iCs/>
      <w:sz w:val="20"/>
      <w:szCs w:val="20"/>
    </w:rPr>
  </w:style>
  <w:style w:type="paragraph" w:styleId="TOC4">
    <w:name w:val="toc 4"/>
    <w:basedOn w:val="Normal"/>
    <w:next w:val="Normal"/>
    <w:autoRedefine/>
    <w:uiPriority w:val="39"/>
    <w:semiHidden/>
    <w:unhideWhenUsed/>
    <w:rsid w:val="00196BF5"/>
    <w:pPr>
      <w:ind w:left="660"/>
    </w:pPr>
    <w:rPr>
      <w:rFonts w:cstheme="minorHAnsi"/>
      <w:sz w:val="18"/>
      <w:szCs w:val="18"/>
    </w:rPr>
  </w:style>
  <w:style w:type="paragraph" w:styleId="TOC5">
    <w:name w:val="toc 5"/>
    <w:basedOn w:val="Normal"/>
    <w:next w:val="Normal"/>
    <w:autoRedefine/>
    <w:uiPriority w:val="39"/>
    <w:semiHidden/>
    <w:unhideWhenUsed/>
    <w:rsid w:val="00196BF5"/>
    <w:pPr>
      <w:ind w:left="880"/>
    </w:pPr>
    <w:rPr>
      <w:rFonts w:cstheme="minorHAnsi"/>
      <w:sz w:val="18"/>
      <w:szCs w:val="18"/>
    </w:rPr>
  </w:style>
  <w:style w:type="paragraph" w:styleId="TOC6">
    <w:name w:val="toc 6"/>
    <w:basedOn w:val="Normal"/>
    <w:next w:val="Normal"/>
    <w:autoRedefine/>
    <w:uiPriority w:val="39"/>
    <w:semiHidden/>
    <w:unhideWhenUsed/>
    <w:rsid w:val="00196BF5"/>
    <w:pPr>
      <w:ind w:left="1100"/>
    </w:pPr>
    <w:rPr>
      <w:rFonts w:cstheme="minorHAnsi"/>
      <w:sz w:val="18"/>
      <w:szCs w:val="18"/>
    </w:rPr>
  </w:style>
  <w:style w:type="paragraph" w:styleId="TOC7">
    <w:name w:val="toc 7"/>
    <w:basedOn w:val="Normal"/>
    <w:next w:val="Normal"/>
    <w:autoRedefine/>
    <w:uiPriority w:val="39"/>
    <w:semiHidden/>
    <w:unhideWhenUsed/>
    <w:rsid w:val="00196BF5"/>
    <w:pPr>
      <w:ind w:left="1320"/>
    </w:pPr>
    <w:rPr>
      <w:rFonts w:cstheme="minorHAnsi"/>
      <w:sz w:val="18"/>
      <w:szCs w:val="18"/>
    </w:rPr>
  </w:style>
  <w:style w:type="paragraph" w:styleId="TOC8">
    <w:name w:val="toc 8"/>
    <w:basedOn w:val="Normal"/>
    <w:next w:val="Normal"/>
    <w:autoRedefine/>
    <w:uiPriority w:val="39"/>
    <w:semiHidden/>
    <w:unhideWhenUsed/>
    <w:rsid w:val="00196BF5"/>
    <w:pPr>
      <w:ind w:left="1540"/>
    </w:pPr>
    <w:rPr>
      <w:rFonts w:cstheme="minorHAnsi"/>
      <w:sz w:val="18"/>
      <w:szCs w:val="18"/>
    </w:rPr>
  </w:style>
  <w:style w:type="paragraph" w:styleId="TOC9">
    <w:name w:val="toc 9"/>
    <w:basedOn w:val="Normal"/>
    <w:next w:val="Normal"/>
    <w:autoRedefine/>
    <w:uiPriority w:val="39"/>
    <w:semiHidden/>
    <w:unhideWhenUsed/>
    <w:rsid w:val="00196BF5"/>
    <w:pPr>
      <w:ind w:left="1760"/>
    </w:pPr>
    <w:rPr>
      <w:rFonts w:cstheme="minorHAnsi"/>
      <w:sz w:val="18"/>
      <w:szCs w:val="18"/>
    </w:rPr>
  </w:style>
  <w:style w:type="character" w:styleId="Hyperlink">
    <w:name w:val="Hyperlink"/>
    <w:basedOn w:val="DefaultParagraphFont"/>
    <w:uiPriority w:val="99"/>
    <w:unhideWhenUsed/>
    <w:rsid w:val="00187133"/>
    <w:rPr>
      <w:color w:val="0563C1" w:themeColor="hyperlink"/>
      <w:u w:val="single"/>
    </w:rPr>
  </w:style>
  <w:style w:type="character" w:customStyle="1" w:styleId="Heading2Char">
    <w:name w:val="Heading 2 Char"/>
    <w:basedOn w:val="DefaultParagraphFont"/>
    <w:link w:val="Heading2"/>
    <w:uiPriority w:val="9"/>
    <w:rsid w:val="0089144F"/>
    <w:rPr>
      <w:rFonts w:eastAsiaTheme="majorEastAsia" w:cstheme="majorBidi"/>
      <w:b/>
      <w:sz w:val="24"/>
      <w:szCs w:val="26"/>
    </w:rPr>
  </w:style>
  <w:style w:type="character" w:customStyle="1" w:styleId="Heading3Char">
    <w:name w:val="Heading 3 Char"/>
    <w:basedOn w:val="DefaultParagraphFont"/>
    <w:link w:val="Heading3"/>
    <w:uiPriority w:val="9"/>
    <w:rsid w:val="00EB0D7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C22D55"/>
    <w:pPr>
      <w:ind w:left="720"/>
      <w:contextualSpacing/>
    </w:pPr>
  </w:style>
  <w:style w:type="paragraph" w:styleId="CommentText">
    <w:name w:val="annotation text"/>
    <w:basedOn w:val="Normal"/>
    <w:link w:val="CommentTextChar"/>
    <w:uiPriority w:val="99"/>
    <w:unhideWhenUsed/>
    <w:rsid w:val="000C571F"/>
    <w:rPr>
      <w:kern w:val="2"/>
      <w:sz w:val="20"/>
      <w:szCs w:val="20"/>
      <w14:ligatures w14:val="standardContextual"/>
    </w:rPr>
  </w:style>
  <w:style w:type="character" w:customStyle="1" w:styleId="CommentTextChar">
    <w:name w:val="Comment Text Char"/>
    <w:basedOn w:val="DefaultParagraphFont"/>
    <w:link w:val="CommentText"/>
    <w:uiPriority w:val="99"/>
    <w:rsid w:val="000C571F"/>
    <w:rPr>
      <w:rFonts w:eastAsia="Times New Roman" w:cs="Times New Roman"/>
      <w:kern w:val="2"/>
      <w:sz w:val="20"/>
      <w:szCs w:val="20"/>
      <w14:ligatures w14:val="standardContextual"/>
    </w:rPr>
  </w:style>
  <w:style w:type="character" w:styleId="CommentReference">
    <w:name w:val="annotation reference"/>
    <w:basedOn w:val="DefaultParagraphFont"/>
    <w:uiPriority w:val="99"/>
    <w:semiHidden/>
    <w:unhideWhenUsed/>
    <w:rsid w:val="000C571F"/>
    <w:rPr>
      <w:sz w:val="16"/>
      <w:szCs w:val="16"/>
    </w:rPr>
  </w:style>
  <w:style w:type="paragraph" w:styleId="Header">
    <w:name w:val="header"/>
    <w:basedOn w:val="Normal"/>
    <w:link w:val="HeaderChar"/>
    <w:uiPriority w:val="99"/>
    <w:unhideWhenUsed/>
    <w:rsid w:val="007861D0"/>
    <w:pPr>
      <w:tabs>
        <w:tab w:val="center" w:pos="4680"/>
        <w:tab w:val="right" w:pos="9360"/>
      </w:tabs>
    </w:pPr>
  </w:style>
  <w:style w:type="character" w:customStyle="1" w:styleId="HeaderChar">
    <w:name w:val="Header Char"/>
    <w:basedOn w:val="DefaultParagraphFont"/>
    <w:link w:val="Header"/>
    <w:uiPriority w:val="99"/>
    <w:rsid w:val="007861D0"/>
    <w:rPr>
      <w:rFonts w:eastAsia="Times New Roman" w:cs="Times New Roman"/>
      <w:szCs w:val="24"/>
    </w:rPr>
  </w:style>
  <w:style w:type="paragraph" w:styleId="Footer">
    <w:name w:val="footer"/>
    <w:basedOn w:val="Normal"/>
    <w:link w:val="FooterChar"/>
    <w:uiPriority w:val="99"/>
    <w:unhideWhenUsed/>
    <w:rsid w:val="007861D0"/>
    <w:pPr>
      <w:tabs>
        <w:tab w:val="center" w:pos="4680"/>
        <w:tab w:val="right" w:pos="9360"/>
      </w:tabs>
    </w:pPr>
  </w:style>
  <w:style w:type="character" w:customStyle="1" w:styleId="FooterChar">
    <w:name w:val="Footer Char"/>
    <w:basedOn w:val="DefaultParagraphFont"/>
    <w:link w:val="Footer"/>
    <w:uiPriority w:val="99"/>
    <w:rsid w:val="007861D0"/>
    <w:rPr>
      <w:rFonts w:eastAsia="Times New Roman" w:cs="Times New Roman"/>
      <w:szCs w:val="24"/>
    </w:rPr>
  </w:style>
  <w:style w:type="character" w:styleId="PageNumber">
    <w:name w:val="page number"/>
    <w:basedOn w:val="DefaultParagraphFont"/>
    <w:uiPriority w:val="99"/>
    <w:semiHidden/>
    <w:unhideWhenUsed/>
    <w:rsid w:val="004570B5"/>
  </w:style>
  <w:style w:type="character" w:customStyle="1" w:styleId="Heading4Char">
    <w:name w:val="Heading 4 Char"/>
    <w:basedOn w:val="DefaultParagraphFont"/>
    <w:link w:val="Heading4"/>
    <w:uiPriority w:val="9"/>
    <w:rsid w:val="00D25619"/>
    <w:rPr>
      <w:rFonts w:asciiTheme="majorHAnsi" w:eastAsiaTheme="majorEastAsia" w:hAnsiTheme="majorHAnsi" w:cstheme="majorBidi"/>
      <w:i/>
      <w:iCs/>
      <w:color w:val="2F5496" w:themeColor="accent1" w:themeShade="BF"/>
      <w:szCs w:val="24"/>
    </w:rPr>
  </w:style>
  <w:style w:type="paragraph" w:styleId="NoSpacing">
    <w:name w:val="No Spacing"/>
    <w:uiPriority w:val="1"/>
    <w:qFormat/>
    <w:rsid w:val="00D25619"/>
    <w:pPr>
      <w:spacing w:after="0" w:line="240" w:lineRule="auto"/>
    </w:pPr>
  </w:style>
  <w:style w:type="paragraph" w:styleId="Bibliography">
    <w:name w:val="Bibliography"/>
    <w:basedOn w:val="Normal"/>
    <w:next w:val="Normal"/>
    <w:uiPriority w:val="37"/>
    <w:unhideWhenUsed/>
    <w:rsid w:val="00D25619"/>
    <w:pPr>
      <w:spacing w:line="480" w:lineRule="auto"/>
      <w:ind w:left="720" w:hanging="720"/>
    </w:pPr>
  </w:style>
  <w:style w:type="paragraph" w:customStyle="1" w:styleId="paragraph">
    <w:name w:val="paragraph"/>
    <w:basedOn w:val="Normal"/>
    <w:rsid w:val="00D25619"/>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D25619"/>
  </w:style>
  <w:style w:type="character" w:customStyle="1" w:styleId="eop">
    <w:name w:val="eop"/>
    <w:basedOn w:val="DefaultParagraphFont"/>
    <w:rsid w:val="00D25619"/>
  </w:style>
  <w:style w:type="character" w:customStyle="1" w:styleId="superscript">
    <w:name w:val="superscript"/>
    <w:basedOn w:val="DefaultParagraphFont"/>
    <w:rsid w:val="00D25619"/>
  </w:style>
  <w:style w:type="paragraph" w:styleId="CommentSubject">
    <w:name w:val="annotation subject"/>
    <w:basedOn w:val="CommentText"/>
    <w:next w:val="CommentText"/>
    <w:link w:val="CommentSubjectChar"/>
    <w:uiPriority w:val="99"/>
    <w:semiHidden/>
    <w:unhideWhenUsed/>
    <w:rsid w:val="00D25619"/>
    <w:rPr>
      <w:b/>
      <w:bCs/>
      <w:kern w:val="0"/>
      <w14:ligatures w14:val="none"/>
    </w:rPr>
  </w:style>
  <w:style w:type="character" w:customStyle="1" w:styleId="CommentSubjectChar">
    <w:name w:val="Comment Subject Char"/>
    <w:basedOn w:val="CommentTextChar"/>
    <w:link w:val="CommentSubject"/>
    <w:uiPriority w:val="99"/>
    <w:semiHidden/>
    <w:rsid w:val="00D25619"/>
    <w:rPr>
      <w:rFonts w:eastAsia="Times New Roman" w:cs="Times New Roman"/>
      <w:b/>
      <w:bCs/>
      <w:kern w:val="2"/>
      <w:sz w:val="20"/>
      <w:szCs w:val="20"/>
      <w14:ligatures w14:val="standardContextual"/>
    </w:rPr>
  </w:style>
  <w:style w:type="character" w:styleId="UnresolvedMention">
    <w:name w:val="Unresolved Mention"/>
    <w:basedOn w:val="DefaultParagraphFont"/>
    <w:uiPriority w:val="99"/>
    <w:semiHidden/>
    <w:unhideWhenUsed/>
    <w:rsid w:val="00D25619"/>
    <w:rPr>
      <w:color w:val="605E5C"/>
      <w:shd w:val="clear" w:color="auto" w:fill="E1DFDD"/>
    </w:rPr>
  </w:style>
  <w:style w:type="paragraph" w:styleId="EndnoteText">
    <w:name w:val="endnote text"/>
    <w:basedOn w:val="Normal"/>
    <w:link w:val="EndnoteTextChar"/>
    <w:uiPriority w:val="99"/>
    <w:unhideWhenUsed/>
    <w:rsid w:val="00D25619"/>
    <w:rPr>
      <w:sz w:val="20"/>
      <w:szCs w:val="20"/>
    </w:rPr>
  </w:style>
  <w:style w:type="character" w:customStyle="1" w:styleId="EndnoteTextChar">
    <w:name w:val="Endnote Text Char"/>
    <w:basedOn w:val="DefaultParagraphFont"/>
    <w:link w:val="EndnoteText"/>
    <w:uiPriority w:val="99"/>
    <w:rsid w:val="00D25619"/>
    <w:rPr>
      <w:rFonts w:eastAsia="Times New Roman" w:cs="Times New Roman"/>
      <w:sz w:val="20"/>
      <w:szCs w:val="20"/>
    </w:rPr>
  </w:style>
  <w:style w:type="character" w:styleId="EndnoteReference">
    <w:name w:val="endnote reference"/>
    <w:basedOn w:val="DefaultParagraphFont"/>
    <w:uiPriority w:val="99"/>
    <w:semiHidden/>
    <w:unhideWhenUsed/>
    <w:rsid w:val="00D25619"/>
    <w:rPr>
      <w:vertAlign w:val="superscript"/>
    </w:rPr>
  </w:style>
  <w:style w:type="paragraph" w:styleId="FootnoteText">
    <w:name w:val="footnote text"/>
    <w:basedOn w:val="Normal"/>
    <w:link w:val="FootnoteTextChar"/>
    <w:uiPriority w:val="99"/>
    <w:unhideWhenUsed/>
    <w:rsid w:val="00D25619"/>
    <w:rPr>
      <w:sz w:val="20"/>
      <w:szCs w:val="20"/>
    </w:rPr>
  </w:style>
  <w:style w:type="character" w:customStyle="1" w:styleId="FootnoteTextChar">
    <w:name w:val="Footnote Text Char"/>
    <w:basedOn w:val="DefaultParagraphFont"/>
    <w:link w:val="FootnoteText"/>
    <w:uiPriority w:val="99"/>
    <w:rsid w:val="00D25619"/>
    <w:rPr>
      <w:rFonts w:eastAsia="Times New Roman" w:cs="Times New Roman"/>
      <w:sz w:val="20"/>
      <w:szCs w:val="20"/>
    </w:rPr>
  </w:style>
  <w:style w:type="character" w:styleId="FootnoteReference">
    <w:name w:val="footnote reference"/>
    <w:basedOn w:val="DefaultParagraphFont"/>
    <w:uiPriority w:val="99"/>
    <w:semiHidden/>
    <w:unhideWhenUsed/>
    <w:rsid w:val="00D25619"/>
    <w:rPr>
      <w:vertAlign w:val="superscript"/>
    </w:rPr>
  </w:style>
  <w:style w:type="character" w:styleId="FollowedHyperlink">
    <w:name w:val="FollowedHyperlink"/>
    <w:basedOn w:val="DefaultParagraphFont"/>
    <w:uiPriority w:val="99"/>
    <w:semiHidden/>
    <w:unhideWhenUsed/>
    <w:rsid w:val="00D25619"/>
    <w:rPr>
      <w:color w:val="954F72" w:themeColor="followedHyperlink"/>
      <w:u w:val="single"/>
    </w:rPr>
  </w:style>
  <w:style w:type="table" w:styleId="TableGrid">
    <w:name w:val="Table Grid"/>
    <w:basedOn w:val="TableNormal"/>
    <w:uiPriority w:val="59"/>
    <w:rsid w:val="00D25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D25619"/>
    <w:rPr>
      <w:color w:val="2B579A"/>
      <w:shd w:val="clear" w:color="auto" w:fill="E6E6E6"/>
    </w:rPr>
  </w:style>
  <w:style w:type="paragraph" w:customStyle="1" w:styleId="References">
    <w:name w:val="References"/>
    <w:basedOn w:val="NoSpacing"/>
    <w:next w:val="NoSpacing"/>
    <w:autoRedefine/>
    <w:qFormat/>
    <w:rsid w:val="007B65B8"/>
    <w:rPr>
      <w:sz w:val="20"/>
    </w:rPr>
  </w:style>
  <w:style w:type="paragraph" w:styleId="Revision">
    <w:name w:val="Revision"/>
    <w:hidden/>
    <w:uiPriority w:val="99"/>
    <w:semiHidden/>
    <w:rsid w:val="00872D96"/>
    <w:pPr>
      <w:spacing w:after="0" w:line="240" w:lineRule="auto"/>
    </w:pPr>
  </w:style>
  <w:style w:type="paragraph" w:styleId="HTMLPreformatted">
    <w:name w:val="HTML Preformatted"/>
    <w:basedOn w:val="Normal"/>
    <w:link w:val="HTMLPreformattedChar"/>
    <w:uiPriority w:val="99"/>
    <w:unhideWhenUsed/>
    <w:rsid w:val="00494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94EE4"/>
    <w:rPr>
      <w:rFonts w:ascii="Courier New" w:eastAsia="Times New Roman" w:hAnsi="Courier New" w:cs="Courier New"/>
      <w:sz w:val="20"/>
      <w:szCs w:val="20"/>
    </w:rPr>
  </w:style>
  <w:style w:type="paragraph" w:styleId="Caption">
    <w:name w:val="caption"/>
    <w:basedOn w:val="Normal"/>
    <w:next w:val="Normal"/>
    <w:uiPriority w:val="35"/>
    <w:unhideWhenUsed/>
    <w:qFormat/>
    <w:rsid w:val="006D5F79"/>
    <w:pPr>
      <w:spacing w:after="200"/>
    </w:pPr>
    <w:rPr>
      <w:i/>
      <w:iCs/>
      <w:color w:val="44546A" w:themeColor="text2"/>
      <w:sz w:val="18"/>
      <w:szCs w:val="18"/>
    </w:rPr>
  </w:style>
  <w:style w:type="character" w:customStyle="1" w:styleId="cf01">
    <w:name w:val="cf01"/>
    <w:basedOn w:val="DefaultParagraphFont"/>
    <w:rsid w:val="00EB1AF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320">
      <w:bodyDiv w:val="1"/>
      <w:marLeft w:val="0"/>
      <w:marRight w:val="0"/>
      <w:marTop w:val="0"/>
      <w:marBottom w:val="0"/>
      <w:divBdr>
        <w:top w:val="none" w:sz="0" w:space="0" w:color="auto"/>
        <w:left w:val="none" w:sz="0" w:space="0" w:color="auto"/>
        <w:bottom w:val="none" w:sz="0" w:space="0" w:color="auto"/>
        <w:right w:val="none" w:sz="0" w:space="0" w:color="auto"/>
      </w:divBdr>
      <w:divsChild>
        <w:div w:id="174728121">
          <w:marLeft w:val="480"/>
          <w:marRight w:val="0"/>
          <w:marTop w:val="0"/>
          <w:marBottom w:val="0"/>
          <w:divBdr>
            <w:top w:val="none" w:sz="0" w:space="0" w:color="auto"/>
            <w:left w:val="none" w:sz="0" w:space="0" w:color="auto"/>
            <w:bottom w:val="none" w:sz="0" w:space="0" w:color="auto"/>
            <w:right w:val="none" w:sz="0" w:space="0" w:color="auto"/>
          </w:divBdr>
          <w:divsChild>
            <w:div w:id="134474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262">
      <w:bodyDiv w:val="1"/>
      <w:marLeft w:val="0"/>
      <w:marRight w:val="0"/>
      <w:marTop w:val="0"/>
      <w:marBottom w:val="0"/>
      <w:divBdr>
        <w:top w:val="none" w:sz="0" w:space="0" w:color="auto"/>
        <w:left w:val="none" w:sz="0" w:space="0" w:color="auto"/>
        <w:bottom w:val="none" w:sz="0" w:space="0" w:color="auto"/>
        <w:right w:val="none" w:sz="0" w:space="0" w:color="auto"/>
      </w:divBdr>
      <w:divsChild>
        <w:div w:id="526141512">
          <w:marLeft w:val="480"/>
          <w:marRight w:val="0"/>
          <w:marTop w:val="0"/>
          <w:marBottom w:val="0"/>
          <w:divBdr>
            <w:top w:val="none" w:sz="0" w:space="0" w:color="auto"/>
            <w:left w:val="none" w:sz="0" w:space="0" w:color="auto"/>
            <w:bottom w:val="none" w:sz="0" w:space="0" w:color="auto"/>
            <w:right w:val="none" w:sz="0" w:space="0" w:color="auto"/>
          </w:divBdr>
          <w:divsChild>
            <w:div w:id="96137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2099">
      <w:bodyDiv w:val="1"/>
      <w:marLeft w:val="0"/>
      <w:marRight w:val="0"/>
      <w:marTop w:val="0"/>
      <w:marBottom w:val="0"/>
      <w:divBdr>
        <w:top w:val="none" w:sz="0" w:space="0" w:color="auto"/>
        <w:left w:val="none" w:sz="0" w:space="0" w:color="auto"/>
        <w:bottom w:val="none" w:sz="0" w:space="0" w:color="auto"/>
        <w:right w:val="none" w:sz="0" w:space="0" w:color="auto"/>
      </w:divBdr>
      <w:divsChild>
        <w:div w:id="690031220">
          <w:marLeft w:val="480"/>
          <w:marRight w:val="0"/>
          <w:marTop w:val="0"/>
          <w:marBottom w:val="0"/>
          <w:divBdr>
            <w:top w:val="none" w:sz="0" w:space="0" w:color="auto"/>
            <w:left w:val="none" w:sz="0" w:space="0" w:color="auto"/>
            <w:bottom w:val="none" w:sz="0" w:space="0" w:color="auto"/>
            <w:right w:val="none" w:sz="0" w:space="0" w:color="auto"/>
          </w:divBdr>
          <w:divsChild>
            <w:div w:id="20095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2453">
      <w:bodyDiv w:val="1"/>
      <w:marLeft w:val="0"/>
      <w:marRight w:val="0"/>
      <w:marTop w:val="0"/>
      <w:marBottom w:val="0"/>
      <w:divBdr>
        <w:top w:val="none" w:sz="0" w:space="0" w:color="auto"/>
        <w:left w:val="none" w:sz="0" w:space="0" w:color="auto"/>
        <w:bottom w:val="none" w:sz="0" w:space="0" w:color="auto"/>
        <w:right w:val="none" w:sz="0" w:space="0" w:color="auto"/>
      </w:divBdr>
      <w:divsChild>
        <w:div w:id="576401768">
          <w:marLeft w:val="480"/>
          <w:marRight w:val="0"/>
          <w:marTop w:val="0"/>
          <w:marBottom w:val="0"/>
          <w:divBdr>
            <w:top w:val="none" w:sz="0" w:space="0" w:color="auto"/>
            <w:left w:val="none" w:sz="0" w:space="0" w:color="auto"/>
            <w:bottom w:val="none" w:sz="0" w:space="0" w:color="auto"/>
            <w:right w:val="none" w:sz="0" w:space="0" w:color="auto"/>
          </w:divBdr>
          <w:divsChild>
            <w:div w:id="110326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4953">
      <w:bodyDiv w:val="1"/>
      <w:marLeft w:val="0"/>
      <w:marRight w:val="0"/>
      <w:marTop w:val="0"/>
      <w:marBottom w:val="0"/>
      <w:divBdr>
        <w:top w:val="none" w:sz="0" w:space="0" w:color="auto"/>
        <w:left w:val="none" w:sz="0" w:space="0" w:color="auto"/>
        <w:bottom w:val="none" w:sz="0" w:space="0" w:color="auto"/>
        <w:right w:val="none" w:sz="0" w:space="0" w:color="auto"/>
      </w:divBdr>
      <w:divsChild>
        <w:div w:id="1674527835">
          <w:marLeft w:val="480"/>
          <w:marRight w:val="0"/>
          <w:marTop w:val="0"/>
          <w:marBottom w:val="0"/>
          <w:divBdr>
            <w:top w:val="none" w:sz="0" w:space="0" w:color="auto"/>
            <w:left w:val="none" w:sz="0" w:space="0" w:color="auto"/>
            <w:bottom w:val="none" w:sz="0" w:space="0" w:color="auto"/>
            <w:right w:val="none" w:sz="0" w:space="0" w:color="auto"/>
          </w:divBdr>
          <w:divsChild>
            <w:div w:id="76527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5937">
      <w:bodyDiv w:val="1"/>
      <w:marLeft w:val="0"/>
      <w:marRight w:val="0"/>
      <w:marTop w:val="0"/>
      <w:marBottom w:val="0"/>
      <w:divBdr>
        <w:top w:val="none" w:sz="0" w:space="0" w:color="auto"/>
        <w:left w:val="none" w:sz="0" w:space="0" w:color="auto"/>
        <w:bottom w:val="none" w:sz="0" w:space="0" w:color="auto"/>
        <w:right w:val="none" w:sz="0" w:space="0" w:color="auto"/>
      </w:divBdr>
      <w:divsChild>
        <w:div w:id="163715788">
          <w:marLeft w:val="480"/>
          <w:marRight w:val="0"/>
          <w:marTop w:val="0"/>
          <w:marBottom w:val="0"/>
          <w:divBdr>
            <w:top w:val="none" w:sz="0" w:space="0" w:color="auto"/>
            <w:left w:val="none" w:sz="0" w:space="0" w:color="auto"/>
            <w:bottom w:val="none" w:sz="0" w:space="0" w:color="auto"/>
            <w:right w:val="none" w:sz="0" w:space="0" w:color="auto"/>
          </w:divBdr>
          <w:divsChild>
            <w:div w:id="21377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4472">
      <w:bodyDiv w:val="1"/>
      <w:marLeft w:val="0"/>
      <w:marRight w:val="0"/>
      <w:marTop w:val="0"/>
      <w:marBottom w:val="0"/>
      <w:divBdr>
        <w:top w:val="none" w:sz="0" w:space="0" w:color="auto"/>
        <w:left w:val="none" w:sz="0" w:space="0" w:color="auto"/>
        <w:bottom w:val="none" w:sz="0" w:space="0" w:color="auto"/>
        <w:right w:val="none" w:sz="0" w:space="0" w:color="auto"/>
      </w:divBdr>
      <w:divsChild>
        <w:div w:id="67390402">
          <w:marLeft w:val="0"/>
          <w:marRight w:val="0"/>
          <w:marTop w:val="0"/>
          <w:marBottom w:val="0"/>
          <w:divBdr>
            <w:top w:val="none" w:sz="0" w:space="0" w:color="auto"/>
            <w:left w:val="none" w:sz="0" w:space="0" w:color="auto"/>
            <w:bottom w:val="none" w:sz="0" w:space="0" w:color="auto"/>
            <w:right w:val="none" w:sz="0" w:space="0" w:color="auto"/>
          </w:divBdr>
        </w:div>
        <w:div w:id="1170945187">
          <w:marLeft w:val="0"/>
          <w:marRight w:val="0"/>
          <w:marTop w:val="0"/>
          <w:marBottom w:val="0"/>
          <w:divBdr>
            <w:top w:val="none" w:sz="0" w:space="0" w:color="auto"/>
            <w:left w:val="none" w:sz="0" w:space="0" w:color="auto"/>
            <w:bottom w:val="none" w:sz="0" w:space="0" w:color="auto"/>
            <w:right w:val="none" w:sz="0" w:space="0" w:color="auto"/>
          </w:divBdr>
        </w:div>
        <w:div w:id="1173227796">
          <w:marLeft w:val="0"/>
          <w:marRight w:val="0"/>
          <w:marTop w:val="0"/>
          <w:marBottom w:val="0"/>
          <w:divBdr>
            <w:top w:val="none" w:sz="0" w:space="0" w:color="auto"/>
            <w:left w:val="none" w:sz="0" w:space="0" w:color="auto"/>
            <w:bottom w:val="none" w:sz="0" w:space="0" w:color="auto"/>
            <w:right w:val="none" w:sz="0" w:space="0" w:color="auto"/>
          </w:divBdr>
        </w:div>
        <w:div w:id="1554924078">
          <w:marLeft w:val="0"/>
          <w:marRight w:val="0"/>
          <w:marTop w:val="0"/>
          <w:marBottom w:val="0"/>
          <w:divBdr>
            <w:top w:val="none" w:sz="0" w:space="0" w:color="auto"/>
            <w:left w:val="none" w:sz="0" w:space="0" w:color="auto"/>
            <w:bottom w:val="none" w:sz="0" w:space="0" w:color="auto"/>
            <w:right w:val="none" w:sz="0" w:space="0" w:color="auto"/>
          </w:divBdr>
        </w:div>
        <w:div w:id="1915165601">
          <w:marLeft w:val="0"/>
          <w:marRight w:val="0"/>
          <w:marTop w:val="0"/>
          <w:marBottom w:val="0"/>
          <w:divBdr>
            <w:top w:val="none" w:sz="0" w:space="0" w:color="auto"/>
            <w:left w:val="none" w:sz="0" w:space="0" w:color="auto"/>
            <w:bottom w:val="none" w:sz="0" w:space="0" w:color="auto"/>
            <w:right w:val="none" w:sz="0" w:space="0" w:color="auto"/>
          </w:divBdr>
        </w:div>
        <w:div w:id="1986930564">
          <w:marLeft w:val="0"/>
          <w:marRight w:val="0"/>
          <w:marTop w:val="0"/>
          <w:marBottom w:val="0"/>
          <w:divBdr>
            <w:top w:val="none" w:sz="0" w:space="0" w:color="auto"/>
            <w:left w:val="none" w:sz="0" w:space="0" w:color="auto"/>
            <w:bottom w:val="none" w:sz="0" w:space="0" w:color="auto"/>
            <w:right w:val="none" w:sz="0" w:space="0" w:color="auto"/>
          </w:divBdr>
        </w:div>
      </w:divsChild>
    </w:div>
    <w:div w:id="105119993">
      <w:bodyDiv w:val="1"/>
      <w:marLeft w:val="0"/>
      <w:marRight w:val="0"/>
      <w:marTop w:val="0"/>
      <w:marBottom w:val="0"/>
      <w:divBdr>
        <w:top w:val="none" w:sz="0" w:space="0" w:color="auto"/>
        <w:left w:val="none" w:sz="0" w:space="0" w:color="auto"/>
        <w:bottom w:val="none" w:sz="0" w:space="0" w:color="auto"/>
        <w:right w:val="none" w:sz="0" w:space="0" w:color="auto"/>
      </w:divBdr>
      <w:divsChild>
        <w:div w:id="1656256674">
          <w:marLeft w:val="480"/>
          <w:marRight w:val="0"/>
          <w:marTop w:val="0"/>
          <w:marBottom w:val="0"/>
          <w:divBdr>
            <w:top w:val="none" w:sz="0" w:space="0" w:color="auto"/>
            <w:left w:val="none" w:sz="0" w:space="0" w:color="auto"/>
            <w:bottom w:val="none" w:sz="0" w:space="0" w:color="auto"/>
            <w:right w:val="none" w:sz="0" w:space="0" w:color="auto"/>
          </w:divBdr>
          <w:divsChild>
            <w:div w:id="18454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4411">
      <w:bodyDiv w:val="1"/>
      <w:marLeft w:val="0"/>
      <w:marRight w:val="0"/>
      <w:marTop w:val="0"/>
      <w:marBottom w:val="0"/>
      <w:divBdr>
        <w:top w:val="none" w:sz="0" w:space="0" w:color="auto"/>
        <w:left w:val="none" w:sz="0" w:space="0" w:color="auto"/>
        <w:bottom w:val="none" w:sz="0" w:space="0" w:color="auto"/>
        <w:right w:val="none" w:sz="0" w:space="0" w:color="auto"/>
      </w:divBdr>
      <w:divsChild>
        <w:div w:id="143354154">
          <w:marLeft w:val="480"/>
          <w:marRight w:val="0"/>
          <w:marTop w:val="0"/>
          <w:marBottom w:val="0"/>
          <w:divBdr>
            <w:top w:val="none" w:sz="0" w:space="0" w:color="auto"/>
            <w:left w:val="none" w:sz="0" w:space="0" w:color="auto"/>
            <w:bottom w:val="none" w:sz="0" w:space="0" w:color="auto"/>
            <w:right w:val="none" w:sz="0" w:space="0" w:color="auto"/>
          </w:divBdr>
          <w:divsChild>
            <w:div w:id="14262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1889">
      <w:bodyDiv w:val="1"/>
      <w:marLeft w:val="0"/>
      <w:marRight w:val="0"/>
      <w:marTop w:val="0"/>
      <w:marBottom w:val="0"/>
      <w:divBdr>
        <w:top w:val="none" w:sz="0" w:space="0" w:color="auto"/>
        <w:left w:val="none" w:sz="0" w:space="0" w:color="auto"/>
        <w:bottom w:val="none" w:sz="0" w:space="0" w:color="auto"/>
        <w:right w:val="none" w:sz="0" w:space="0" w:color="auto"/>
      </w:divBdr>
      <w:divsChild>
        <w:div w:id="1217088791">
          <w:marLeft w:val="480"/>
          <w:marRight w:val="0"/>
          <w:marTop w:val="0"/>
          <w:marBottom w:val="0"/>
          <w:divBdr>
            <w:top w:val="none" w:sz="0" w:space="0" w:color="auto"/>
            <w:left w:val="none" w:sz="0" w:space="0" w:color="auto"/>
            <w:bottom w:val="none" w:sz="0" w:space="0" w:color="auto"/>
            <w:right w:val="none" w:sz="0" w:space="0" w:color="auto"/>
          </w:divBdr>
          <w:divsChild>
            <w:div w:id="190201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9628">
      <w:bodyDiv w:val="1"/>
      <w:marLeft w:val="0"/>
      <w:marRight w:val="0"/>
      <w:marTop w:val="0"/>
      <w:marBottom w:val="0"/>
      <w:divBdr>
        <w:top w:val="none" w:sz="0" w:space="0" w:color="auto"/>
        <w:left w:val="none" w:sz="0" w:space="0" w:color="auto"/>
        <w:bottom w:val="none" w:sz="0" w:space="0" w:color="auto"/>
        <w:right w:val="none" w:sz="0" w:space="0" w:color="auto"/>
      </w:divBdr>
      <w:divsChild>
        <w:div w:id="1637374582">
          <w:marLeft w:val="480"/>
          <w:marRight w:val="0"/>
          <w:marTop w:val="0"/>
          <w:marBottom w:val="0"/>
          <w:divBdr>
            <w:top w:val="none" w:sz="0" w:space="0" w:color="auto"/>
            <w:left w:val="none" w:sz="0" w:space="0" w:color="auto"/>
            <w:bottom w:val="none" w:sz="0" w:space="0" w:color="auto"/>
            <w:right w:val="none" w:sz="0" w:space="0" w:color="auto"/>
          </w:divBdr>
          <w:divsChild>
            <w:div w:id="142160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1026">
      <w:bodyDiv w:val="1"/>
      <w:marLeft w:val="0"/>
      <w:marRight w:val="0"/>
      <w:marTop w:val="0"/>
      <w:marBottom w:val="0"/>
      <w:divBdr>
        <w:top w:val="none" w:sz="0" w:space="0" w:color="auto"/>
        <w:left w:val="none" w:sz="0" w:space="0" w:color="auto"/>
        <w:bottom w:val="none" w:sz="0" w:space="0" w:color="auto"/>
        <w:right w:val="none" w:sz="0" w:space="0" w:color="auto"/>
      </w:divBdr>
      <w:divsChild>
        <w:div w:id="1498956778">
          <w:marLeft w:val="480"/>
          <w:marRight w:val="0"/>
          <w:marTop w:val="0"/>
          <w:marBottom w:val="0"/>
          <w:divBdr>
            <w:top w:val="none" w:sz="0" w:space="0" w:color="auto"/>
            <w:left w:val="none" w:sz="0" w:space="0" w:color="auto"/>
            <w:bottom w:val="none" w:sz="0" w:space="0" w:color="auto"/>
            <w:right w:val="none" w:sz="0" w:space="0" w:color="auto"/>
          </w:divBdr>
          <w:divsChild>
            <w:div w:id="144410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6631">
      <w:bodyDiv w:val="1"/>
      <w:marLeft w:val="0"/>
      <w:marRight w:val="0"/>
      <w:marTop w:val="0"/>
      <w:marBottom w:val="0"/>
      <w:divBdr>
        <w:top w:val="none" w:sz="0" w:space="0" w:color="auto"/>
        <w:left w:val="none" w:sz="0" w:space="0" w:color="auto"/>
        <w:bottom w:val="none" w:sz="0" w:space="0" w:color="auto"/>
        <w:right w:val="none" w:sz="0" w:space="0" w:color="auto"/>
      </w:divBdr>
      <w:divsChild>
        <w:div w:id="447550475">
          <w:marLeft w:val="480"/>
          <w:marRight w:val="0"/>
          <w:marTop w:val="0"/>
          <w:marBottom w:val="0"/>
          <w:divBdr>
            <w:top w:val="none" w:sz="0" w:space="0" w:color="auto"/>
            <w:left w:val="none" w:sz="0" w:space="0" w:color="auto"/>
            <w:bottom w:val="none" w:sz="0" w:space="0" w:color="auto"/>
            <w:right w:val="none" w:sz="0" w:space="0" w:color="auto"/>
          </w:divBdr>
          <w:divsChild>
            <w:div w:id="156633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8762">
      <w:bodyDiv w:val="1"/>
      <w:marLeft w:val="0"/>
      <w:marRight w:val="0"/>
      <w:marTop w:val="0"/>
      <w:marBottom w:val="0"/>
      <w:divBdr>
        <w:top w:val="none" w:sz="0" w:space="0" w:color="auto"/>
        <w:left w:val="none" w:sz="0" w:space="0" w:color="auto"/>
        <w:bottom w:val="none" w:sz="0" w:space="0" w:color="auto"/>
        <w:right w:val="none" w:sz="0" w:space="0" w:color="auto"/>
      </w:divBdr>
    </w:div>
    <w:div w:id="257063798">
      <w:bodyDiv w:val="1"/>
      <w:marLeft w:val="0"/>
      <w:marRight w:val="0"/>
      <w:marTop w:val="0"/>
      <w:marBottom w:val="0"/>
      <w:divBdr>
        <w:top w:val="none" w:sz="0" w:space="0" w:color="auto"/>
        <w:left w:val="none" w:sz="0" w:space="0" w:color="auto"/>
        <w:bottom w:val="none" w:sz="0" w:space="0" w:color="auto"/>
        <w:right w:val="none" w:sz="0" w:space="0" w:color="auto"/>
      </w:divBdr>
      <w:divsChild>
        <w:div w:id="623661425">
          <w:marLeft w:val="480"/>
          <w:marRight w:val="0"/>
          <w:marTop w:val="0"/>
          <w:marBottom w:val="0"/>
          <w:divBdr>
            <w:top w:val="none" w:sz="0" w:space="0" w:color="auto"/>
            <w:left w:val="none" w:sz="0" w:space="0" w:color="auto"/>
            <w:bottom w:val="none" w:sz="0" w:space="0" w:color="auto"/>
            <w:right w:val="none" w:sz="0" w:space="0" w:color="auto"/>
          </w:divBdr>
          <w:divsChild>
            <w:div w:id="87635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87004">
      <w:bodyDiv w:val="1"/>
      <w:marLeft w:val="0"/>
      <w:marRight w:val="0"/>
      <w:marTop w:val="0"/>
      <w:marBottom w:val="0"/>
      <w:divBdr>
        <w:top w:val="none" w:sz="0" w:space="0" w:color="auto"/>
        <w:left w:val="none" w:sz="0" w:space="0" w:color="auto"/>
        <w:bottom w:val="none" w:sz="0" w:space="0" w:color="auto"/>
        <w:right w:val="none" w:sz="0" w:space="0" w:color="auto"/>
      </w:divBdr>
      <w:divsChild>
        <w:div w:id="652216244">
          <w:marLeft w:val="480"/>
          <w:marRight w:val="0"/>
          <w:marTop w:val="0"/>
          <w:marBottom w:val="0"/>
          <w:divBdr>
            <w:top w:val="none" w:sz="0" w:space="0" w:color="auto"/>
            <w:left w:val="none" w:sz="0" w:space="0" w:color="auto"/>
            <w:bottom w:val="none" w:sz="0" w:space="0" w:color="auto"/>
            <w:right w:val="none" w:sz="0" w:space="0" w:color="auto"/>
          </w:divBdr>
          <w:divsChild>
            <w:div w:id="6199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60556">
      <w:bodyDiv w:val="1"/>
      <w:marLeft w:val="0"/>
      <w:marRight w:val="0"/>
      <w:marTop w:val="0"/>
      <w:marBottom w:val="0"/>
      <w:divBdr>
        <w:top w:val="none" w:sz="0" w:space="0" w:color="auto"/>
        <w:left w:val="none" w:sz="0" w:space="0" w:color="auto"/>
        <w:bottom w:val="none" w:sz="0" w:space="0" w:color="auto"/>
        <w:right w:val="none" w:sz="0" w:space="0" w:color="auto"/>
      </w:divBdr>
      <w:divsChild>
        <w:div w:id="287395169">
          <w:marLeft w:val="480"/>
          <w:marRight w:val="0"/>
          <w:marTop w:val="0"/>
          <w:marBottom w:val="0"/>
          <w:divBdr>
            <w:top w:val="none" w:sz="0" w:space="0" w:color="auto"/>
            <w:left w:val="none" w:sz="0" w:space="0" w:color="auto"/>
            <w:bottom w:val="none" w:sz="0" w:space="0" w:color="auto"/>
            <w:right w:val="none" w:sz="0" w:space="0" w:color="auto"/>
          </w:divBdr>
          <w:divsChild>
            <w:div w:id="1684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6905">
      <w:bodyDiv w:val="1"/>
      <w:marLeft w:val="0"/>
      <w:marRight w:val="0"/>
      <w:marTop w:val="0"/>
      <w:marBottom w:val="0"/>
      <w:divBdr>
        <w:top w:val="none" w:sz="0" w:space="0" w:color="auto"/>
        <w:left w:val="none" w:sz="0" w:space="0" w:color="auto"/>
        <w:bottom w:val="none" w:sz="0" w:space="0" w:color="auto"/>
        <w:right w:val="none" w:sz="0" w:space="0" w:color="auto"/>
      </w:divBdr>
      <w:divsChild>
        <w:div w:id="1490252158">
          <w:marLeft w:val="480"/>
          <w:marRight w:val="0"/>
          <w:marTop w:val="0"/>
          <w:marBottom w:val="0"/>
          <w:divBdr>
            <w:top w:val="none" w:sz="0" w:space="0" w:color="auto"/>
            <w:left w:val="none" w:sz="0" w:space="0" w:color="auto"/>
            <w:bottom w:val="none" w:sz="0" w:space="0" w:color="auto"/>
            <w:right w:val="none" w:sz="0" w:space="0" w:color="auto"/>
          </w:divBdr>
          <w:divsChild>
            <w:div w:id="162322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37382">
      <w:bodyDiv w:val="1"/>
      <w:marLeft w:val="0"/>
      <w:marRight w:val="0"/>
      <w:marTop w:val="0"/>
      <w:marBottom w:val="0"/>
      <w:divBdr>
        <w:top w:val="none" w:sz="0" w:space="0" w:color="auto"/>
        <w:left w:val="none" w:sz="0" w:space="0" w:color="auto"/>
        <w:bottom w:val="none" w:sz="0" w:space="0" w:color="auto"/>
        <w:right w:val="none" w:sz="0" w:space="0" w:color="auto"/>
      </w:divBdr>
      <w:divsChild>
        <w:div w:id="604382718">
          <w:marLeft w:val="480"/>
          <w:marRight w:val="0"/>
          <w:marTop w:val="0"/>
          <w:marBottom w:val="0"/>
          <w:divBdr>
            <w:top w:val="none" w:sz="0" w:space="0" w:color="auto"/>
            <w:left w:val="none" w:sz="0" w:space="0" w:color="auto"/>
            <w:bottom w:val="none" w:sz="0" w:space="0" w:color="auto"/>
            <w:right w:val="none" w:sz="0" w:space="0" w:color="auto"/>
          </w:divBdr>
          <w:divsChild>
            <w:div w:id="20420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19999">
      <w:bodyDiv w:val="1"/>
      <w:marLeft w:val="0"/>
      <w:marRight w:val="0"/>
      <w:marTop w:val="0"/>
      <w:marBottom w:val="0"/>
      <w:divBdr>
        <w:top w:val="none" w:sz="0" w:space="0" w:color="auto"/>
        <w:left w:val="none" w:sz="0" w:space="0" w:color="auto"/>
        <w:bottom w:val="none" w:sz="0" w:space="0" w:color="auto"/>
        <w:right w:val="none" w:sz="0" w:space="0" w:color="auto"/>
      </w:divBdr>
      <w:divsChild>
        <w:div w:id="1534033175">
          <w:marLeft w:val="480"/>
          <w:marRight w:val="0"/>
          <w:marTop w:val="0"/>
          <w:marBottom w:val="0"/>
          <w:divBdr>
            <w:top w:val="none" w:sz="0" w:space="0" w:color="auto"/>
            <w:left w:val="none" w:sz="0" w:space="0" w:color="auto"/>
            <w:bottom w:val="none" w:sz="0" w:space="0" w:color="auto"/>
            <w:right w:val="none" w:sz="0" w:space="0" w:color="auto"/>
          </w:divBdr>
          <w:divsChild>
            <w:div w:id="68868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39334">
      <w:bodyDiv w:val="1"/>
      <w:marLeft w:val="0"/>
      <w:marRight w:val="0"/>
      <w:marTop w:val="0"/>
      <w:marBottom w:val="0"/>
      <w:divBdr>
        <w:top w:val="none" w:sz="0" w:space="0" w:color="auto"/>
        <w:left w:val="none" w:sz="0" w:space="0" w:color="auto"/>
        <w:bottom w:val="none" w:sz="0" w:space="0" w:color="auto"/>
        <w:right w:val="none" w:sz="0" w:space="0" w:color="auto"/>
      </w:divBdr>
      <w:divsChild>
        <w:div w:id="1580673347">
          <w:marLeft w:val="480"/>
          <w:marRight w:val="0"/>
          <w:marTop w:val="0"/>
          <w:marBottom w:val="0"/>
          <w:divBdr>
            <w:top w:val="none" w:sz="0" w:space="0" w:color="auto"/>
            <w:left w:val="none" w:sz="0" w:space="0" w:color="auto"/>
            <w:bottom w:val="none" w:sz="0" w:space="0" w:color="auto"/>
            <w:right w:val="none" w:sz="0" w:space="0" w:color="auto"/>
          </w:divBdr>
          <w:divsChild>
            <w:div w:id="188300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9166">
      <w:bodyDiv w:val="1"/>
      <w:marLeft w:val="0"/>
      <w:marRight w:val="0"/>
      <w:marTop w:val="0"/>
      <w:marBottom w:val="0"/>
      <w:divBdr>
        <w:top w:val="none" w:sz="0" w:space="0" w:color="auto"/>
        <w:left w:val="none" w:sz="0" w:space="0" w:color="auto"/>
        <w:bottom w:val="none" w:sz="0" w:space="0" w:color="auto"/>
        <w:right w:val="none" w:sz="0" w:space="0" w:color="auto"/>
      </w:divBdr>
      <w:divsChild>
        <w:div w:id="1061370251">
          <w:marLeft w:val="480"/>
          <w:marRight w:val="0"/>
          <w:marTop w:val="0"/>
          <w:marBottom w:val="0"/>
          <w:divBdr>
            <w:top w:val="none" w:sz="0" w:space="0" w:color="auto"/>
            <w:left w:val="none" w:sz="0" w:space="0" w:color="auto"/>
            <w:bottom w:val="none" w:sz="0" w:space="0" w:color="auto"/>
            <w:right w:val="none" w:sz="0" w:space="0" w:color="auto"/>
          </w:divBdr>
          <w:divsChild>
            <w:div w:id="199225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2456">
      <w:bodyDiv w:val="1"/>
      <w:marLeft w:val="0"/>
      <w:marRight w:val="0"/>
      <w:marTop w:val="0"/>
      <w:marBottom w:val="0"/>
      <w:divBdr>
        <w:top w:val="none" w:sz="0" w:space="0" w:color="auto"/>
        <w:left w:val="none" w:sz="0" w:space="0" w:color="auto"/>
        <w:bottom w:val="none" w:sz="0" w:space="0" w:color="auto"/>
        <w:right w:val="none" w:sz="0" w:space="0" w:color="auto"/>
      </w:divBdr>
      <w:divsChild>
        <w:div w:id="1155611122">
          <w:marLeft w:val="480"/>
          <w:marRight w:val="0"/>
          <w:marTop w:val="0"/>
          <w:marBottom w:val="0"/>
          <w:divBdr>
            <w:top w:val="none" w:sz="0" w:space="0" w:color="auto"/>
            <w:left w:val="none" w:sz="0" w:space="0" w:color="auto"/>
            <w:bottom w:val="none" w:sz="0" w:space="0" w:color="auto"/>
            <w:right w:val="none" w:sz="0" w:space="0" w:color="auto"/>
          </w:divBdr>
          <w:divsChild>
            <w:div w:id="94909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37221">
      <w:bodyDiv w:val="1"/>
      <w:marLeft w:val="0"/>
      <w:marRight w:val="0"/>
      <w:marTop w:val="0"/>
      <w:marBottom w:val="0"/>
      <w:divBdr>
        <w:top w:val="none" w:sz="0" w:space="0" w:color="auto"/>
        <w:left w:val="none" w:sz="0" w:space="0" w:color="auto"/>
        <w:bottom w:val="none" w:sz="0" w:space="0" w:color="auto"/>
        <w:right w:val="none" w:sz="0" w:space="0" w:color="auto"/>
      </w:divBdr>
      <w:divsChild>
        <w:div w:id="1316035263">
          <w:marLeft w:val="480"/>
          <w:marRight w:val="0"/>
          <w:marTop w:val="0"/>
          <w:marBottom w:val="0"/>
          <w:divBdr>
            <w:top w:val="none" w:sz="0" w:space="0" w:color="auto"/>
            <w:left w:val="none" w:sz="0" w:space="0" w:color="auto"/>
            <w:bottom w:val="none" w:sz="0" w:space="0" w:color="auto"/>
            <w:right w:val="none" w:sz="0" w:space="0" w:color="auto"/>
          </w:divBdr>
          <w:divsChild>
            <w:div w:id="88181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08643">
      <w:bodyDiv w:val="1"/>
      <w:marLeft w:val="0"/>
      <w:marRight w:val="0"/>
      <w:marTop w:val="0"/>
      <w:marBottom w:val="0"/>
      <w:divBdr>
        <w:top w:val="none" w:sz="0" w:space="0" w:color="auto"/>
        <w:left w:val="none" w:sz="0" w:space="0" w:color="auto"/>
        <w:bottom w:val="none" w:sz="0" w:space="0" w:color="auto"/>
        <w:right w:val="none" w:sz="0" w:space="0" w:color="auto"/>
      </w:divBdr>
      <w:divsChild>
        <w:div w:id="2033022464">
          <w:marLeft w:val="480"/>
          <w:marRight w:val="0"/>
          <w:marTop w:val="0"/>
          <w:marBottom w:val="0"/>
          <w:divBdr>
            <w:top w:val="none" w:sz="0" w:space="0" w:color="auto"/>
            <w:left w:val="none" w:sz="0" w:space="0" w:color="auto"/>
            <w:bottom w:val="none" w:sz="0" w:space="0" w:color="auto"/>
            <w:right w:val="none" w:sz="0" w:space="0" w:color="auto"/>
          </w:divBdr>
          <w:divsChild>
            <w:div w:id="185345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1991">
      <w:bodyDiv w:val="1"/>
      <w:marLeft w:val="0"/>
      <w:marRight w:val="0"/>
      <w:marTop w:val="0"/>
      <w:marBottom w:val="0"/>
      <w:divBdr>
        <w:top w:val="none" w:sz="0" w:space="0" w:color="auto"/>
        <w:left w:val="none" w:sz="0" w:space="0" w:color="auto"/>
        <w:bottom w:val="none" w:sz="0" w:space="0" w:color="auto"/>
        <w:right w:val="none" w:sz="0" w:space="0" w:color="auto"/>
      </w:divBdr>
      <w:divsChild>
        <w:div w:id="1009605672">
          <w:marLeft w:val="480"/>
          <w:marRight w:val="0"/>
          <w:marTop w:val="0"/>
          <w:marBottom w:val="0"/>
          <w:divBdr>
            <w:top w:val="none" w:sz="0" w:space="0" w:color="auto"/>
            <w:left w:val="none" w:sz="0" w:space="0" w:color="auto"/>
            <w:bottom w:val="none" w:sz="0" w:space="0" w:color="auto"/>
            <w:right w:val="none" w:sz="0" w:space="0" w:color="auto"/>
          </w:divBdr>
          <w:divsChild>
            <w:div w:id="17249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56977">
      <w:bodyDiv w:val="1"/>
      <w:marLeft w:val="0"/>
      <w:marRight w:val="0"/>
      <w:marTop w:val="0"/>
      <w:marBottom w:val="0"/>
      <w:divBdr>
        <w:top w:val="none" w:sz="0" w:space="0" w:color="auto"/>
        <w:left w:val="none" w:sz="0" w:space="0" w:color="auto"/>
        <w:bottom w:val="none" w:sz="0" w:space="0" w:color="auto"/>
        <w:right w:val="none" w:sz="0" w:space="0" w:color="auto"/>
      </w:divBdr>
      <w:divsChild>
        <w:div w:id="1571620922">
          <w:marLeft w:val="480"/>
          <w:marRight w:val="0"/>
          <w:marTop w:val="0"/>
          <w:marBottom w:val="0"/>
          <w:divBdr>
            <w:top w:val="none" w:sz="0" w:space="0" w:color="auto"/>
            <w:left w:val="none" w:sz="0" w:space="0" w:color="auto"/>
            <w:bottom w:val="none" w:sz="0" w:space="0" w:color="auto"/>
            <w:right w:val="none" w:sz="0" w:space="0" w:color="auto"/>
          </w:divBdr>
          <w:divsChild>
            <w:div w:id="2221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1272">
      <w:bodyDiv w:val="1"/>
      <w:marLeft w:val="0"/>
      <w:marRight w:val="0"/>
      <w:marTop w:val="0"/>
      <w:marBottom w:val="0"/>
      <w:divBdr>
        <w:top w:val="none" w:sz="0" w:space="0" w:color="auto"/>
        <w:left w:val="none" w:sz="0" w:space="0" w:color="auto"/>
        <w:bottom w:val="none" w:sz="0" w:space="0" w:color="auto"/>
        <w:right w:val="none" w:sz="0" w:space="0" w:color="auto"/>
      </w:divBdr>
      <w:divsChild>
        <w:div w:id="308289148">
          <w:marLeft w:val="480"/>
          <w:marRight w:val="0"/>
          <w:marTop w:val="0"/>
          <w:marBottom w:val="0"/>
          <w:divBdr>
            <w:top w:val="none" w:sz="0" w:space="0" w:color="auto"/>
            <w:left w:val="none" w:sz="0" w:space="0" w:color="auto"/>
            <w:bottom w:val="none" w:sz="0" w:space="0" w:color="auto"/>
            <w:right w:val="none" w:sz="0" w:space="0" w:color="auto"/>
          </w:divBdr>
          <w:divsChild>
            <w:div w:id="204350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42593">
      <w:bodyDiv w:val="1"/>
      <w:marLeft w:val="0"/>
      <w:marRight w:val="0"/>
      <w:marTop w:val="0"/>
      <w:marBottom w:val="0"/>
      <w:divBdr>
        <w:top w:val="none" w:sz="0" w:space="0" w:color="auto"/>
        <w:left w:val="none" w:sz="0" w:space="0" w:color="auto"/>
        <w:bottom w:val="none" w:sz="0" w:space="0" w:color="auto"/>
        <w:right w:val="none" w:sz="0" w:space="0" w:color="auto"/>
      </w:divBdr>
      <w:divsChild>
        <w:div w:id="916669108">
          <w:marLeft w:val="480"/>
          <w:marRight w:val="0"/>
          <w:marTop w:val="0"/>
          <w:marBottom w:val="0"/>
          <w:divBdr>
            <w:top w:val="none" w:sz="0" w:space="0" w:color="auto"/>
            <w:left w:val="none" w:sz="0" w:space="0" w:color="auto"/>
            <w:bottom w:val="none" w:sz="0" w:space="0" w:color="auto"/>
            <w:right w:val="none" w:sz="0" w:space="0" w:color="auto"/>
          </w:divBdr>
          <w:divsChild>
            <w:div w:id="116458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90376">
      <w:bodyDiv w:val="1"/>
      <w:marLeft w:val="0"/>
      <w:marRight w:val="0"/>
      <w:marTop w:val="0"/>
      <w:marBottom w:val="0"/>
      <w:divBdr>
        <w:top w:val="none" w:sz="0" w:space="0" w:color="auto"/>
        <w:left w:val="none" w:sz="0" w:space="0" w:color="auto"/>
        <w:bottom w:val="none" w:sz="0" w:space="0" w:color="auto"/>
        <w:right w:val="none" w:sz="0" w:space="0" w:color="auto"/>
      </w:divBdr>
      <w:divsChild>
        <w:div w:id="1556235967">
          <w:marLeft w:val="480"/>
          <w:marRight w:val="0"/>
          <w:marTop w:val="0"/>
          <w:marBottom w:val="0"/>
          <w:divBdr>
            <w:top w:val="none" w:sz="0" w:space="0" w:color="auto"/>
            <w:left w:val="none" w:sz="0" w:space="0" w:color="auto"/>
            <w:bottom w:val="none" w:sz="0" w:space="0" w:color="auto"/>
            <w:right w:val="none" w:sz="0" w:space="0" w:color="auto"/>
          </w:divBdr>
          <w:divsChild>
            <w:div w:id="18746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81530">
      <w:bodyDiv w:val="1"/>
      <w:marLeft w:val="0"/>
      <w:marRight w:val="0"/>
      <w:marTop w:val="0"/>
      <w:marBottom w:val="0"/>
      <w:divBdr>
        <w:top w:val="none" w:sz="0" w:space="0" w:color="auto"/>
        <w:left w:val="none" w:sz="0" w:space="0" w:color="auto"/>
        <w:bottom w:val="none" w:sz="0" w:space="0" w:color="auto"/>
        <w:right w:val="none" w:sz="0" w:space="0" w:color="auto"/>
      </w:divBdr>
      <w:divsChild>
        <w:div w:id="1892619863">
          <w:marLeft w:val="480"/>
          <w:marRight w:val="0"/>
          <w:marTop w:val="0"/>
          <w:marBottom w:val="0"/>
          <w:divBdr>
            <w:top w:val="none" w:sz="0" w:space="0" w:color="auto"/>
            <w:left w:val="none" w:sz="0" w:space="0" w:color="auto"/>
            <w:bottom w:val="none" w:sz="0" w:space="0" w:color="auto"/>
            <w:right w:val="none" w:sz="0" w:space="0" w:color="auto"/>
          </w:divBdr>
          <w:divsChild>
            <w:div w:id="29722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42656">
      <w:bodyDiv w:val="1"/>
      <w:marLeft w:val="0"/>
      <w:marRight w:val="0"/>
      <w:marTop w:val="0"/>
      <w:marBottom w:val="0"/>
      <w:divBdr>
        <w:top w:val="none" w:sz="0" w:space="0" w:color="auto"/>
        <w:left w:val="none" w:sz="0" w:space="0" w:color="auto"/>
        <w:bottom w:val="none" w:sz="0" w:space="0" w:color="auto"/>
        <w:right w:val="none" w:sz="0" w:space="0" w:color="auto"/>
      </w:divBdr>
      <w:divsChild>
        <w:div w:id="1050962412">
          <w:marLeft w:val="480"/>
          <w:marRight w:val="0"/>
          <w:marTop w:val="0"/>
          <w:marBottom w:val="0"/>
          <w:divBdr>
            <w:top w:val="none" w:sz="0" w:space="0" w:color="auto"/>
            <w:left w:val="none" w:sz="0" w:space="0" w:color="auto"/>
            <w:bottom w:val="none" w:sz="0" w:space="0" w:color="auto"/>
            <w:right w:val="none" w:sz="0" w:space="0" w:color="auto"/>
          </w:divBdr>
          <w:divsChild>
            <w:div w:id="1296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19754">
      <w:bodyDiv w:val="1"/>
      <w:marLeft w:val="0"/>
      <w:marRight w:val="0"/>
      <w:marTop w:val="0"/>
      <w:marBottom w:val="0"/>
      <w:divBdr>
        <w:top w:val="none" w:sz="0" w:space="0" w:color="auto"/>
        <w:left w:val="none" w:sz="0" w:space="0" w:color="auto"/>
        <w:bottom w:val="none" w:sz="0" w:space="0" w:color="auto"/>
        <w:right w:val="none" w:sz="0" w:space="0" w:color="auto"/>
      </w:divBdr>
      <w:divsChild>
        <w:div w:id="808322272">
          <w:marLeft w:val="480"/>
          <w:marRight w:val="0"/>
          <w:marTop w:val="0"/>
          <w:marBottom w:val="0"/>
          <w:divBdr>
            <w:top w:val="none" w:sz="0" w:space="0" w:color="auto"/>
            <w:left w:val="none" w:sz="0" w:space="0" w:color="auto"/>
            <w:bottom w:val="none" w:sz="0" w:space="0" w:color="auto"/>
            <w:right w:val="none" w:sz="0" w:space="0" w:color="auto"/>
          </w:divBdr>
          <w:divsChild>
            <w:div w:id="146624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21140">
      <w:bodyDiv w:val="1"/>
      <w:marLeft w:val="0"/>
      <w:marRight w:val="0"/>
      <w:marTop w:val="0"/>
      <w:marBottom w:val="0"/>
      <w:divBdr>
        <w:top w:val="none" w:sz="0" w:space="0" w:color="auto"/>
        <w:left w:val="none" w:sz="0" w:space="0" w:color="auto"/>
        <w:bottom w:val="none" w:sz="0" w:space="0" w:color="auto"/>
        <w:right w:val="none" w:sz="0" w:space="0" w:color="auto"/>
      </w:divBdr>
      <w:divsChild>
        <w:div w:id="1852641439">
          <w:marLeft w:val="480"/>
          <w:marRight w:val="0"/>
          <w:marTop w:val="0"/>
          <w:marBottom w:val="0"/>
          <w:divBdr>
            <w:top w:val="none" w:sz="0" w:space="0" w:color="auto"/>
            <w:left w:val="none" w:sz="0" w:space="0" w:color="auto"/>
            <w:bottom w:val="none" w:sz="0" w:space="0" w:color="auto"/>
            <w:right w:val="none" w:sz="0" w:space="0" w:color="auto"/>
          </w:divBdr>
          <w:divsChild>
            <w:div w:id="20864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73594">
      <w:bodyDiv w:val="1"/>
      <w:marLeft w:val="0"/>
      <w:marRight w:val="0"/>
      <w:marTop w:val="0"/>
      <w:marBottom w:val="0"/>
      <w:divBdr>
        <w:top w:val="none" w:sz="0" w:space="0" w:color="auto"/>
        <w:left w:val="none" w:sz="0" w:space="0" w:color="auto"/>
        <w:bottom w:val="none" w:sz="0" w:space="0" w:color="auto"/>
        <w:right w:val="none" w:sz="0" w:space="0" w:color="auto"/>
      </w:divBdr>
      <w:divsChild>
        <w:div w:id="719674242">
          <w:marLeft w:val="480"/>
          <w:marRight w:val="0"/>
          <w:marTop w:val="0"/>
          <w:marBottom w:val="0"/>
          <w:divBdr>
            <w:top w:val="none" w:sz="0" w:space="0" w:color="auto"/>
            <w:left w:val="none" w:sz="0" w:space="0" w:color="auto"/>
            <w:bottom w:val="none" w:sz="0" w:space="0" w:color="auto"/>
            <w:right w:val="none" w:sz="0" w:space="0" w:color="auto"/>
          </w:divBdr>
          <w:divsChild>
            <w:div w:id="16077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864015">
      <w:bodyDiv w:val="1"/>
      <w:marLeft w:val="0"/>
      <w:marRight w:val="0"/>
      <w:marTop w:val="0"/>
      <w:marBottom w:val="0"/>
      <w:divBdr>
        <w:top w:val="none" w:sz="0" w:space="0" w:color="auto"/>
        <w:left w:val="none" w:sz="0" w:space="0" w:color="auto"/>
        <w:bottom w:val="none" w:sz="0" w:space="0" w:color="auto"/>
        <w:right w:val="none" w:sz="0" w:space="0" w:color="auto"/>
      </w:divBdr>
      <w:divsChild>
        <w:div w:id="382606749">
          <w:marLeft w:val="480"/>
          <w:marRight w:val="0"/>
          <w:marTop w:val="0"/>
          <w:marBottom w:val="0"/>
          <w:divBdr>
            <w:top w:val="none" w:sz="0" w:space="0" w:color="auto"/>
            <w:left w:val="none" w:sz="0" w:space="0" w:color="auto"/>
            <w:bottom w:val="none" w:sz="0" w:space="0" w:color="auto"/>
            <w:right w:val="none" w:sz="0" w:space="0" w:color="auto"/>
          </w:divBdr>
          <w:divsChild>
            <w:div w:id="145774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53029">
      <w:bodyDiv w:val="1"/>
      <w:marLeft w:val="0"/>
      <w:marRight w:val="0"/>
      <w:marTop w:val="0"/>
      <w:marBottom w:val="0"/>
      <w:divBdr>
        <w:top w:val="none" w:sz="0" w:space="0" w:color="auto"/>
        <w:left w:val="none" w:sz="0" w:space="0" w:color="auto"/>
        <w:bottom w:val="none" w:sz="0" w:space="0" w:color="auto"/>
        <w:right w:val="none" w:sz="0" w:space="0" w:color="auto"/>
      </w:divBdr>
      <w:divsChild>
        <w:div w:id="635569203">
          <w:marLeft w:val="480"/>
          <w:marRight w:val="0"/>
          <w:marTop w:val="0"/>
          <w:marBottom w:val="0"/>
          <w:divBdr>
            <w:top w:val="none" w:sz="0" w:space="0" w:color="auto"/>
            <w:left w:val="none" w:sz="0" w:space="0" w:color="auto"/>
            <w:bottom w:val="none" w:sz="0" w:space="0" w:color="auto"/>
            <w:right w:val="none" w:sz="0" w:space="0" w:color="auto"/>
          </w:divBdr>
          <w:divsChild>
            <w:div w:id="60739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19952">
      <w:bodyDiv w:val="1"/>
      <w:marLeft w:val="0"/>
      <w:marRight w:val="0"/>
      <w:marTop w:val="0"/>
      <w:marBottom w:val="0"/>
      <w:divBdr>
        <w:top w:val="none" w:sz="0" w:space="0" w:color="auto"/>
        <w:left w:val="none" w:sz="0" w:space="0" w:color="auto"/>
        <w:bottom w:val="none" w:sz="0" w:space="0" w:color="auto"/>
        <w:right w:val="none" w:sz="0" w:space="0" w:color="auto"/>
      </w:divBdr>
      <w:divsChild>
        <w:div w:id="491525256">
          <w:marLeft w:val="480"/>
          <w:marRight w:val="0"/>
          <w:marTop w:val="0"/>
          <w:marBottom w:val="0"/>
          <w:divBdr>
            <w:top w:val="none" w:sz="0" w:space="0" w:color="auto"/>
            <w:left w:val="none" w:sz="0" w:space="0" w:color="auto"/>
            <w:bottom w:val="none" w:sz="0" w:space="0" w:color="auto"/>
            <w:right w:val="none" w:sz="0" w:space="0" w:color="auto"/>
          </w:divBdr>
          <w:divsChild>
            <w:div w:id="201176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11406">
      <w:bodyDiv w:val="1"/>
      <w:marLeft w:val="0"/>
      <w:marRight w:val="0"/>
      <w:marTop w:val="0"/>
      <w:marBottom w:val="0"/>
      <w:divBdr>
        <w:top w:val="none" w:sz="0" w:space="0" w:color="auto"/>
        <w:left w:val="none" w:sz="0" w:space="0" w:color="auto"/>
        <w:bottom w:val="none" w:sz="0" w:space="0" w:color="auto"/>
        <w:right w:val="none" w:sz="0" w:space="0" w:color="auto"/>
      </w:divBdr>
      <w:divsChild>
        <w:div w:id="596405627">
          <w:marLeft w:val="480"/>
          <w:marRight w:val="0"/>
          <w:marTop w:val="0"/>
          <w:marBottom w:val="0"/>
          <w:divBdr>
            <w:top w:val="none" w:sz="0" w:space="0" w:color="auto"/>
            <w:left w:val="none" w:sz="0" w:space="0" w:color="auto"/>
            <w:bottom w:val="none" w:sz="0" w:space="0" w:color="auto"/>
            <w:right w:val="none" w:sz="0" w:space="0" w:color="auto"/>
          </w:divBdr>
          <w:divsChild>
            <w:div w:id="176078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11931">
      <w:bodyDiv w:val="1"/>
      <w:marLeft w:val="0"/>
      <w:marRight w:val="0"/>
      <w:marTop w:val="0"/>
      <w:marBottom w:val="0"/>
      <w:divBdr>
        <w:top w:val="none" w:sz="0" w:space="0" w:color="auto"/>
        <w:left w:val="none" w:sz="0" w:space="0" w:color="auto"/>
        <w:bottom w:val="none" w:sz="0" w:space="0" w:color="auto"/>
        <w:right w:val="none" w:sz="0" w:space="0" w:color="auto"/>
      </w:divBdr>
      <w:divsChild>
        <w:div w:id="802692045">
          <w:marLeft w:val="0"/>
          <w:marRight w:val="0"/>
          <w:marTop w:val="0"/>
          <w:marBottom w:val="0"/>
          <w:divBdr>
            <w:top w:val="none" w:sz="0" w:space="0" w:color="auto"/>
            <w:left w:val="none" w:sz="0" w:space="0" w:color="auto"/>
            <w:bottom w:val="none" w:sz="0" w:space="0" w:color="auto"/>
            <w:right w:val="none" w:sz="0" w:space="0" w:color="auto"/>
          </w:divBdr>
          <w:divsChild>
            <w:div w:id="1737121169">
              <w:marLeft w:val="0"/>
              <w:marRight w:val="0"/>
              <w:marTop w:val="0"/>
              <w:marBottom w:val="0"/>
              <w:divBdr>
                <w:top w:val="none" w:sz="0" w:space="0" w:color="auto"/>
                <w:left w:val="none" w:sz="0" w:space="0" w:color="auto"/>
                <w:bottom w:val="none" w:sz="0" w:space="0" w:color="auto"/>
                <w:right w:val="none" w:sz="0" w:space="0" w:color="auto"/>
              </w:divBdr>
            </w:div>
          </w:divsChild>
        </w:div>
        <w:div w:id="1224171574">
          <w:marLeft w:val="0"/>
          <w:marRight w:val="0"/>
          <w:marTop w:val="0"/>
          <w:marBottom w:val="0"/>
          <w:divBdr>
            <w:top w:val="none" w:sz="0" w:space="0" w:color="auto"/>
            <w:left w:val="none" w:sz="0" w:space="0" w:color="auto"/>
            <w:bottom w:val="none" w:sz="0" w:space="0" w:color="auto"/>
            <w:right w:val="none" w:sz="0" w:space="0" w:color="auto"/>
          </w:divBdr>
          <w:divsChild>
            <w:div w:id="108642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206310">
      <w:bodyDiv w:val="1"/>
      <w:marLeft w:val="0"/>
      <w:marRight w:val="0"/>
      <w:marTop w:val="0"/>
      <w:marBottom w:val="0"/>
      <w:divBdr>
        <w:top w:val="none" w:sz="0" w:space="0" w:color="auto"/>
        <w:left w:val="none" w:sz="0" w:space="0" w:color="auto"/>
        <w:bottom w:val="none" w:sz="0" w:space="0" w:color="auto"/>
        <w:right w:val="none" w:sz="0" w:space="0" w:color="auto"/>
      </w:divBdr>
      <w:divsChild>
        <w:div w:id="1287078604">
          <w:marLeft w:val="480"/>
          <w:marRight w:val="0"/>
          <w:marTop w:val="0"/>
          <w:marBottom w:val="0"/>
          <w:divBdr>
            <w:top w:val="none" w:sz="0" w:space="0" w:color="auto"/>
            <w:left w:val="none" w:sz="0" w:space="0" w:color="auto"/>
            <w:bottom w:val="none" w:sz="0" w:space="0" w:color="auto"/>
            <w:right w:val="none" w:sz="0" w:space="0" w:color="auto"/>
          </w:divBdr>
          <w:divsChild>
            <w:div w:id="64809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89905">
      <w:bodyDiv w:val="1"/>
      <w:marLeft w:val="0"/>
      <w:marRight w:val="0"/>
      <w:marTop w:val="0"/>
      <w:marBottom w:val="0"/>
      <w:divBdr>
        <w:top w:val="none" w:sz="0" w:space="0" w:color="auto"/>
        <w:left w:val="none" w:sz="0" w:space="0" w:color="auto"/>
        <w:bottom w:val="none" w:sz="0" w:space="0" w:color="auto"/>
        <w:right w:val="none" w:sz="0" w:space="0" w:color="auto"/>
      </w:divBdr>
      <w:divsChild>
        <w:div w:id="1679891599">
          <w:marLeft w:val="480"/>
          <w:marRight w:val="0"/>
          <w:marTop w:val="0"/>
          <w:marBottom w:val="0"/>
          <w:divBdr>
            <w:top w:val="none" w:sz="0" w:space="0" w:color="auto"/>
            <w:left w:val="none" w:sz="0" w:space="0" w:color="auto"/>
            <w:bottom w:val="none" w:sz="0" w:space="0" w:color="auto"/>
            <w:right w:val="none" w:sz="0" w:space="0" w:color="auto"/>
          </w:divBdr>
          <w:divsChild>
            <w:div w:id="53176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5662">
      <w:bodyDiv w:val="1"/>
      <w:marLeft w:val="0"/>
      <w:marRight w:val="0"/>
      <w:marTop w:val="0"/>
      <w:marBottom w:val="0"/>
      <w:divBdr>
        <w:top w:val="none" w:sz="0" w:space="0" w:color="auto"/>
        <w:left w:val="none" w:sz="0" w:space="0" w:color="auto"/>
        <w:bottom w:val="none" w:sz="0" w:space="0" w:color="auto"/>
        <w:right w:val="none" w:sz="0" w:space="0" w:color="auto"/>
      </w:divBdr>
      <w:divsChild>
        <w:div w:id="1765223922">
          <w:marLeft w:val="480"/>
          <w:marRight w:val="0"/>
          <w:marTop w:val="0"/>
          <w:marBottom w:val="0"/>
          <w:divBdr>
            <w:top w:val="none" w:sz="0" w:space="0" w:color="auto"/>
            <w:left w:val="none" w:sz="0" w:space="0" w:color="auto"/>
            <w:bottom w:val="none" w:sz="0" w:space="0" w:color="auto"/>
            <w:right w:val="none" w:sz="0" w:space="0" w:color="auto"/>
          </w:divBdr>
          <w:divsChild>
            <w:div w:id="5364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162">
      <w:bodyDiv w:val="1"/>
      <w:marLeft w:val="0"/>
      <w:marRight w:val="0"/>
      <w:marTop w:val="0"/>
      <w:marBottom w:val="0"/>
      <w:divBdr>
        <w:top w:val="none" w:sz="0" w:space="0" w:color="auto"/>
        <w:left w:val="none" w:sz="0" w:space="0" w:color="auto"/>
        <w:bottom w:val="none" w:sz="0" w:space="0" w:color="auto"/>
        <w:right w:val="none" w:sz="0" w:space="0" w:color="auto"/>
      </w:divBdr>
      <w:divsChild>
        <w:div w:id="100689911">
          <w:marLeft w:val="480"/>
          <w:marRight w:val="0"/>
          <w:marTop w:val="0"/>
          <w:marBottom w:val="0"/>
          <w:divBdr>
            <w:top w:val="none" w:sz="0" w:space="0" w:color="auto"/>
            <w:left w:val="none" w:sz="0" w:space="0" w:color="auto"/>
            <w:bottom w:val="none" w:sz="0" w:space="0" w:color="auto"/>
            <w:right w:val="none" w:sz="0" w:space="0" w:color="auto"/>
          </w:divBdr>
          <w:divsChild>
            <w:div w:id="82582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4640">
      <w:bodyDiv w:val="1"/>
      <w:marLeft w:val="0"/>
      <w:marRight w:val="0"/>
      <w:marTop w:val="0"/>
      <w:marBottom w:val="0"/>
      <w:divBdr>
        <w:top w:val="none" w:sz="0" w:space="0" w:color="auto"/>
        <w:left w:val="none" w:sz="0" w:space="0" w:color="auto"/>
        <w:bottom w:val="none" w:sz="0" w:space="0" w:color="auto"/>
        <w:right w:val="none" w:sz="0" w:space="0" w:color="auto"/>
      </w:divBdr>
      <w:divsChild>
        <w:div w:id="2102991578">
          <w:marLeft w:val="480"/>
          <w:marRight w:val="0"/>
          <w:marTop w:val="0"/>
          <w:marBottom w:val="0"/>
          <w:divBdr>
            <w:top w:val="none" w:sz="0" w:space="0" w:color="auto"/>
            <w:left w:val="none" w:sz="0" w:space="0" w:color="auto"/>
            <w:bottom w:val="none" w:sz="0" w:space="0" w:color="auto"/>
            <w:right w:val="none" w:sz="0" w:space="0" w:color="auto"/>
          </w:divBdr>
          <w:divsChild>
            <w:div w:id="116590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74299">
      <w:bodyDiv w:val="1"/>
      <w:marLeft w:val="0"/>
      <w:marRight w:val="0"/>
      <w:marTop w:val="0"/>
      <w:marBottom w:val="0"/>
      <w:divBdr>
        <w:top w:val="none" w:sz="0" w:space="0" w:color="auto"/>
        <w:left w:val="none" w:sz="0" w:space="0" w:color="auto"/>
        <w:bottom w:val="none" w:sz="0" w:space="0" w:color="auto"/>
        <w:right w:val="none" w:sz="0" w:space="0" w:color="auto"/>
      </w:divBdr>
      <w:divsChild>
        <w:div w:id="1275943530">
          <w:marLeft w:val="480"/>
          <w:marRight w:val="0"/>
          <w:marTop w:val="0"/>
          <w:marBottom w:val="0"/>
          <w:divBdr>
            <w:top w:val="none" w:sz="0" w:space="0" w:color="auto"/>
            <w:left w:val="none" w:sz="0" w:space="0" w:color="auto"/>
            <w:bottom w:val="none" w:sz="0" w:space="0" w:color="auto"/>
            <w:right w:val="none" w:sz="0" w:space="0" w:color="auto"/>
          </w:divBdr>
          <w:divsChild>
            <w:div w:id="18904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05116">
      <w:bodyDiv w:val="1"/>
      <w:marLeft w:val="0"/>
      <w:marRight w:val="0"/>
      <w:marTop w:val="0"/>
      <w:marBottom w:val="0"/>
      <w:divBdr>
        <w:top w:val="none" w:sz="0" w:space="0" w:color="auto"/>
        <w:left w:val="none" w:sz="0" w:space="0" w:color="auto"/>
        <w:bottom w:val="none" w:sz="0" w:space="0" w:color="auto"/>
        <w:right w:val="none" w:sz="0" w:space="0" w:color="auto"/>
      </w:divBdr>
      <w:divsChild>
        <w:div w:id="278224153">
          <w:marLeft w:val="480"/>
          <w:marRight w:val="0"/>
          <w:marTop w:val="0"/>
          <w:marBottom w:val="0"/>
          <w:divBdr>
            <w:top w:val="none" w:sz="0" w:space="0" w:color="auto"/>
            <w:left w:val="none" w:sz="0" w:space="0" w:color="auto"/>
            <w:bottom w:val="none" w:sz="0" w:space="0" w:color="auto"/>
            <w:right w:val="none" w:sz="0" w:space="0" w:color="auto"/>
          </w:divBdr>
          <w:divsChild>
            <w:div w:id="71770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9761">
      <w:bodyDiv w:val="1"/>
      <w:marLeft w:val="0"/>
      <w:marRight w:val="0"/>
      <w:marTop w:val="0"/>
      <w:marBottom w:val="0"/>
      <w:divBdr>
        <w:top w:val="none" w:sz="0" w:space="0" w:color="auto"/>
        <w:left w:val="none" w:sz="0" w:space="0" w:color="auto"/>
        <w:bottom w:val="none" w:sz="0" w:space="0" w:color="auto"/>
        <w:right w:val="none" w:sz="0" w:space="0" w:color="auto"/>
      </w:divBdr>
    </w:div>
    <w:div w:id="731848483">
      <w:bodyDiv w:val="1"/>
      <w:marLeft w:val="0"/>
      <w:marRight w:val="0"/>
      <w:marTop w:val="0"/>
      <w:marBottom w:val="0"/>
      <w:divBdr>
        <w:top w:val="none" w:sz="0" w:space="0" w:color="auto"/>
        <w:left w:val="none" w:sz="0" w:space="0" w:color="auto"/>
        <w:bottom w:val="none" w:sz="0" w:space="0" w:color="auto"/>
        <w:right w:val="none" w:sz="0" w:space="0" w:color="auto"/>
      </w:divBdr>
      <w:divsChild>
        <w:div w:id="1463304338">
          <w:marLeft w:val="480"/>
          <w:marRight w:val="0"/>
          <w:marTop w:val="0"/>
          <w:marBottom w:val="0"/>
          <w:divBdr>
            <w:top w:val="none" w:sz="0" w:space="0" w:color="auto"/>
            <w:left w:val="none" w:sz="0" w:space="0" w:color="auto"/>
            <w:bottom w:val="none" w:sz="0" w:space="0" w:color="auto"/>
            <w:right w:val="none" w:sz="0" w:space="0" w:color="auto"/>
          </w:divBdr>
          <w:divsChild>
            <w:div w:id="20950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2446">
      <w:bodyDiv w:val="1"/>
      <w:marLeft w:val="0"/>
      <w:marRight w:val="0"/>
      <w:marTop w:val="0"/>
      <w:marBottom w:val="0"/>
      <w:divBdr>
        <w:top w:val="none" w:sz="0" w:space="0" w:color="auto"/>
        <w:left w:val="none" w:sz="0" w:space="0" w:color="auto"/>
        <w:bottom w:val="none" w:sz="0" w:space="0" w:color="auto"/>
        <w:right w:val="none" w:sz="0" w:space="0" w:color="auto"/>
      </w:divBdr>
    </w:div>
    <w:div w:id="742290315">
      <w:bodyDiv w:val="1"/>
      <w:marLeft w:val="0"/>
      <w:marRight w:val="0"/>
      <w:marTop w:val="0"/>
      <w:marBottom w:val="0"/>
      <w:divBdr>
        <w:top w:val="none" w:sz="0" w:space="0" w:color="auto"/>
        <w:left w:val="none" w:sz="0" w:space="0" w:color="auto"/>
        <w:bottom w:val="none" w:sz="0" w:space="0" w:color="auto"/>
        <w:right w:val="none" w:sz="0" w:space="0" w:color="auto"/>
      </w:divBdr>
      <w:divsChild>
        <w:div w:id="2069645675">
          <w:marLeft w:val="480"/>
          <w:marRight w:val="0"/>
          <w:marTop w:val="0"/>
          <w:marBottom w:val="0"/>
          <w:divBdr>
            <w:top w:val="none" w:sz="0" w:space="0" w:color="auto"/>
            <w:left w:val="none" w:sz="0" w:space="0" w:color="auto"/>
            <w:bottom w:val="none" w:sz="0" w:space="0" w:color="auto"/>
            <w:right w:val="none" w:sz="0" w:space="0" w:color="auto"/>
          </w:divBdr>
          <w:divsChild>
            <w:div w:id="94538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17257">
      <w:bodyDiv w:val="1"/>
      <w:marLeft w:val="0"/>
      <w:marRight w:val="0"/>
      <w:marTop w:val="0"/>
      <w:marBottom w:val="0"/>
      <w:divBdr>
        <w:top w:val="none" w:sz="0" w:space="0" w:color="auto"/>
        <w:left w:val="none" w:sz="0" w:space="0" w:color="auto"/>
        <w:bottom w:val="none" w:sz="0" w:space="0" w:color="auto"/>
        <w:right w:val="none" w:sz="0" w:space="0" w:color="auto"/>
      </w:divBdr>
      <w:divsChild>
        <w:div w:id="1452432678">
          <w:marLeft w:val="480"/>
          <w:marRight w:val="0"/>
          <w:marTop w:val="0"/>
          <w:marBottom w:val="0"/>
          <w:divBdr>
            <w:top w:val="none" w:sz="0" w:space="0" w:color="auto"/>
            <w:left w:val="none" w:sz="0" w:space="0" w:color="auto"/>
            <w:bottom w:val="none" w:sz="0" w:space="0" w:color="auto"/>
            <w:right w:val="none" w:sz="0" w:space="0" w:color="auto"/>
          </w:divBdr>
          <w:divsChild>
            <w:div w:id="101615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8106">
      <w:bodyDiv w:val="1"/>
      <w:marLeft w:val="0"/>
      <w:marRight w:val="0"/>
      <w:marTop w:val="0"/>
      <w:marBottom w:val="0"/>
      <w:divBdr>
        <w:top w:val="none" w:sz="0" w:space="0" w:color="auto"/>
        <w:left w:val="none" w:sz="0" w:space="0" w:color="auto"/>
        <w:bottom w:val="none" w:sz="0" w:space="0" w:color="auto"/>
        <w:right w:val="none" w:sz="0" w:space="0" w:color="auto"/>
      </w:divBdr>
    </w:div>
    <w:div w:id="768358858">
      <w:bodyDiv w:val="1"/>
      <w:marLeft w:val="0"/>
      <w:marRight w:val="0"/>
      <w:marTop w:val="0"/>
      <w:marBottom w:val="0"/>
      <w:divBdr>
        <w:top w:val="none" w:sz="0" w:space="0" w:color="auto"/>
        <w:left w:val="none" w:sz="0" w:space="0" w:color="auto"/>
        <w:bottom w:val="none" w:sz="0" w:space="0" w:color="auto"/>
        <w:right w:val="none" w:sz="0" w:space="0" w:color="auto"/>
      </w:divBdr>
      <w:divsChild>
        <w:div w:id="1406103267">
          <w:marLeft w:val="480"/>
          <w:marRight w:val="0"/>
          <w:marTop w:val="0"/>
          <w:marBottom w:val="0"/>
          <w:divBdr>
            <w:top w:val="none" w:sz="0" w:space="0" w:color="auto"/>
            <w:left w:val="none" w:sz="0" w:space="0" w:color="auto"/>
            <w:bottom w:val="none" w:sz="0" w:space="0" w:color="auto"/>
            <w:right w:val="none" w:sz="0" w:space="0" w:color="auto"/>
          </w:divBdr>
          <w:divsChild>
            <w:div w:id="24788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09331">
      <w:bodyDiv w:val="1"/>
      <w:marLeft w:val="0"/>
      <w:marRight w:val="0"/>
      <w:marTop w:val="0"/>
      <w:marBottom w:val="0"/>
      <w:divBdr>
        <w:top w:val="none" w:sz="0" w:space="0" w:color="auto"/>
        <w:left w:val="none" w:sz="0" w:space="0" w:color="auto"/>
        <w:bottom w:val="none" w:sz="0" w:space="0" w:color="auto"/>
        <w:right w:val="none" w:sz="0" w:space="0" w:color="auto"/>
      </w:divBdr>
      <w:divsChild>
        <w:div w:id="923148868">
          <w:marLeft w:val="480"/>
          <w:marRight w:val="0"/>
          <w:marTop w:val="0"/>
          <w:marBottom w:val="0"/>
          <w:divBdr>
            <w:top w:val="none" w:sz="0" w:space="0" w:color="auto"/>
            <w:left w:val="none" w:sz="0" w:space="0" w:color="auto"/>
            <w:bottom w:val="none" w:sz="0" w:space="0" w:color="auto"/>
            <w:right w:val="none" w:sz="0" w:space="0" w:color="auto"/>
          </w:divBdr>
          <w:divsChild>
            <w:div w:id="95598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25755">
      <w:bodyDiv w:val="1"/>
      <w:marLeft w:val="0"/>
      <w:marRight w:val="0"/>
      <w:marTop w:val="0"/>
      <w:marBottom w:val="0"/>
      <w:divBdr>
        <w:top w:val="none" w:sz="0" w:space="0" w:color="auto"/>
        <w:left w:val="none" w:sz="0" w:space="0" w:color="auto"/>
        <w:bottom w:val="none" w:sz="0" w:space="0" w:color="auto"/>
        <w:right w:val="none" w:sz="0" w:space="0" w:color="auto"/>
      </w:divBdr>
      <w:divsChild>
        <w:div w:id="1272009742">
          <w:marLeft w:val="480"/>
          <w:marRight w:val="0"/>
          <w:marTop w:val="0"/>
          <w:marBottom w:val="0"/>
          <w:divBdr>
            <w:top w:val="none" w:sz="0" w:space="0" w:color="auto"/>
            <w:left w:val="none" w:sz="0" w:space="0" w:color="auto"/>
            <w:bottom w:val="none" w:sz="0" w:space="0" w:color="auto"/>
            <w:right w:val="none" w:sz="0" w:space="0" w:color="auto"/>
          </w:divBdr>
          <w:divsChild>
            <w:div w:id="4518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52122">
      <w:bodyDiv w:val="1"/>
      <w:marLeft w:val="0"/>
      <w:marRight w:val="0"/>
      <w:marTop w:val="0"/>
      <w:marBottom w:val="0"/>
      <w:divBdr>
        <w:top w:val="none" w:sz="0" w:space="0" w:color="auto"/>
        <w:left w:val="none" w:sz="0" w:space="0" w:color="auto"/>
        <w:bottom w:val="none" w:sz="0" w:space="0" w:color="auto"/>
        <w:right w:val="none" w:sz="0" w:space="0" w:color="auto"/>
      </w:divBdr>
      <w:divsChild>
        <w:div w:id="210458618">
          <w:marLeft w:val="480"/>
          <w:marRight w:val="0"/>
          <w:marTop w:val="0"/>
          <w:marBottom w:val="0"/>
          <w:divBdr>
            <w:top w:val="none" w:sz="0" w:space="0" w:color="auto"/>
            <w:left w:val="none" w:sz="0" w:space="0" w:color="auto"/>
            <w:bottom w:val="none" w:sz="0" w:space="0" w:color="auto"/>
            <w:right w:val="none" w:sz="0" w:space="0" w:color="auto"/>
          </w:divBdr>
          <w:divsChild>
            <w:div w:id="108064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6040">
      <w:bodyDiv w:val="1"/>
      <w:marLeft w:val="0"/>
      <w:marRight w:val="0"/>
      <w:marTop w:val="0"/>
      <w:marBottom w:val="0"/>
      <w:divBdr>
        <w:top w:val="none" w:sz="0" w:space="0" w:color="auto"/>
        <w:left w:val="none" w:sz="0" w:space="0" w:color="auto"/>
        <w:bottom w:val="none" w:sz="0" w:space="0" w:color="auto"/>
        <w:right w:val="none" w:sz="0" w:space="0" w:color="auto"/>
      </w:divBdr>
      <w:divsChild>
        <w:div w:id="1748990639">
          <w:marLeft w:val="480"/>
          <w:marRight w:val="0"/>
          <w:marTop w:val="0"/>
          <w:marBottom w:val="0"/>
          <w:divBdr>
            <w:top w:val="none" w:sz="0" w:space="0" w:color="auto"/>
            <w:left w:val="none" w:sz="0" w:space="0" w:color="auto"/>
            <w:bottom w:val="none" w:sz="0" w:space="0" w:color="auto"/>
            <w:right w:val="none" w:sz="0" w:space="0" w:color="auto"/>
          </w:divBdr>
          <w:divsChild>
            <w:div w:id="55897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59573">
      <w:bodyDiv w:val="1"/>
      <w:marLeft w:val="0"/>
      <w:marRight w:val="0"/>
      <w:marTop w:val="0"/>
      <w:marBottom w:val="0"/>
      <w:divBdr>
        <w:top w:val="none" w:sz="0" w:space="0" w:color="auto"/>
        <w:left w:val="none" w:sz="0" w:space="0" w:color="auto"/>
        <w:bottom w:val="none" w:sz="0" w:space="0" w:color="auto"/>
        <w:right w:val="none" w:sz="0" w:space="0" w:color="auto"/>
      </w:divBdr>
    </w:div>
    <w:div w:id="882058187">
      <w:bodyDiv w:val="1"/>
      <w:marLeft w:val="0"/>
      <w:marRight w:val="0"/>
      <w:marTop w:val="0"/>
      <w:marBottom w:val="0"/>
      <w:divBdr>
        <w:top w:val="none" w:sz="0" w:space="0" w:color="auto"/>
        <w:left w:val="none" w:sz="0" w:space="0" w:color="auto"/>
        <w:bottom w:val="none" w:sz="0" w:space="0" w:color="auto"/>
        <w:right w:val="none" w:sz="0" w:space="0" w:color="auto"/>
      </w:divBdr>
      <w:divsChild>
        <w:div w:id="550656615">
          <w:marLeft w:val="480"/>
          <w:marRight w:val="0"/>
          <w:marTop w:val="0"/>
          <w:marBottom w:val="0"/>
          <w:divBdr>
            <w:top w:val="none" w:sz="0" w:space="0" w:color="auto"/>
            <w:left w:val="none" w:sz="0" w:space="0" w:color="auto"/>
            <w:bottom w:val="none" w:sz="0" w:space="0" w:color="auto"/>
            <w:right w:val="none" w:sz="0" w:space="0" w:color="auto"/>
          </w:divBdr>
          <w:divsChild>
            <w:div w:id="108950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3691">
      <w:bodyDiv w:val="1"/>
      <w:marLeft w:val="0"/>
      <w:marRight w:val="0"/>
      <w:marTop w:val="0"/>
      <w:marBottom w:val="0"/>
      <w:divBdr>
        <w:top w:val="none" w:sz="0" w:space="0" w:color="auto"/>
        <w:left w:val="none" w:sz="0" w:space="0" w:color="auto"/>
        <w:bottom w:val="none" w:sz="0" w:space="0" w:color="auto"/>
        <w:right w:val="none" w:sz="0" w:space="0" w:color="auto"/>
      </w:divBdr>
    </w:div>
    <w:div w:id="935794020">
      <w:bodyDiv w:val="1"/>
      <w:marLeft w:val="0"/>
      <w:marRight w:val="0"/>
      <w:marTop w:val="0"/>
      <w:marBottom w:val="0"/>
      <w:divBdr>
        <w:top w:val="none" w:sz="0" w:space="0" w:color="auto"/>
        <w:left w:val="none" w:sz="0" w:space="0" w:color="auto"/>
        <w:bottom w:val="none" w:sz="0" w:space="0" w:color="auto"/>
        <w:right w:val="none" w:sz="0" w:space="0" w:color="auto"/>
      </w:divBdr>
    </w:div>
    <w:div w:id="942345483">
      <w:bodyDiv w:val="1"/>
      <w:marLeft w:val="0"/>
      <w:marRight w:val="0"/>
      <w:marTop w:val="0"/>
      <w:marBottom w:val="0"/>
      <w:divBdr>
        <w:top w:val="none" w:sz="0" w:space="0" w:color="auto"/>
        <w:left w:val="none" w:sz="0" w:space="0" w:color="auto"/>
        <w:bottom w:val="none" w:sz="0" w:space="0" w:color="auto"/>
        <w:right w:val="none" w:sz="0" w:space="0" w:color="auto"/>
      </w:divBdr>
      <w:divsChild>
        <w:div w:id="873351141">
          <w:marLeft w:val="480"/>
          <w:marRight w:val="0"/>
          <w:marTop w:val="0"/>
          <w:marBottom w:val="0"/>
          <w:divBdr>
            <w:top w:val="none" w:sz="0" w:space="0" w:color="auto"/>
            <w:left w:val="none" w:sz="0" w:space="0" w:color="auto"/>
            <w:bottom w:val="none" w:sz="0" w:space="0" w:color="auto"/>
            <w:right w:val="none" w:sz="0" w:space="0" w:color="auto"/>
          </w:divBdr>
          <w:divsChild>
            <w:div w:id="50701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25392">
      <w:bodyDiv w:val="1"/>
      <w:marLeft w:val="0"/>
      <w:marRight w:val="0"/>
      <w:marTop w:val="0"/>
      <w:marBottom w:val="0"/>
      <w:divBdr>
        <w:top w:val="none" w:sz="0" w:space="0" w:color="auto"/>
        <w:left w:val="none" w:sz="0" w:space="0" w:color="auto"/>
        <w:bottom w:val="none" w:sz="0" w:space="0" w:color="auto"/>
        <w:right w:val="none" w:sz="0" w:space="0" w:color="auto"/>
      </w:divBdr>
      <w:divsChild>
        <w:div w:id="1464420582">
          <w:marLeft w:val="480"/>
          <w:marRight w:val="0"/>
          <w:marTop w:val="0"/>
          <w:marBottom w:val="0"/>
          <w:divBdr>
            <w:top w:val="none" w:sz="0" w:space="0" w:color="auto"/>
            <w:left w:val="none" w:sz="0" w:space="0" w:color="auto"/>
            <w:bottom w:val="none" w:sz="0" w:space="0" w:color="auto"/>
            <w:right w:val="none" w:sz="0" w:space="0" w:color="auto"/>
          </w:divBdr>
          <w:divsChild>
            <w:div w:id="4203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4690">
      <w:bodyDiv w:val="1"/>
      <w:marLeft w:val="0"/>
      <w:marRight w:val="0"/>
      <w:marTop w:val="0"/>
      <w:marBottom w:val="0"/>
      <w:divBdr>
        <w:top w:val="none" w:sz="0" w:space="0" w:color="auto"/>
        <w:left w:val="none" w:sz="0" w:space="0" w:color="auto"/>
        <w:bottom w:val="none" w:sz="0" w:space="0" w:color="auto"/>
        <w:right w:val="none" w:sz="0" w:space="0" w:color="auto"/>
      </w:divBdr>
      <w:divsChild>
        <w:div w:id="216867727">
          <w:marLeft w:val="480"/>
          <w:marRight w:val="0"/>
          <w:marTop w:val="0"/>
          <w:marBottom w:val="0"/>
          <w:divBdr>
            <w:top w:val="none" w:sz="0" w:space="0" w:color="auto"/>
            <w:left w:val="none" w:sz="0" w:space="0" w:color="auto"/>
            <w:bottom w:val="none" w:sz="0" w:space="0" w:color="auto"/>
            <w:right w:val="none" w:sz="0" w:space="0" w:color="auto"/>
          </w:divBdr>
          <w:divsChild>
            <w:div w:id="131179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5820">
      <w:bodyDiv w:val="1"/>
      <w:marLeft w:val="0"/>
      <w:marRight w:val="0"/>
      <w:marTop w:val="0"/>
      <w:marBottom w:val="0"/>
      <w:divBdr>
        <w:top w:val="none" w:sz="0" w:space="0" w:color="auto"/>
        <w:left w:val="none" w:sz="0" w:space="0" w:color="auto"/>
        <w:bottom w:val="none" w:sz="0" w:space="0" w:color="auto"/>
        <w:right w:val="none" w:sz="0" w:space="0" w:color="auto"/>
      </w:divBdr>
      <w:divsChild>
        <w:div w:id="956835050">
          <w:marLeft w:val="480"/>
          <w:marRight w:val="0"/>
          <w:marTop w:val="0"/>
          <w:marBottom w:val="0"/>
          <w:divBdr>
            <w:top w:val="none" w:sz="0" w:space="0" w:color="auto"/>
            <w:left w:val="none" w:sz="0" w:space="0" w:color="auto"/>
            <w:bottom w:val="none" w:sz="0" w:space="0" w:color="auto"/>
            <w:right w:val="none" w:sz="0" w:space="0" w:color="auto"/>
          </w:divBdr>
          <w:divsChild>
            <w:div w:id="210541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264577">
      <w:bodyDiv w:val="1"/>
      <w:marLeft w:val="0"/>
      <w:marRight w:val="0"/>
      <w:marTop w:val="0"/>
      <w:marBottom w:val="0"/>
      <w:divBdr>
        <w:top w:val="none" w:sz="0" w:space="0" w:color="auto"/>
        <w:left w:val="none" w:sz="0" w:space="0" w:color="auto"/>
        <w:bottom w:val="none" w:sz="0" w:space="0" w:color="auto"/>
        <w:right w:val="none" w:sz="0" w:space="0" w:color="auto"/>
      </w:divBdr>
      <w:divsChild>
        <w:div w:id="1997220144">
          <w:marLeft w:val="480"/>
          <w:marRight w:val="0"/>
          <w:marTop w:val="0"/>
          <w:marBottom w:val="0"/>
          <w:divBdr>
            <w:top w:val="none" w:sz="0" w:space="0" w:color="auto"/>
            <w:left w:val="none" w:sz="0" w:space="0" w:color="auto"/>
            <w:bottom w:val="none" w:sz="0" w:space="0" w:color="auto"/>
            <w:right w:val="none" w:sz="0" w:space="0" w:color="auto"/>
          </w:divBdr>
          <w:divsChild>
            <w:div w:id="33492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81950">
      <w:bodyDiv w:val="1"/>
      <w:marLeft w:val="0"/>
      <w:marRight w:val="0"/>
      <w:marTop w:val="0"/>
      <w:marBottom w:val="0"/>
      <w:divBdr>
        <w:top w:val="none" w:sz="0" w:space="0" w:color="auto"/>
        <w:left w:val="none" w:sz="0" w:space="0" w:color="auto"/>
        <w:bottom w:val="none" w:sz="0" w:space="0" w:color="auto"/>
        <w:right w:val="none" w:sz="0" w:space="0" w:color="auto"/>
      </w:divBdr>
      <w:divsChild>
        <w:div w:id="1111583459">
          <w:marLeft w:val="480"/>
          <w:marRight w:val="0"/>
          <w:marTop w:val="0"/>
          <w:marBottom w:val="0"/>
          <w:divBdr>
            <w:top w:val="none" w:sz="0" w:space="0" w:color="auto"/>
            <w:left w:val="none" w:sz="0" w:space="0" w:color="auto"/>
            <w:bottom w:val="none" w:sz="0" w:space="0" w:color="auto"/>
            <w:right w:val="none" w:sz="0" w:space="0" w:color="auto"/>
          </w:divBdr>
          <w:divsChild>
            <w:div w:id="106190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32925">
      <w:bodyDiv w:val="1"/>
      <w:marLeft w:val="0"/>
      <w:marRight w:val="0"/>
      <w:marTop w:val="0"/>
      <w:marBottom w:val="0"/>
      <w:divBdr>
        <w:top w:val="none" w:sz="0" w:space="0" w:color="auto"/>
        <w:left w:val="none" w:sz="0" w:space="0" w:color="auto"/>
        <w:bottom w:val="none" w:sz="0" w:space="0" w:color="auto"/>
        <w:right w:val="none" w:sz="0" w:space="0" w:color="auto"/>
      </w:divBdr>
    </w:div>
    <w:div w:id="1052533393">
      <w:bodyDiv w:val="1"/>
      <w:marLeft w:val="0"/>
      <w:marRight w:val="0"/>
      <w:marTop w:val="0"/>
      <w:marBottom w:val="0"/>
      <w:divBdr>
        <w:top w:val="none" w:sz="0" w:space="0" w:color="auto"/>
        <w:left w:val="none" w:sz="0" w:space="0" w:color="auto"/>
        <w:bottom w:val="none" w:sz="0" w:space="0" w:color="auto"/>
        <w:right w:val="none" w:sz="0" w:space="0" w:color="auto"/>
      </w:divBdr>
      <w:divsChild>
        <w:div w:id="2128549037">
          <w:marLeft w:val="480"/>
          <w:marRight w:val="0"/>
          <w:marTop w:val="0"/>
          <w:marBottom w:val="0"/>
          <w:divBdr>
            <w:top w:val="none" w:sz="0" w:space="0" w:color="auto"/>
            <w:left w:val="none" w:sz="0" w:space="0" w:color="auto"/>
            <w:bottom w:val="none" w:sz="0" w:space="0" w:color="auto"/>
            <w:right w:val="none" w:sz="0" w:space="0" w:color="auto"/>
          </w:divBdr>
          <w:divsChild>
            <w:div w:id="209165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81920">
      <w:bodyDiv w:val="1"/>
      <w:marLeft w:val="0"/>
      <w:marRight w:val="0"/>
      <w:marTop w:val="0"/>
      <w:marBottom w:val="0"/>
      <w:divBdr>
        <w:top w:val="none" w:sz="0" w:space="0" w:color="auto"/>
        <w:left w:val="none" w:sz="0" w:space="0" w:color="auto"/>
        <w:bottom w:val="none" w:sz="0" w:space="0" w:color="auto"/>
        <w:right w:val="none" w:sz="0" w:space="0" w:color="auto"/>
      </w:divBdr>
      <w:divsChild>
        <w:div w:id="1677808033">
          <w:marLeft w:val="480"/>
          <w:marRight w:val="0"/>
          <w:marTop w:val="0"/>
          <w:marBottom w:val="0"/>
          <w:divBdr>
            <w:top w:val="none" w:sz="0" w:space="0" w:color="auto"/>
            <w:left w:val="none" w:sz="0" w:space="0" w:color="auto"/>
            <w:bottom w:val="none" w:sz="0" w:space="0" w:color="auto"/>
            <w:right w:val="none" w:sz="0" w:space="0" w:color="auto"/>
          </w:divBdr>
          <w:divsChild>
            <w:div w:id="113667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60651">
      <w:bodyDiv w:val="1"/>
      <w:marLeft w:val="0"/>
      <w:marRight w:val="0"/>
      <w:marTop w:val="0"/>
      <w:marBottom w:val="0"/>
      <w:divBdr>
        <w:top w:val="none" w:sz="0" w:space="0" w:color="auto"/>
        <w:left w:val="none" w:sz="0" w:space="0" w:color="auto"/>
        <w:bottom w:val="none" w:sz="0" w:space="0" w:color="auto"/>
        <w:right w:val="none" w:sz="0" w:space="0" w:color="auto"/>
      </w:divBdr>
      <w:divsChild>
        <w:div w:id="1695374831">
          <w:marLeft w:val="480"/>
          <w:marRight w:val="0"/>
          <w:marTop w:val="0"/>
          <w:marBottom w:val="0"/>
          <w:divBdr>
            <w:top w:val="none" w:sz="0" w:space="0" w:color="auto"/>
            <w:left w:val="none" w:sz="0" w:space="0" w:color="auto"/>
            <w:bottom w:val="none" w:sz="0" w:space="0" w:color="auto"/>
            <w:right w:val="none" w:sz="0" w:space="0" w:color="auto"/>
          </w:divBdr>
          <w:divsChild>
            <w:div w:id="165159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36084">
      <w:bodyDiv w:val="1"/>
      <w:marLeft w:val="0"/>
      <w:marRight w:val="0"/>
      <w:marTop w:val="0"/>
      <w:marBottom w:val="0"/>
      <w:divBdr>
        <w:top w:val="none" w:sz="0" w:space="0" w:color="auto"/>
        <w:left w:val="none" w:sz="0" w:space="0" w:color="auto"/>
        <w:bottom w:val="none" w:sz="0" w:space="0" w:color="auto"/>
        <w:right w:val="none" w:sz="0" w:space="0" w:color="auto"/>
      </w:divBdr>
      <w:divsChild>
        <w:div w:id="942306227">
          <w:marLeft w:val="480"/>
          <w:marRight w:val="0"/>
          <w:marTop w:val="0"/>
          <w:marBottom w:val="0"/>
          <w:divBdr>
            <w:top w:val="none" w:sz="0" w:space="0" w:color="auto"/>
            <w:left w:val="none" w:sz="0" w:space="0" w:color="auto"/>
            <w:bottom w:val="none" w:sz="0" w:space="0" w:color="auto"/>
            <w:right w:val="none" w:sz="0" w:space="0" w:color="auto"/>
          </w:divBdr>
          <w:divsChild>
            <w:div w:id="152282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49184">
      <w:bodyDiv w:val="1"/>
      <w:marLeft w:val="0"/>
      <w:marRight w:val="0"/>
      <w:marTop w:val="0"/>
      <w:marBottom w:val="0"/>
      <w:divBdr>
        <w:top w:val="none" w:sz="0" w:space="0" w:color="auto"/>
        <w:left w:val="none" w:sz="0" w:space="0" w:color="auto"/>
        <w:bottom w:val="none" w:sz="0" w:space="0" w:color="auto"/>
        <w:right w:val="none" w:sz="0" w:space="0" w:color="auto"/>
      </w:divBdr>
      <w:divsChild>
        <w:div w:id="1662926594">
          <w:marLeft w:val="480"/>
          <w:marRight w:val="0"/>
          <w:marTop w:val="0"/>
          <w:marBottom w:val="0"/>
          <w:divBdr>
            <w:top w:val="none" w:sz="0" w:space="0" w:color="auto"/>
            <w:left w:val="none" w:sz="0" w:space="0" w:color="auto"/>
            <w:bottom w:val="none" w:sz="0" w:space="0" w:color="auto"/>
            <w:right w:val="none" w:sz="0" w:space="0" w:color="auto"/>
          </w:divBdr>
          <w:divsChild>
            <w:div w:id="54487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98580">
      <w:bodyDiv w:val="1"/>
      <w:marLeft w:val="0"/>
      <w:marRight w:val="0"/>
      <w:marTop w:val="0"/>
      <w:marBottom w:val="0"/>
      <w:divBdr>
        <w:top w:val="none" w:sz="0" w:space="0" w:color="auto"/>
        <w:left w:val="none" w:sz="0" w:space="0" w:color="auto"/>
        <w:bottom w:val="none" w:sz="0" w:space="0" w:color="auto"/>
        <w:right w:val="none" w:sz="0" w:space="0" w:color="auto"/>
      </w:divBdr>
      <w:divsChild>
        <w:div w:id="796721777">
          <w:marLeft w:val="480"/>
          <w:marRight w:val="0"/>
          <w:marTop w:val="0"/>
          <w:marBottom w:val="0"/>
          <w:divBdr>
            <w:top w:val="none" w:sz="0" w:space="0" w:color="auto"/>
            <w:left w:val="none" w:sz="0" w:space="0" w:color="auto"/>
            <w:bottom w:val="none" w:sz="0" w:space="0" w:color="auto"/>
            <w:right w:val="none" w:sz="0" w:space="0" w:color="auto"/>
          </w:divBdr>
          <w:divsChild>
            <w:div w:id="198981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34923">
      <w:bodyDiv w:val="1"/>
      <w:marLeft w:val="0"/>
      <w:marRight w:val="0"/>
      <w:marTop w:val="0"/>
      <w:marBottom w:val="0"/>
      <w:divBdr>
        <w:top w:val="none" w:sz="0" w:space="0" w:color="auto"/>
        <w:left w:val="none" w:sz="0" w:space="0" w:color="auto"/>
        <w:bottom w:val="none" w:sz="0" w:space="0" w:color="auto"/>
        <w:right w:val="none" w:sz="0" w:space="0" w:color="auto"/>
      </w:divBdr>
      <w:divsChild>
        <w:div w:id="871304478">
          <w:marLeft w:val="480"/>
          <w:marRight w:val="0"/>
          <w:marTop w:val="0"/>
          <w:marBottom w:val="0"/>
          <w:divBdr>
            <w:top w:val="none" w:sz="0" w:space="0" w:color="auto"/>
            <w:left w:val="none" w:sz="0" w:space="0" w:color="auto"/>
            <w:bottom w:val="none" w:sz="0" w:space="0" w:color="auto"/>
            <w:right w:val="none" w:sz="0" w:space="0" w:color="auto"/>
          </w:divBdr>
          <w:divsChild>
            <w:div w:id="4861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8974">
      <w:bodyDiv w:val="1"/>
      <w:marLeft w:val="0"/>
      <w:marRight w:val="0"/>
      <w:marTop w:val="0"/>
      <w:marBottom w:val="0"/>
      <w:divBdr>
        <w:top w:val="none" w:sz="0" w:space="0" w:color="auto"/>
        <w:left w:val="none" w:sz="0" w:space="0" w:color="auto"/>
        <w:bottom w:val="none" w:sz="0" w:space="0" w:color="auto"/>
        <w:right w:val="none" w:sz="0" w:space="0" w:color="auto"/>
      </w:divBdr>
      <w:divsChild>
        <w:div w:id="33044065">
          <w:marLeft w:val="480"/>
          <w:marRight w:val="0"/>
          <w:marTop w:val="0"/>
          <w:marBottom w:val="0"/>
          <w:divBdr>
            <w:top w:val="none" w:sz="0" w:space="0" w:color="auto"/>
            <w:left w:val="none" w:sz="0" w:space="0" w:color="auto"/>
            <w:bottom w:val="none" w:sz="0" w:space="0" w:color="auto"/>
            <w:right w:val="none" w:sz="0" w:space="0" w:color="auto"/>
          </w:divBdr>
          <w:divsChild>
            <w:div w:id="17710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45537">
      <w:bodyDiv w:val="1"/>
      <w:marLeft w:val="0"/>
      <w:marRight w:val="0"/>
      <w:marTop w:val="0"/>
      <w:marBottom w:val="0"/>
      <w:divBdr>
        <w:top w:val="none" w:sz="0" w:space="0" w:color="auto"/>
        <w:left w:val="none" w:sz="0" w:space="0" w:color="auto"/>
        <w:bottom w:val="none" w:sz="0" w:space="0" w:color="auto"/>
        <w:right w:val="none" w:sz="0" w:space="0" w:color="auto"/>
      </w:divBdr>
      <w:divsChild>
        <w:div w:id="356662081">
          <w:marLeft w:val="480"/>
          <w:marRight w:val="0"/>
          <w:marTop w:val="0"/>
          <w:marBottom w:val="0"/>
          <w:divBdr>
            <w:top w:val="none" w:sz="0" w:space="0" w:color="auto"/>
            <w:left w:val="none" w:sz="0" w:space="0" w:color="auto"/>
            <w:bottom w:val="none" w:sz="0" w:space="0" w:color="auto"/>
            <w:right w:val="none" w:sz="0" w:space="0" w:color="auto"/>
          </w:divBdr>
          <w:divsChild>
            <w:div w:id="85441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09474">
      <w:bodyDiv w:val="1"/>
      <w:marLeft w:val="0"/>
      <w:marRight w:val="0"/>
      <w:marTop w:val="0"/>
      <w:marBottom w:val="0"/>
      <w:divBdr>
        <w:top w:val="none" w:sz="0" w:space="0" w:color="auto"/>
        <w:left w:val="none" w:sz="0" w:space="0" w:color="auto"/>
        <w:bottom w:val="none" w:sz="0" w:space="0" w:color="auto"/>
        <w:right w:val="none" w:sz="0" w:space="0" w:color="auto"/>
      </w:divBdr>
      <w:divsChild>
        <w:div w:id="1322273679">
          <w:marLeft w:val="480"/>
          <w:marRight w:val="0"/>
          <w:marTop w:val="0"/>
          <w:marBottom w:val="0"/>
          <w:divBdr>
            <w:top w:val="none" w:sz="0" w:space="0" w:color="auto"/>
            <w:left w:val="none" w:sz="0" w:space="0" w:color="auto"/>
            <w:bottom w:val="none" w:sz="0" w:space="0" w:color="auto"/>
            <w:right w:val="none" w:sz="0" w:space="0" w:color="auto"/>
          </w:divBdr>
          <w:divsChild>
            <w:div w:id="6280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81150">
      <w:bodyDiv w:val="1"/>
      <w:marLeft w:val="0"/>
      <w:marRight w:val="0"/>
      <w:marTop w:val="0"/>
      <w:marBottom w:val="0"/>
      <w:divBdr>
        <w:top w:val="none" w:sz="0" w:space="0" w:color="auto"/>
        <w:left w:val="none" w:sz="0" w:space="0" w:color="auto"/>
        <w:bottom w:val="none" w:sz="0" w:space="0" w:color="auto"/>
        <w:right w:val="none" w:sz="0" w:space="0" w:color="auto"/>
      </w:divBdr>
    </w:div>
    <w:div w:id="1243560315">
      <w:bodyDiv w:val="1"/>
      <w:marLeft w:val="0"/>
      <w:marRight w:val="0"/>
      <w:marTop w:val="0"/>
      <w:marBottom w:val="0"/>
      <w:divBdr>
        <w:top w:val="none" w:sz="0" w:space="0" w:color="auto"/>
        <w:left w:val="none" w:sz="0" w:space="0" w:color="auto"/>
        <w:bottom w:val="none" w:sz="0" w:space="0" w:color="auto"/>
        <w:right w:val="none" w:sz="0" w:space="0" w:color="auto"/>
      </w:divBdr>
      <w:divsChild>
        <w:div w:id="1349985721">
          <w:marLeft w:val="480"/>
          <w:marRight w:val="0"/>
          <w:marTop w:val="0"/>
          <w:marBottom w:val="0"/>
          <w:divBdr>
            <w:top w:val="none" w:sz="0" w:space="0" w:color="auto"/>
            <w:left w:val="none" w:sz="0" w:space="0" w:color="auto"/>
            <w:bottom w:val="none" w:sz="0" w:space="0" w:color="auto"/>
            <w:right w:val="none" w:sz="0" w:space="0" w:color="auto"/>
          </w:divBdr>
          <w:divsChild>
            <w:div w:id="71913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03797">
      <w:bodyDiv w:val="1"/>
      <w:marLeft w:val="0"/>
      <w:marRight w:val="0"/>
      <w:marTop w:val="0"/>
      <w:marBottom w:val="0"/>
      <w:divBdr>
        <w:top w:val="none" w:sz="0" w:space="0" w:color="auto"/>
        <w:left w:val="none" w:sz="0" w:space="0" w:color="auto"/>
        <w:bottom w:val="none" w:sz="0" w:space="0" w:color="auto"/>
        <w:right w:val="none" w:sz="0" w:space="0" w:color="auto"/>
      </w:divBdr>
      <w:divsChild>
        <w:div w:id="1436292610">
          <w:marLeft w:val="480"/>
          <w:marRight w:val="0"/>
          <w:marTop w:val="0"/>
          <w:marBottom w:val="0"/>
          <w:divBdr>
            <w:top w:val="none" w:sz="0" w:space="0" w:color="auto"/>
            <w:left w:val="none" w:sz="0" w:space="0" w:color="auto"/>
            <w:bottom w:val="none" w:sz="0" w:space="0" w:color="auto"/>
            <w:right w:val="none" w:sz="0" w:space="0" w:color="auto"/>
          </w:divBdr>
          <w:divsChild>
            <w:div w:id="16825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643947">
      <w:bodyDiv w:val="1"/>
      <w:marLeft w:val="0"/>
      <w:marRight w:val="0"/>
      <w:marTop w:val="0"/>
      <w:marBottom w:val="0"/>
      <w:divBdr>
        <w:top w:val="none" w:sz="0" w:space="0" w:color="auto"/>
        <w:left w:val="none" w:sz="0" w:space="0" w:color="auto"/>
        <w:bottom w:val="none" w:sz="0" w:space="0" w:color="auto"/>
        <w:right w:val="none" w:sz="0" w:space="0" w:color="auto"/>
      </w:divBdr>
      <w:divsChild>
        <w:div w:id="1048845686">
          <w:marLeft w:val="480"/>
          <w:marRight w:val="0"/>
          <w:marTop w:val="0"/>
          <w:marBottom w:val="0"/>
          <w:divBdr>
            <w:top w:val="none" w:sz="0" w:space="0" w:color="auto"/>
            <w:left w:val="none" w:sz="0" w:space="0" w:color="auto"/>
            <w:bottom w:val="none" w:sz="0" w:space="0" w:color="auto"/>
            <w:right w:val="none" w:sz="0" w:space="0" w:color="auto"/>
          </w:divBdr>
          <w:divsChild>
            <w:div w:id="18171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27101">
      <w:bodyDiv w:val="1"/>
      <w:marLeft w:val="0"/>
      <w:marRight w:val="0"/>
      <w:marTop w:val="0"/>
      <w:marBottom w:val="0"/>
      <w:divBdr>
        <w:top w:val="none" w:sz="0" w:space="0" w:color="auto"/>
        <w:left w:val="none" w:sz="0" w:space="0" w:color="auto"/>
        <w:bottom w:val="none" w:sz="0" w:space="0" w:color="auto"/>
        <w:right w:val="none" w:sz="0" w:space="0" w:color="auto"/>
      </w:divBdr>
      <w:divsChild>
        <w:div w:id="1002005243">
          <w:marLeft w:val="480"/>
          <w:marRight w:val="0"/>
          <w:marTop w:val="0"/>
          <w:marBottom w:val="0"/>
          <w:divBdr>
            <w:top w:val="none" w:sz="0" w:space="0" w:color="auto"/>
            <w:left w:val="none" w:sz="0" w:space="0" w:color="auto"/>
            <w:bottom w:val="none" w:sz="0" w:space="0" w:color="auto"/>
            <w:right w:val="none" w:sz="0" w:space="0" w:color="auto"/>
          </w:divBdr>
          <w:divsChild>
            <w:div w:id="190409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79486">
      <w:bodyDiv w:val="1"/>
      <w:marLeft w:val="0"/>
      <w:marRight w:val="0"/>
      <w:marTop w:val="0"/>
      <w:marBottom w:val="0"/>
      <w:divBdr>
        <w:top w:val="none" w:sz="0" w:space="0" w:color="auto"/>
        <w:left w:val="none" w:sz="0" w:space="0" w:color="auto"/>
        <w:bottom w:val="none" w:sz="0" w:space="0" w:color="auto"/>
        <w:right w:val="none" w:sz="0" w:space="0" w:color="auto"/>
      </w:divBdr>
      <w:divsChild>
        <w:div w:id="1543638329">
          <w:marLeft w:val="480"/>
          <w:marRight w:val="0"/>
          <w:marTop w:val="0"/>
          <w:marBottom w:val="0"/>
          <w:divBdr>
            <w:top w:val="none" w:sz="0" w:space="0" w:color="auto"/>
            <w:left w:val="none" w:sz="0" w:space="0" w:color="auto"/>
            <w:bottom w:val="none" w:sz="0" w:space="0" w:color="auto"/>
            <w:right w:val="none" w:sz="0" w:space="0" w:color="auto"/>
          </w:divBdr>
          <w:divsChild>
            <w:div w:id="176587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79557">
      <w:bodyDiv w:val="1"/>
      <w:marLeft w:val="0"/>
      <w:marRight w:val="0"/>
      <w:marTop w:val="0"/>
      <w:marBottom w:val="0"/>
      <w:divBdr>
        <w:top w:val="none" w:sz="0" w:space="0" w:color="auto"/>
        <w:left w:val="none" w:sz="0" w:space="0" w:color="auto"/>
        <w:bottom w:val="none" w:sz="0" w:space="0" w:color="auto"/>
        <w:right w:val="none" w:sz="0" w:space="0" w:color="auto"/>
      </w:divBdr>
    </w:div>
    <w:div w:id="1404521130">
      <w:bodyDiv w:val="1"/>
      <w:marLeft w:val="0"/>
      <w:marRight w:val="0"/>
      <w:marTop w:val="0"/>
      <w:marBottom w:val="0"/>
      <w:divBdr>
        <w:top w:val="none" w:sz="0" w:space="0" w:color="auto"/>
        <w:left w:val="none" w:sz="0" w:space="0" w:color="auto"/>
        <w:bottom w:val="none" w:sz="0" w:space="0" w:color="auto"/>
        <w:right w:val="none" w:sz="0" w:space="0" w:color="auto"/>
      </w:divBdr>
      <w:divsChild>
        <w:div w:id="1083726593">
          <w:marLeft w:val="480"/>
          <w:marRight w:val="0"/>
          <w:marTop w:val="0"/>
          <w:marBottom w:val="0"/>
          <w:divBdr>
            <w:top w:val="none" w:sz="0" w:space="0" w:color="auto"/>
            <w:left w:val="none" w:sz="0" w:space="0" w:color="auto"/>
            <w:bottom w:val="none" w:sz="0" w:space="0" w:color="auto"/>
            <w:right w:val="none" w:sz="0" w:space="0" w:color="auto"/>
          </w:divBdr>
          <w:divsChild>
            <w:div w:id="18923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78766">
      <w:bodyDiv w:val="1"/>
      <w:marLeft w:val="0"/>
      <w:marRight w:val="0"/>
      <w:marTop w:val="0"/>
      <w:marBottom w:val="0"/>
      <w:divBdr>
        <w:top w:val="none" w:sz="0" w:space="0" w:color="auto"/>
        <w:left w:val="none" w:sz="0" w:space="0" w:color="auto"/>
        <w:bottom w:val="none" w:sz="0" w:space="0" w:color="auto"/>
        <w:right w:val="none" w:sz="0" w:space="0" w:color="auto"/>
      </w:divBdr>
      <w:divsChild>
        <w:div w:id="1193880648">
          <w:marLeft w:val="480"/>
          <w:marRight w:val="0"/>
          <w:marTop w:val="0"/>
          <w:marBottom w:val="0"/>
          <w:divBdr>
            <w:top w:val="none" w:sz="0" w:space="0" w:color="auto"/>
            <w:left w:val="none" w:sz="0" w:space="0" w:color="auto"/>
            <w:bottom w:val="none" w:sz="0" w:space="0" w:color="auto"/>
            <w:right w:val="none" w:sz="0" w:space="0" w:color="auto"/>
          </w:divBdr>
          <w:divsChild>
            <w:div w:id="55292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13115">
      <w:bodyDiv w:val="1"/>
      <w:marLeft w:val="0"/>
      <w:marRight w:val="0"/>
      <w:marTop w:val="0"/>
      <w:marBottom w:val="0"/>
      <w:divBdr>
        <w:top w:val="none" w:sz="0" w:space="0" w:color="auto"/>
        <w:left w:val="none" w:sz="0" w:space="0" w:color="auto"/>
        <w:bottom w:val="none" w:sz="0" w:space="0" w:color="auto"/>
        <w:right w:val="none" w:sz="0" w:space="0" w:color="auto"/>
      </w:divBdr>
      <w:divsChild>
        <w:div w:id="1341007009">
          <w:marLeft w:val="480"/>
          <w:marRight w:val="0"/>
          <w:marTop w:val="0"/>
          <w:marBottom w:val="0"/>
          <w:divBdr>
            <w:top w:val="none" w:sz="0" w:space="0" w:color="auto"/>
            <w:left w:val="none" w:sz="0" w:space="0" w:color="auto"/>
            <w:bottom w:val="none" w:sz="0" w:space="0" w:color="auto"/>
            <w:right w:val="none" w:sz="0" w:space="0" w:color="auto"/>
          </w:divBdr>
          <w:divsChild>
            <w:div w:id="16027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678">
      <w:bodyDiv w:val="1"/>
      <w:marLeft w:val="0"/>
      <w:marRight w:val="0"/>
      <w:marTop w:val="0"/>
      <w:marBottom w:val="0"/>
      <w:divBdr>
        <w:top w:val="none" w:sz="0" w:space="0" w:color="auto"/>
        <w:left w:val="none" w:sz="0" w:space="0" w:color="auto"/>
        <w:bottom w:val="none" w:sz="0" w:space="0" w:color="auto"/>
        <w:right w:val="none" w:sz="0" w:space="0" w:color="auto"/>
      </w:divBdr>
      <w:divsChild>
        <w:div w:id="868420771">
          <w:marLeft w:val="480"/>
          <w:marRight w:val="0"/>
          <w:marTop w:val="0"/>
          <w:marBottom w:val="0"/>
          <w:divBdr>
            <w:top w:val="none" w:sz="0" w:space="0" w:color="auto"/>
            <w:left w:val="none" w:sz="0" w:space="0" w:color="auto"/>
            <w:bottom w:val="none" w:sz="0" w:space="0" w:color="auto"/>
            <w:right w:val="none" w:sz="0" w:space="0" w:color="auto"/>
          </w:divBdr>
          <w:divsChild>
            <w:div w:id="21101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60370">
      <w:bodyDiv w:val="1"/>
      <w:marLeft w:val="0"/>
      <w:marRight w:val="0"/>
      <w:marTop w:val="0"/>
      <w:marBottom w:val="0"/>
      <w:divBdr>
        <w:top w:val="none" w:sz="0" w:space="0" w:color="auto"/>
        <w:left w:val="none" w:sz="0" w:space="0" w:color="auto"/>
        <w:bottom w:val="none" w:sz="0" w:space="0" w:color="auto"/>
        <w:right w:val="none" w:sz="0" w:space="0" w:color="auto"/>
      </w:divBdr>
      <w:divsChild>
        <w:div w:id="2130319447">
          <w:marLeft w:val="480"/>
          <w:marRight w:val="0"/>
          <w:marTop w:val="0"/>
          <w:marBottom w:val="0"/>
          <w:divBdr>
            <w:top w:val="none" w:sz="0" w:space="0" w:color="auto"/>
            <w:left w:val="none" w:sz="0" w:space="0" w:color="auto"/>
            <w:bottom w:val="none" w:sz="0" w:space="0" w:color="auto"/>
            <w:right w:val="none" w:sz="0" w:space="0" w:color="auto"/>
          </w:divBdr>
          <w:divsChild>
            <w:div w:id="109374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48257">
      <w:bodyDiv w:val="1"/>
      <w:marLeft w:val="0"/>
      <w:marRight w:val="0"/>
      <w:marTop w:val="0"/>
      <w:marBottom w:val="0"/>
      <w:divBdr>
        <w:top w:val="none" w:sz="0" w:space="0" w:color="auto"/>
        <w:left w:val="none" w:sz="0" w:space="0" w:color="auto"/>
        <w:bottom w:val="none" w:sz="0" w:space="0" w:color="auto"/>
        <w:right w:val="none" w:sz="0" w:space="0" w:color="auto"/>
      </w:divBdr>
      <w:divsChild>
        <w:div w:id="884563246">
          <w:marLeft w:val="480"/>
          <w:marRight w:val="0"/>
          <w:marTop w:val="0"/>
          <w:marBottom w:val="0"/>
          <w:divBdr>
            <w:top w:val="none" w:sz="0" w:space="0" w:color="auto"/>
            <w:left w:val="none" w:sz="0" w:space="0" w:color="auto"/>
            <w:bottom w:val="none" w:sz="0" w:space="0" w:color="auto"/>
            <w:right w:val="none" w:sz="0" w:space="0" w:color="auto"/>
          </w:divBdr>
          <w:divsChild>
            <w:div w:id="16225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6319">
      <w:bodyDiv w:val="1"/>
      <w:marLeft w:val="0"/>
      <w:marRight w:val="0"/>
      <w:marTop w:val="0"/>
      <w:marBottom w:val="0"/>
      <w:divBdr>
        <w:top w:val="none" w:sz="0" w:space="0" w:color="auto"/>
        <w:left w:val="none" w:sz="0" w:space="0" w:color="auto"/>
        <w:bottom w:val="none" w:sz="0" w:space="0" w:color="auto"/>
        <w:right w:val="none" w:sz="0" w:space="0" w:color="auto"/>
      </w:divBdr>
      <w:divsChild>
        <w:div w:id="1401175607">
          <w:marLeft w:val="480"/>
          <w:marRight w:val="0"/>
          <w:marTop w:val="0"/>
          <w:marBottom w:val="0"/>
          <w:divBdr>
            <w:top w:val="none" w:sz="0" w:space="0" w:color="auto"/>
            <w:left w:val="none" w:sz="0" w:space="0" w:color="auto"/>
            <w:bottom w:val="none" w:sz="0" w:space="0" w:color="auto"/>
            <w:right w:val="none" w:sz="0" w:space="0" w:color="auto"/>
          </w:divBdr>
          <w:divsChild>
            <w:div w:id="36773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89673">
      <w:bodyDiv w:val="1"/>
      <w:marLeft w:val="0"/>
      <w:marRight w:val="0"/>
      <w:marTop w:val="0"/>
      <w:marBottom w:val="0"/>
      <w:divBdr>
        <w:top w:val="none" w:sz="0" w:space="0" w:color="auto"/>
        <w:left w:val="none" w:sz="0" w:space="0" w:color="auto"/>
        <w:bottom w:val="none" w:sz="0" w:space="0" w:color="auto"/>
        <w:right w:val="none" w:sz="0" w:space="0" w:color="auto"/>
      </w:divBdr>
      <w:divsChild>
        <w:div w:id="1653174726">
          <w:marLeft w:val="480"/>
          <w:marRight w:val="0"/>
          <w:marTop w:val="0"/>
          <w:marBottom w:val="0"/>
          <w:divBdr>
            <w:top w:val="none" w:sz="0" w:space="0" w:color="auto"/>
            <w:left w:val="none" w:sz="0" w:space="0" w:color="auto"/>
            <w:bottom w:val="none" w:sz="0" w:space="0" w:color="auto"/>
            <w:right w:val="none" w:sz="0" w:space="0" w:color="auto"/>
          </w:divBdr>
          <w:divsChild>
            <w:div w:id="40476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922836">
      <w:bodyDiv w:val="1"/>
      <w:marLeft w:val="0"/>
      <w:marRight w:val="0"/>
      <w:marTop w:val="0"/>
      <w:marBottom w:val="0"/>
      <w:divBdr>
        <w:top w:val="none" w:sz="0" w:space="0" w:color="auto"/>
        <w:left w:val="none" w:sz="0" w:space="0" w:color="auto"/>
        <w:bottom w:val="none" w:sz="0" w:space="0" w:color="auto"/>
        <w:right w:val="none" w:sz="0" w:space="0" w:color="auto"/>
      </w:divBdr>
      <w:divsChild>
        <w:div w:id="1114517933">
          <w:marLeft w:val="480"/>
          <w:marRight w:val="0"/>
          <w:marTop w:val="0"/>
          <w:marBottom w:val="0"/>
          <w:divBdr>
            <w:top w:val="none" w:sz="0" w:space="0" w:color="auto"/>
            <w:left w:val="none" w:sz="0" w:space="0" w:color="auto"/>
            <w:bottom w:val="none" w:sz="0" w:space="0" w:color="auto"/>
            <w:right w:val="none" w:sz="0" w:space="0" w:color="auto"/>
          </w:divBdr>
          <w:divsChild>
            <w:div w:id="25409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2188">
      <w:bodyDiv w:val="1"/>
      <w:marLeft w:val="0"/>
      <w:marRight w:val="0"/>
      <w:marTop w:val="0"/>
      <w:marBottom w:val="0"/>
      <w:divBdr>
        <w:top w:val="none" w:sz="0" w:space="0" w:color="auto"/>
        <w:left w:val="none" w:sz="0" w:space="0" w:color="auto"/>
        <w:bottom w:val="none" w:sz="0" w:space="0" w:color="auto"/>
        <w:right w:val="none" w:sz="0" w:space="0" w:color="auto"/>
      </w:divBdr>
      <w:divsChild>
        <w:div w:id="335116619">
          <w:marLeft w:val="480"/>
          <w:marRight w:val="0"/>
          <w:marTop w:val="0"/>
          <w:marBottom w:val="0"/>
          <w:divBdr>
            <w:top w:val="none" w:sz="0" w:space="0" w:color="auto"/>
            <w:left w:val="none" w:sz="0" w:space="0" w:color="auto"/>
            <w:bottom w:val="none" w:sz="0" w:space="0" w:color="auto"/>
            <w:right w:val="none" w:sz="0" w:space="0" w:color="auto"/>
          </w:divBdr>
          <w:divsChild>
            <w:div w:id="10252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83075">
      <w:bodyDiv w:val="1"/>
      <w:marLeft w:val="0"/>
      <w:marRight w:val="0"/>
      <w:marTop w:val="0"/>
      <w:marBottom w:val="0"/>
      <w:divBdr>
        <w:top w:val="none" w:sz="0" w:space="0" w:color="auto"/>
        <w:left w:val="none" w:sz="0" w:space="0" w:color="auto"/>
        <w:bottom w:val="none" w:sz="0" w:space="0" w:color="auto"/>
        <w:right w:val="none" w:sz="0" w:space="0" w:color="auto"/>
      </w:divBdr>
      <w:divsChild>
        <w:div w:id="1902325916">
          <w:marLeft w:val="480"/>
          <w:marRight w:val="0"/>
          <w:marTop w:val="0"/>
          <w:marBottom w:val="0"/>
          <w:divBdr>
            <w:top w:val="none" w:sz="0" w:space="0" w:color="auto"/>
            <w:left w:val="none" w:sz="0" w:space="0" w:color="auto"/>
            <w:bottom w:val="none" w:sz="0" w:space="0" w:color="auto"/>
            <w:right w:val="none" w:sz="0" w:space="0" w:color="auto"/>
          </w:divBdr>
          <w:divsChild>
            <w:div w:id="20540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23952">
      <w:bodyDiv w:val="1"/>
      <w:marLeft w:val="0"/>
      <w:marRight w:val="0"/>
      <w:marTop w:val="0"/>
      <w:marBottom w:val="0"/>
      <w:divBdr>
        <w:top w:val="none" w:sz="0" w:space="0" w:color="auto"/>
        <w:left w:val="none" w:sz="0" w:space="0" w:color="auto"/>
        <w:bottom w:val="none" w:sz="0" w:space="0" w:color="auto"/>
        <w:right w:val="none" w:sz="0" w:space="0" w:color="auto"/>
      </w:divBdr>
      <w:divsChild>
        <w:div w:id="1726369496">
          <w:marLeft w:val="480"/>
          <w:marRight w:val="0"/>
          <w:marTop w:val="0"/>
          <w:marBottom w:val="0"/>
          <w:divBdr>
            <w:top w:val="none" w:sz="0" w:space="0" w:color="auto"/>
            <w:left w:val="none" w:sz="0" w:space="0" w:color="auto"/>
            <w:bottom w:val="none" w:sz="0" w:space="0" w:color="auto"/>
            <w:right w:val="none" w:sz="0" w:space="0" w:color="auto"/>
          </w:divBdr>
          <w:divsChild>
            <w:div w:id="32702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50233">
      <w:bodyDiv w:val="1"/>
      <w:marLeft w:val="0"/>
      <w:marRight w:val="0"/>
      <w:marTop w:val="0"/>
      <w:marBottom w:val="0"/>
      <w:divBdr>
        <w:top w:val="none" w:sz="0" w:space="0" w:color="auto"/>
        <w:left w:val="none" w:sz="0" w:space="0" w:color="auto"/>
        <w:bottom w:val="none" w:sz="0" w:space="0" w:color="auto"/>
        <w:right w:val="none" w:sz="0" w:space="0" w:color="auto"/>
      </w:divBdr>
      <w:divsChild>
        <w:div w:id="2022387588">
          <w:marLeft w:val="480"/>
          <w:marRight w:val="0"/>
          <w:marTop w:val="0"/>
          <w:marBottom w:val="0"/>
          <w:divBdr>
            <w:top w:val="none" w:sz="0" w:space="0" w:color="auto"/>
            <w:left w:val="none" w:sz="0" w:space="0" w:color="auto"/>
            <w:bottom w:val="none" w:sz="0" w:space="0" w:color="auto"/>
            <w:right w:val="none" w:sz="0" w:space="0" w:color="auto"/>
          </w:divBdr>
          <w:divsChild>
            <w:div w:id="7210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967872">
      <w:bodyDiv w:val="1"/>
      <w:marLeft w:val="0"/>
      <w:marRight w:val="0"/>
      <w:marTop w:val="0"/>
      <w:marBottom w:val="0"/>
      <w:divBdr>
        <w:top w:val="none" w:sz="0" w:space="0" w:color="auto"/>
        <w:left w:val="none" w:sz="0" w:space="0" w:color="auto"/>
        <w:bottom w:val="none" w:sz="0" w:space="0" w:color="auto"/>
        <w:right w:val="none" w:sz="0" w:space="0" w:color="auto"/>
      </w:divBdr>
      <w:divsChild>
        <w:div w:id="1378974654">
          <w:marLeft w:val="480"/>
          <w:marRight w:val="0"/>
          <w:marTop w:val="0"/>
          <w:marBottom w:val="0"/>
          <w:divBdr>
            <w:top w:val="none" w:sz="0" w:space="0" w:color="auto"/>
            <w:left w:val="none" w:sz="0" w:space="0" w:color="auto"/>
            <w:bottom w:val="none" w:sz="0" w:space="0" w:color="auto"/>
            <w:right w:val="none" w:sz="0" w:space="0" w:color="auto"/>
          </w:divBdr>
          <w:divsChild>
            <w:div w:id="5946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89271">
      <w:bodyDiv w:val="1"/>
      <w:marLeft w:val="0"/>
      <w:marRight w:val="0"/>
      <w:marTop w:val="0"/>
      <w:marBottom w:val="0"/>
      <w:divBdr>
        <w:top w:val="none" w:sz="0" w:space="0" w:color="auto"/>
        <w:left w:val="none" w:sz="0" w:space="0" w:color="auto"/>
        <w:bottom w:val="none" w:sz="0" w:space="0" w:color="auto"/>
        <w:right w:val="none" w:sz="0" w:space="0" w:color="auto"/>
      </w:divBdr>
      <w:divsChild>
        <w:div w:id="978729800">
          <w:marLeft w:val="480"/>
          <w:marRight w:val="0"/>
          <w:marTop w:val="0"/>
          <w:marBottom w:val="0"/>
          <w:divBdr>
            <w:top w:val="none" w:sz="0" w:space="0" w:color="auto"/>
            <w:left w:val="none" w:sz="0" w:space="0" w:color="auto"/>
            <w:bottom w:val="none" w:sz="0" w:space="0" w:color="auto"/>
            <w:right w:val="none" w:sz="0" w:space="0" w:color="auto"/>
          </w:divBdr>
          <w:divsChild>
            <w:div w:id="61186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628022">
      <w:bodyDiv w:val="1"/>
      <w:marLeft w:val="0"/>
      <w:marRight w:val="0"/>
      <w:marTop w:val="0"/>
      <w:marBottom w:val="0"/>
      <w:divBdr>
        <w:top w:val="none" w:sz="0" w:space="0" w:color="auto"/>
        <w:left w:val="none" w:sz="0" w:space="0" w:color="auto"/>
        <w:bottom w:val="none" w:sz="0" w:space="0" w:color="auto"/>
        <w:right w:val="none" w:sz="0" w:space="0" w:color="auto"/>
      </w:divBdr>
      <w:divsChild>
        <w:div w:id="404451959">
          <w:marLeft w:val="480"/>
          <w:marRight w:val="0"/>
          <w:marTop w:val="0"/>
          <w:marBottom w:val="0"/>
          <w:divBdr>
            <w:top w:val="none" w:sz="0" w:space="0" w:color="auto"/>
            <w:left w:val="none" w:sz="0" w:space="0" w:color="auto"/>
            <w:bottom w:val="none" w:sz="0" w:space="0" w:color="auto"/>
            <w:right w:val="none" w:sz="0" w:space="0" w:color="auto"/>
          </w:divBdr>
          <w:divsChild>
            <w:div w:id="13829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944727">
      <w:bodyDiv w:val="1"/>
      <w:marLeft w:val="0"/>
      <w:marRight w:val="0"/>
      <w:marTop w:val="0"/>
      <w:marBottom w:val="0"/>
      <w:divBdr>
        <w:top w:val="none" w:sz="0" w:space="0" w:color="auto"/>
        <w:left w:val="none" w:sz="0" w:space="0" w:color="auto"/>
        <w:bottom w:val="none" w:sz="0" w:space="0" w:color="auto"/>
        <w:right w:val="none" w:sz="0" w:space="0" w:color="auto"/>
      </w:divBdr>
      <w:divsChild>
        <w:div w:id="888420799">
          <w:marLeft w:val="480"/>
          <w:marRight w:val="0"/>
          <w:marTop w:val="0"/>
          <w:marBottom w:val="0"/>
          <w:divBdr>
            <w:top w:val="none" w:sz="0" w:space="0" w:color="auto"/>
            <w:left w:val="none" w:sz="0" w:space="0" w:color="auto"/>
            <w:bottom w:val="none" w:sz="0" w:space="0" w:color="auto"/>
            <w:right w:val="none" w:sz="0" w:space="0" w:color="auto"/>
          </w:divBdr>
          <w:divsChild>
            <w:div w:id="16512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51311">
      <w:bodyDiv w:val="1"/>
      <w:marLeft w:val="0"/>
      <w:marRight w:val="0"/>
      <w:marTop w:val="0"/>
      <w:marBottom w:val="0"/>
      <w:divBdr>
        <w:top w:val="none" w:sz="0" w:space="0" w:color="auto"/>
        <w:left w:val="none" w:sz="0" w:space="0" w:color="auto"/>
        <w:bottom w:val="none" w:sz="0" w:space="0" w:color="auto"/>
        <w:right w:val="none" w:sz="0" w:space="0" w:color="auto"/>
      </w:divBdr>
    </w:div>
    <w:div w:id="1724060091">
      <w:bodyDiv w:val="1"/>
      <w:marLeft w:val="0"/>
      <w:marRight w:val="0"/>
      <w:marTop w:val="0"/>
      <w:marBottom w:val="0"/>
      <w:divBdr>
        <w:top w:val="none" w:sz="0" w:space="0" w:color="auto"/>
        <w:left w:val="none" w:sz="0" w:space="0" w:color="auto"/>
        <w:bottom w:val="none" w:sz="0" w:space="0" w:color="auto"/>
        <w:right w:val="none" w:sz="0" w:space="0" w:color="auto"/>
      </w:divBdr>
      <w:divsChild>
        <w:div w:id="1219902985">
          <w:marLeft w:val="480"/>
          <w:marRight w:val="0"/>
          <w:marTop w:val="0"/>
          <w:marBottom w:val="0"/>
          <w:divBdr>
            <w:top w:val="none" w:sz="0" w:space="0" w:color="auto"/>
            <w:left w:val="none" w:sz="0" w:space="0" w:color="auto"/>
            <w:bottom w:val="none" w:sz="0" w:space="0" w:color="auto"/>
            <w:right w:val="none" w:sz="0" w:space="0" w:color="auto"/>
          </w:divBdr>
          <w:divsChild>
            <w:div w:id="79626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43822">
      <w:bodyDiv w:val="1"/>
      <w:marLeft w:val="0"/>
      <w:marRight w:val="0"/>
      <w:marTop w:val="0"/>
      <w:marBottom w:val="0"/>
      <w:divBdr>
        <w:top w:val="none" w:sz="0" w:space="0" w:color="auto"/>
        <w:left w:val="none" w:sz="0" w:space="0" w:color="auto"/>
        <w:bottom w:val="none" w:sz="0" w:space="0" w:color="auto"/>
        <w:right w:val="none" w:sz="0" w:space="0" w:color="auto"/>
      </w:divBdr>
      <w:divsChild>
        <w:div w:id="2138257925">
          <w:marLeft w:val="480"/>
          <w:marRight w:val="0"/>
          <w:marTop w:val="0"/>
          <w:marBottom w:val="0"/>
          <w:divBdr>
            <w:top w:val="none" w:sz="0" w:space="0" w:color="auto"/>
            <w:left w:val="none" w:sz="0" w:space="0" w:color="auto"/>
            <w:bottom w:val="none" w:sz="0" w:space="0" w:color="auto"/>
            <w:right w:val="none" w:sz="0" w:space="0" w:color="auto"/>
          </w:divBdr>
          <w:divsChild>
            <w:div w:id="140791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98827">
      <w:bodyDiv w:val="1"/>
      <w:marLeft w:val="0"/>
      <w:marRight w:val="0"/>
      <w:marTop w:val="0"/>
      <w:marBottom w:val="0"/>
      <w:divBdr>
        <w:top w:val="none" w:sz="0" w:space="0" w:color="auto"/>
        <w:left w:val="none" w:sz="0" w:space="0" w:color="auto"/>
        <w:bottom w:val="none" w:sz="0" w:space="0" w:color="auto"/>
        <w:right w:val="none" w:sz="0" w:space="0" w:color="auto"/>
      </w:divBdr>
      <w:divsChild>
        <w:div w:id="430126110">
          <w:marLeft w:val="480"/>
          <w:marRight w:val="0"/>
          <w:marTop w:val="0"/>
          <w:marBottom w:val="0"/>
          <w:divBdr>
            <w:top w:val="none" w:sz="0" w:space="0" w:color="auto"/>
            <w:left w:val="none" w:sz="0" w:space="0" w:color="auto"/>
            <w:bottom w:val="none" w:sz="0" w:space="0" w:color="auto"/>
            <w:right w:val="none" w:sz="0" w:space="0" w:color="auto"/>
          </w:divBdr>
          <w:divsChild>
            <w:div w:id="55778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49372">
      <w:bodyDiv w:val="1"/>
      <w:marLeft w:val="0"/>
      <w:marRight w:val="0"/>
      <w:marTop w:val="0"/>
      <w:marBottom w:val="0"/>
      <w:divBdr>
        <w:top w:val="none" w:sz="0" w:space="0" w:color="auto"/>
        <w:left w:val="none" w:sz="0" w:space="0" w:color="auto"/>
        <w:bottom w:val="none" w:sz="0" w:space="0" w:color="auto"/>
        <w:right w:val="none" w:sz="0" w:space="0" w:color="auto"/>
      </w:divBdr>
    </w:div>
    <w:div w:id="1797139900">
      <w:bodyDiv w:val="1"/>
      <w:marLeft w:val="0"/>
      <w:marRight w:val="0"/>
      <w:marTop w:val="0"/>
      <w:marBottom w:val="0"/>
      <w:divBdr>
        <w:top w:val="none" w:sz="0" w:space="0" w:color="auto"/>
        <w:left w:val="none" w:sz="0" w:space="0" w:color="auto"/>
        <w:bottom w:val="none" w:sz="0" w:space="0" w:color="auto"/>
        <w:right w:val="none" w:sz="0" w:space="0" w:color="auto"/>
      </w:divBdr>
      <w:divsChild>
        <w:div w:id="307562359">
          <w:marLeft w:val="0"/>
          <w:marRight w:val="0"/>
          <w:marTop w:val="0"/>
          <w:marBottom w:val="0"/>
          <w:divBdr>
            <w:top w:val="none" w:sz="0" w:space="0" w:color="auto"/>
            <w:left w:val="none" w:sz="0" w:space="0" w:color="auto"/>
            <w:bottom w:val="none" w:sz="0" w:space="0" w:color="auto"/>
            <w:right w:val="none" w:sz="0" w:space="0" w:color="auto"/>
          </w:divBdr>
        </w:div>
        <w:div w:id="965890242">
          <w:marLeft w:val="0"/>
          <w:marRight w:val="0"/>
          <w:marTop w:val="0"/>
          <w:marBottom w:val="0"/>
          <w:divBdr>
            <w:top w:val="none" w:sz="0" w:space="0" w:color="auto"/>
            <w:left w:val="none" w:sz="0" w:space="0" w:color="auto"/>
            <w:bottom w:val="none" w:sz="0" w:space="0" w:color="auto"/>
            <w:right w:val="none" w:sz="0" w:space="0" w:color="auto"/>
          </w:divBdr>
        </w:div>
        <w:div w:id="1184711254">
          <w:marLeft w:val="0"/>
          <w:marRight w:val="0"/>
          <w:marTop w:val="0"/>
          <w:marBottom w:val="0"/>
          <w:divBdr>
            <w:top w:val="none" w:sz="0" w:space="0" w:color="auto"/>
            <w:left w:val="none" w:sz="0" w:space="0" w:color="auto"/>
            <w:bottom w:val="none" w:sz="0" w:space="0" w:color="auto"/>
            <w:right w:val="none" w:sz="0" w:space="0" w:color="auto"/>
          </w:divBdr>
        </w:div>
        <w:div w:id="2057972722">
          <w:marLeft w:val="0"/>
          <w:marRight w:val="0"/>
          <w:marTop w:val="0"/>
          <w:marBottom w:val="0"/>
          <w:divBdr>
            <w:top w:val="none" w:sz="0" w:space="0" w:color="auto"/>
            <w:left w:val="none" w:sz="0" w:space="0" w:color="auto"/>
            <w:bottom w:val="none" w:sz="0" w:space="0" w:color="auto"/>
            <w:right w:val="none" w:sz="0" w:space="0" w:color="auto"/>
          </w:divBdr>
        </w:div>
        <w:div w:id="2079938153">
          <w:marLeft w:val="0"/>
          <w:marRight w:val="0"/>
          <w:marTop w:val="0"/>
          <w:marBottom w:val="0"/>
          <w:divBdr>
            <w:top w:val="none" w:sz="0" w:space="0" w:color="auto"/>
            <w:left w:val="none" w:sz="0" w:space="0" w:color="auto"/>
            <w:bottom w:val="none" w:sz="0" w:space="0" w:color="auto"/>
            <w:right w:val="none" w:sz="0" w:space="0" w:color="auto"/>
          </w:divBdr>
        </w:div>
      </w:divsChild>
    </w:div>
    <w:div w:id="1800609190">
      <w:bodyDiv w:val="1"/>
      <w:marLeft w:val="0"/>
      <w:marRight w:val="0"/>
      <w:marTop w:val="0"/>
      <w:marBottom w:val="0"/>
      <w:divBdr>
        <w:top w:val="none" w:sz="0" w:space="0" w:color="auto"/>
        <w:left w:val="none" w:sz="0" w:space="0" w:color="auto"/>
        <w:bottom w:val="none" w:sz="0" w:space="0" w:color="auto"/>
        <w:right w:val="none" w:sz="0" w:space="0" w:color="auto"/>
      </w:divBdr>
      <w:divsChild>
        <w:div w:id="1114179017">
          <w:marLeft w:val="480"/>
          <w:marRight w:val="0"/>
          <w:marTop w:val="0"/>
          <w:marBottom w:val="0"/>
          <w:divBdr>
            <w:top w:val="none" w:sz="0" w:space="0" w:color="auto"/>
            <w:left w:val="none" w:sz="0" w:space="0" w:color="auto"/>
            <w:bottom w:val="none" w:sz="0" w:space="0" w:color="auto"/>
            <w:right w:val="none" w:sz="0" w:space="0" w:color="auto"/>
          </w:divBdr>
          <w:divsChild>
            <w:div w:id="192113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4750">
      <w:bodyDiv w:val="1"/>
      <w:marLeft w:val="0"/>
      <w:marRight w:val="0"/>
      <w:marTop w:val="0"/>
      <w:marBottom w:val="0"/>
      <w:divBdr>
        <w:top w:val="none" w:sz="0" w:space="0" w:color="auto"/>
        <w:left w:val="none" w:sz="0" w:space="0" w:color="auto"/>
        <w:bottom w:val="none" w:sz="0" w:space="0" w:color="auto"/>
        <w:right w:val="none" w:sz="0" w:space="0" w:color="auto"/>
      </w:divBdr>
      <w:divsChild>
        <w:div w:id="200166601">
          <w:marLeft w:val="480"/>
          <w:marRight w:val="0"/>
          <w:marTop w:val="0"/>
          <w:marBottom w:val="0"/>
          <w:divBdr>
            <w:top w:val="none" w:sz="0" w:space="0" w:color="auto"/>
            <w:left w:val="none" w:sz="0" w:space="0" w:color="auto"/>
            <w:bottom w:val="none" w:sz="0" w:space="0" w:color="auto"/>
            <w:right w:val="none" w:sz="0" w:space="0" w:color="auto"/>
          </w:divBdr>
          <w:divsChild>
            <w:div w:id="19746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49328">
      <w:bodyDiv w:val="1"/>
      <w:marLeft w:val="0"/>
      <w:marRight w:val="0"/>
      <w:marTop w:val="0"/>
      <w:marBottom w:val="0"/>
      <w:divBdr>
        <w:top w:val="none" w:sz="0" w:space="0" w:color="auto"/>
        <w:left w:val="none" w:sz="0" w:space="0" w:color="auto"/>
        <w:bottom w:val="none" w:sz="0" w:space="0" w:color="auto"/>
        <w:right w:val="none" w:sz="0" w:space="0" w:color="auto"/>
      </w:divBdr>
      <w:divsChild>
        <w:div w:id="137109966">
          <w:marLeft w:val="480"/>
          <w:marRight w:val="0"/>
          <w:marTop w:val="0"/>
          <w:marBottom w:val="0"/>
          <w:divBdr>
            <w:top w:val="none" w:sz="0" w:space="0" w:color="auto"/>
            <w:left w:val="none" w:sz="0" w:space="0" w:color="auto"/>
            <w:bottom w:val="none" w:sz="0" w:space="0" w:color="auto"/>
            <w:right w:val="none" w:sz="0" w:space="0" w:color="auto"/>
          </w:divBdr>
          <w:divsChild>
            <w:div w:id="113556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5680">
      <w:bodyDiv w:val="1"/>
      <w:marLeft w:val="0"/>
      <w:marRight w:val="0"/>
      <w:marTop w:val="0"/>
      <w:marBottom w:val="0"/>
      <w:divBdr>
        <w:top w:val="none" w:sz="0" w:space="0" w:color="auto"/>
        <w:left w:val="none" w:sz="0" w:space="0" w:color="auto"/>
        <w:bottom w:val="none" w:sz="0" w:space="0" w:color="auto"/>
        <w:right w:val="none" w:sz="0" w:space="0" w:color="auto"/>
      </w:divBdr>
      <w:divsChild>
        <w:div w:id="2052340683">
          <w:marLeft w:val="480"/>
          <w:marRight w:val="0"/>
          <w:marTop w:val="0"/>
          <w:marBottom w:val="0"/>
          <w:divBdr>
            <w:top w:val="none" w:sz="0" w:space="0" w:color="auto"/>
            <w:left w:val="none" w:sz="0" w:space="0" w:color="auto"/>
            <w:bottom w:val="none" w:sz="0" w:space="0" w:color="auto"/>
            <w:right w:val="none" w:sz="0" w:space="0" w:color="auto"/>
          </w:divBdr>
          <w:divsChild>
            <w:div w:id="69508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87413">
      <w:bodyDiv w:val="1"/>
      <w:marLeft w:val="0"/>
      <w:marRight w:val="0"/>
      <w:marTop w:val="0"/>
      <w:marBottom w:val="0"/>
      <w:divBdr>
        <w:top w:val="none" w:sz="0" w:space="0" w:color="auto"/>
        <w:left w:val="none" w:sz="0" w:space="0" w:color="auto"/>
        <w:bottom w:val="none" w:sz="0" w:space="0" w:color="auto"/>
        <w:right w:val="none" w:sz="0" w:space="0" w:color="auto"/>
      </w:divBdr>
      <w:divsChild>
        <w:div w:id="218904085">
          <w:marLeft w:val="480"/>
          <w:marRight w:val="0"/>
          <w:marTop w:val="0"/>
          <w:marBottom w:val="0"/>
          <w:divBdr>
            <w:top w:val="none" w:sz="0" w:space="0" w:color="auto"/>
            <w:left w:val="none" w:sz="0" w:space="0" w:color="auto"/>
            <w:bottom w:val="none" w:sz="0" w:space="0" w:color="auto"/>
            <w:right w:val="none" w:sz="0" w:space="0" w:color="auto"/>
          </w:divBdr>
          <w:divsChild>
            <w:div w:id="5811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89325">
      <w:bodyDiv w:val="1"/>
      <w:marLeft w:val="0"/>
      <w:marRight w:val="0"/>
      <w:marTop w:val="0"/>
      <w:marBottom w:val="0"/>
      <w:divBdr>
        <w:top w:val="none" w:sz="0" w:space="0" w:color="auto"/>
        <w:left w:val="none" w:sz="0" w:space="0" w:color="auto"/>
        <w:bottom w:val="none" w:sz="0" w:space="0" w:color="auto"/>
        <w:right w:val="none" w:sz="0" w:space="0" w:color="auto"/>
      </w:divBdr>
      <w:divsChild>
        <w:div w:id="732238655">
          <w:marLeft w:val="480"/>
          <w:marRight w:val="0"/>
          <w:marTop w:val="0"/>
          <w:marBottom w:val="0"/>
          <w:divBdr>
            <w:top w:val="none" w:sz="0" w:space="0" w:color="auto"/>
            <w:left w:val="none" w:sz="0" w:space="0" w:color="auto"/>
            <w:bottom w:val="none" w:sz="0" w:space="0" w:color="auto"/>
            <w:right w:val="none" w:sz="0" w:space="0" w:color="auto"/>
          </w:divBdr>
          <w:divsChild>
            <w:div w:id="158572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2078">
      <w:bodyDiv w:val="1"/>
      <w:marLeft w:val="0"/>
      <w:marRight w:val="0"/>
      <w:marTop w:val="0"/>
      <w:marBottom w:val="0"/>
      <w:divBdr>
        <w:top w:val="none" w:sz="0" w:space="0" w:color="auto"/>
        <w:left w:val="none" w:sz="0" w:space="0" w:color="auto"/>
        <w:bottom w:val="none" w:sz="0" w:space="0" w:color="auto"/>
        <w:right w:val="none" w:sz="0" w:space="0" w:color="auto"/>
      </w:divBdr>
    </w:div>
    <w:div w:id="1876691212">
      <w:bodyDiv w:val="1"/>
      <w:marLeft w:val="0"/>
      <w:marRight w:val="0"/>
      <w:marTop w:val="0"/>
      <w:marBottom w:val="0"/>
      <w:divBdr>
        <w:top w:val="none" w:sz="0" w:space="0" w:color="auto"/>
        <w:left w:val="none" w:sz="0" w:space="0" w:color="auto"/>
        <w:bottom w:val="none" w:sz="0" w:space="0" w:color="auto"/>
        <w:right w:val="none" w:sz="0" w:space="0" w:color="auto"/>
      </w:divBdr>
      <w:divsChild>
        <w:div w:id="1289898279">
          <w:marLeft w:val="480"/>
          <w:marRight w:val="0"/>
          <w:marTop w:val="0"/>
          <w:marBottom w:val="0"/>
          <w:divBdr>
            <w:top w:val="none" w:sz="0" w:space="0" w:color="auto"/>
            <w:left w:val="none" w:sz="0" w:space="0" w:color="auto"/>
            <w:bottom w:val="none" w:sz="0" w:space="0" w:color="auto"/>
            <w:right w:val="none" w:sz="0" w:space="0" w:color="auto"/>
          </w:divBdr>
          <w:divsChild>
            <w:div w:id="179879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21392">
      <w:bodyDiv w:val="1"/>
      <w:marLeft w:val="0"/>
      <w:marRight w:val="0"/>
      <w:marTop w:val="0"/>
      <w:marBottom w:val="0"/>
      <w:divBdr>
        <w:top w:val="none" w:sz="0" w:space="0" w:color="auto"/>
        <w:left w:val="none" w:sz="0" w:space="0" w:color="auto"/>
        <w:bottom w:val="none" w:sz="0" w:space="0" w:color="auto"/>
        <w:right w:val="none" w:sz="0" w:space="0" w:color="auto"/>
      </w:divBdr>
      <w:divsChild>
        <w:div w:id="1684355996">
          <w:marLeft w:val="480"/>
          <w:marRight w:val="0"/>
          <w:marTop w:val="0"/>
          <w:marBottom w:val="0"/>
          <w:divBdr>
            <w:top w:val="none" w:sz="0" w:space="0" w:color="auto"/>
            <w:left w:val="none" w:sz="0" w:space="0" w:color="auto"/>
            <w:bottom w:val="none" w:sz="0" w:space="0" w:color="auto"/>
            <w:right w:val="none" w:sz="0" w:space="0" w:color="auto"/>
          </w:divBdr>
          <w:divsChild>
            <w:div w:id="9003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57595">
      <w:bodyDiv w:val="1"/>
      <w:marLeft w:val="0"/>
      <w:marRight w:val="0"/>
      <w:marTop w:val="0"/>
      <w:marBottom w:val="0"/>
      <w:divBdr>
        <w:top w:val="none" w:sz="0" w:space="0" w:color="auto"/>
        <w:left w:val="none" w:sz="0" w:space="0" w:color="auto"/>
        <w:bottom w:val="none" w:sz="0" w:space="0" w:color="auto"/>
        <w:right w:val="none" w:sz="0" w:space="0" w:color="auto"/>
      </w:divBdr>
      <w:divsChild>
        <w:div w:id="1436437822">
          <w:marLeft w:val="480"/>
          <w:marRight w:val="0"/>
          <w:marTop w:val="0"/>
          <w:marBottom w:val="0"/>
          <w:divBdr>
            <w:top w:val="none" w:sz="0" w:space="0" w:color="auto"/>
            <w:left w:val="none" w:sz="0" w:space="0" w:color="auto"/>
            <w:bottom w:val="none" w:sz="0" w:space="0" w:color="auto"/>
            <w:right w:val="none" w:sz="0" w:space="0" w:color="auto"/>
          </w:divBdr>
          <w:divsChild>
            <w:div w:id="6368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84464">
      <w:bodyDiv w:val="1"/>
      <w:marLeft w:val="0"/>
      <w:marRight w:val="0"/>
      <w:marTop w:val="0"/>
      <w:marBottom w:val="0"/>
      <w:divBdr>
        <w:top w:val="none" w:sz="0" w:space="0" w:color="auto"/>
        <w:left w:val="none" w:sz="0" w:space="0" w:color="auto"/>
        <w:bottom w:val="none" w:sz="0" w:space="0" w:color="auto"/>
        <w:right w:val="none" w:sz="0" w:space="0" w:color="auto"/>
      </w:divBdr>
      <w:divsChild>
        <w:div w:id="670913631">
          <w:marLeft w:val="480"/>
          <w:marRight w:val="0"/>
          <w:marTop w:val="0"/>
          <w:marBottom w:val="0"/>
          <w:divBdr>
            <w:top w:val="none" w:sz="0" w:space="0" w:color="auto"/>
            <w:left w:val="none" w:sz="0" w:space="0" w:color="auto"/>
            <w:bottom w:val="none" w:sz="0" w:space="0" w:color="auto"/>
            <w:right w:val="none" w:sz="0" w:space="0" w:color="auto"/>
          </w:divBdr>
          <w:divsChild>
            <w:div w:id="82733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19456">
      <w:bodyDiv w:val="1"/>
      <w:marLeft w:val="0"/>
      <w:marRight w:val="0"/>
      <w:marTop w:val="0"/>
      <w:marBottom w:val="0"/>
      <w:divBdr>
        <w:top w:val="none" w:sz="0" w:space="0" w:color="auto"/>
        <w:left w:val="none" w:sz="0" w:space="0" w:color="auto"/>
        <w:bottom w:val="none" w:sz="0" w:space="0" w:color="auto"/>
        <w:right w:val="none" w:sz="0" w:space="0" w:color="auto"/>
      </w:divBdr>
      <w:divsChild>
        <w:div w:id="699286432">
          <w:marLeft w:val="480"/>
          <w:marRight w:val="0"/>
          <w:marTop w:val="0"/>
          <w:marBottom w:val="0"/>
          <w:divBdr>
            <w:top w:val="none" w:sz="0" w:space="0" w:color="auto"/>
            <w:left w:val="none" w:sz="0" w:space="0" w:color="auto"/>
            <w:bottom w:val="none" w:sz="0" w:space="0" w:color="auto"/>
            <w:right w:val="none" w:sz="0" w:space="0" w:color="auto"/>
          </w:divBdr>
          <w:divsChild>
            <w:div w:id="22133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87252">
      <w:bodyDiv w:val="1"/>
      <w:marLeft w:val="0"/>
      <w:marRight w:val="0"/>
      <w:marTop w:val="0"/>
      <w:marBottom w:val="0"/>
      <w:divBdr>
        <w:top w:val="none" w:sz="0" w:space="0" w:color="auto"/>
        <w:left w:val="none" w:sz="0" w:space="0" w:color="auto"/>
        <w:bottom w:val="none" w:sz="0" w:space="0" w:color="auto"/>
        <w:right w:val="none" w:sz="0" w:space="0" w:color="auto"/>
      </w:divBdr>
      <w:divsChild>
        <w:div w:id="1661808579">
          <w:marLeft w:val="480"/>
          <w:marRight w:val="0"/>
          <w:marTop w:val="0"/>
          <w:marBottom w:val="0"/>
          <w:divBdr>
            <w:top w:val="none" w:sz="0" w:space="0" w:color="auto"/>
            <w:left w:val="none" w:sz="0" w:space="0" w:color="auto"/>
            <w:bottom w:val="none" w:sz="0" w:space="0" w:color="auto"/>
            <w:right w:val="none" w:sz="0" w:space="0" w:color="auto"/>
          </w:divBdr>
          <w:divsChild>
            <w:div w:id="3629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701219">
      <w:bodyDiv w:val="1"/>
      <w:marLeft w:val="0"/>
      <w:marRight w:val="0"/>
      <w:marTop w:val="0"/>
      <w:marBottom w:val="0"/>
      <w:divBdr>
        <w:top w:val="none" w:sz="0" w:space="0" w:color="auto"/>
        <w:left w:val="none" w:sz="0" w:space="0" w:color="auto"/>
        <w:bottom w:val="none" w:sz="0" w:space="0" w:color="auto"/>
        <w:right w:val="none" w:sz="0" w:space="0" w:color="auto"/>
      </w:divBdr>
      <w:divsChild>
        <w:div w:id="1760524152">
          <w:marLeft w:val="480"/>
          <w:marRight w:val="0"/>
          <w:marTop w:val="0"/>
          <w:marBottom w:val="0"/>
          <w:divBdr>
            <w:top w:val="none" w:sz="0" w:space="0" w:color="auto"/>
            <w:left w:val="none" w:sz="0" w:space="0" w:color="auto"/>
            <w:bottom w:val="none" w:sz="0" w:space="0" w:color="auto"/>
            <w:right w:val="none" w:sz="0" w:space="0" w:color="auto"/>
          </w:divBdr>
          <w:divsChild>
            <w:div w:id="6928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99778">
      <w:bodyDiv w:val="1"/>
      <w:marLeft w:val="0"/>
      <w:marRight w:val="0"/>
      <w:marTop w:val="0"/>
      <w:marBottom w:val="0"/>
      <w:divBdr>
        <w:top w:val="none" w:sz="0" w:space="0" w:color="auto"/>
        <w:left w:val="none" w:sz="0" w:space="0" w:color="auto"/>
        <w:bottom w:val="none" w:sz="0" w:space="0" w:color="auto"/>
        <w:right w:val="none" w:sz="0" w:space="0" w:color="auto"/>
      </w:divBdr>
      <w:divsChild>
        <w:div w:id="780422149">
          <w:marLeft w:val="480"/>
          <w:marRight w:val="0"/>
          <w:marTop w:val="0"/>
          <w:marBottom w:val="0"/>
          <w:divBdr>
            <w:top w:val="none" w:sz="0" w:space="0" w:color="auto"/>
            <w:left w:val="none" w:sz="0" w:space="0" w:color="auto"/>
            <w:bottom w:val="none" w:sz="0" w:space="0" w:color="auto"/>
            <w:right w:val="none" w:sz="0" w:space="0" w:color="auto"/>
          </w:divBdr>
          <w:divsChild>
            <w:div w:id="156848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31323">
      <w:bodyDiv w:val="1"/>
      <w:marLeft w:val="0"/>
      <w:marRight w:val="0"/>
      <w:marTop w:val="0"/>
      <w:marBottom w:val="0"/>
      <w:divBdr>
        <w:top w:val="none" w:sz="0" w:space="0" w:color="auto"/>
        <w:left w:val="none" w:sz="0" w:space="0" w:color="auto"/>
        <w:bottom w:val="none" w:sz="0" w:space="0" w:color="auto"/>
        <w:right w:val="none" w:sz="0" w:space="0" w:color="auto"/>
      </w:divBdr>
      <w:divsChild>
        <w:div w:id="302008675">
          <w:marLeft w:val="480"/>
          <w:marRight w:val="0"/>
          <w:marTop w:val="0"/>
          <w:marBottom w:val="0"/>
          <w:divBdr>
            <w:top w:val="none" w:sz="0" w:space="0" w:color="auto"/>
            <w:left w:val="none" w:sz="0" w:space="0" w:color="auto"/>
            <w:bottom w:val="none" w:sz="0" w:space="0" w:color="auto"/>
            <w:right w:val="none" w:sz="0" w:space="0" w:color="auto"/>
          </w:divBdr>
          <w:divsChild>
            <w:div w:id="120254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03885">
      <w:bodyDiv w:val="1"/>
      <w:marLeft w:val="0"/>
      <w:marRight w:val="0"/>
      <w:marTop w:val="0"/>
      <w:marBottom w:val="0"/>
      <w:divBdr>
        <w:top w:val="none" w:sz="0" w:space="0" w:color="auto"/>
        <w:left w:val="none" w:sz="0" w:space="0" w:color="auto"/>
        <w:bottom w:val="none" w:sz="0" w:space="0" w:color="auto"/>
        <w:right w:val="none" w:sz="0" w:space="0" w:color="auto"/>
      </w:divBdr>
      <w:divsChild>
        <w:div w:id="1154562355">
          <w:marLeft w:val="480"/>
          <w:marRight w:val="0"/>
          <w:marTop w:val="0"/>
          <w:marBottom w:val="0"/>
          <w:divBdr>
            <w:top w:val="none" w:sz="0" w:space="0" w:color="auto"/>
            <w:left w:val="none" w:sz="0" w:space="0" w:color="auto"/>
            <w:bottom w:val="none" w:sz="0" w:space="0" w:color="auto"/>
            <w:right w:val="none" w:sz="0" w:space="0" w:color="auto"/>
          </w:divBdr>
          <w:divsChild>
            <w:div w:id="99438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457791">
      <w:bodyDiv w:val="1"/>
      <w:marLeft w:val="0"/>
      <w:marRight w:val="0"/>
      <w:marTop w:val="0"/>
      <w:marBottom w:val="0"/>
      <w:divBdr>
        <w:top w:val="none" w:sz="0" w:space="0" w:color="auto"/>
        <w:left w:val="none" w:sz="0" w:space="0" w:color="auto"/>
        <w:bottom w:val="none" w:sz="0" w:space="0" w:color="auto"/>
        <w:right w:val="none" w:sz="0" w:space="0" w:color="auto"/>
      </w:divBdr>
      <w:divsChild>
        <w:div w:id="441074626">
          <w:marLeft w:val="480"/>
          <w:marRight w:val="0"/>
          <w:marTop w:val="0"/>
          <w:marBottom w:val="0"/>
          <w:divBdr>
            <w:top w:val="none" w:sz="0" w:space="0" w:color="auto"/>
            <w:left w:val="none" w:sz="0" w:space="0" w:color="auto"/>
            <w:bottom w:val="none" w:sz="0" w:space="0" w:color="auto"/>
            <w:right w:val="none" w:sz="0" w:space="0" w:color="auto"/>
          </w:divBdr>
          <w:divsChild>
            <w:div w:id="13422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70106">
      <w:bodyDiv w:val="1"/>
      <w:marLeft w:val="0"/>
      <w:marRight w:val="0"/>
      <w:marTop w:val="0"/>
      <w:marBottom w:val="0"/>
      <w:divBdr>
        <w:top w:val="none" w:sz="0" w:space="0" w:color="auto"/>
        <w:left w:val="none" w:sz="0" w:space="0" w:color="auto"/>
        <w:bottom w:val="none" w:sz="0" w:space="0" w:color="auto"/>
        <w:right w:val="none" w:sz="0" w:space="0" w:color="auto"/>
      </w:divBdr>
      <w:divsChild>
        <w:div w:id="239603856">
          <w:marLeft w:val="480"/>
          <w:marRight w:val="0"/>
          <w:marTop w:val="0"/>
          <w:marBottom w:val="0"/>
          <w:divBdr>
            <w:top w:val="none" w:sz="0" w:space="0" w:color="auto"/>
            <w:left w:val="none" w:sz="0" w:space="0" w:color="auto"/>
            <w:bottom w:val="none" w:sz="0" w:space="0" w:color="auto"/>
            <w:right w:val="none" w:sz="0" w:space="0" w:color="auto"/>
          </w:divBdr>
          <w:divsChild>
            <w:div w:id="11084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08214">
      <w:bodyDiv w:val="1"/>
      <w:marLeft w:val="0"/>
      <w:marRight w:val="0"/>
      <w:marTop w:val="0"/>
      <w:marBottom w:val="0"/>
      <w:divBdr>
        <w:top w:val="none" w:sz="0" w:space="0" w:color="auto"/>
        <w:left w:val="none" w:sz="0" w:space="0" w:color="auto"/>
        <w:bottom w:val="none" w:sz="0" w:space="0" w:color="auto"/>
        <w:right w:val="none" w:sz="0" w:space="0" w:color="auto"/>
      </w:divBdr>
      <w:divsChild>
        <w:div w:id="274142689">
          <w:marLeft w:val="480"/>
          <w:marRight w:val="0"/>
          <w:marTop w:val="0"/>
          <w:marBottom w:val="0"/>
          <w:divBdr>
            <w:top w:val="none" w:sz="0" w:space="0" w:color="auto"/>
            <w:left w:val="none" w:sz="0" w:space="0" w:color="auto"/>
            <w:bottom w:val="none" w:sz="0" w:space="0" w:color="auto"/>
            <w:right w:val="none" w:sz="0" w:space="0" w:color="auto"/>
          </w:divBdr>
          <w:divsChild>
            <w:div w:id="136447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17298">
      <w:bodyDiv w:val="1"/>
      <w:marLeft w:val="0"/>
      <w:marRight w:val="0"/>
      <w:marTop w:val="0"/>
      <w:marBottom w:val="0"/>
      <w:divBdr>
        <w:top w:val="none" w:sz="0" w:space="0" w:color="auto"/>
        <w:left w:val="none" w:sz="0" w:space="0" w:color="auto"/>
        <w:bottom w:val="none" w:sz="0" w:space="0" w:color="auto"/>
        <w:right w:val="none" w:sz="0" w:space="0" w:color="auto"/>
      </w:divBdr>
      <w:divsChild>
        <w:div w:id="1315842010">
          <w:marLeft w:val="480"/>
          <w:marRight w:val="0"/>
          <w:marTop w:val="0"/>
          <w:marBottom w:val="0"/>
          <w:divBdr>
            <w:top w:val="none" w:sz="0" w:space="0" w:color="auto"/>
            <w:left w:val="none" w:sz="0" w:space="0" w:color="auto"/>
            <w:bottom w:val="none" w:sz="0" w:space="0" w:color="auto"/>
            <w:right w:val="none" w:sz="0" w:space="0" w:color="auto"/>
          </w:divBdr>
          <w:divsChild>
            <w:div w:id="17643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08156">
      <w:bodyDiv w:val="1"/>
      <w:marLeft w:val="0"/>
      <w:marRight w:val="0"/>
      <w:marTop w:val="0"/>
      <w:marBottom w:val="0"/>
      <w:divBdr>
        <w:top w:val="none" w:sz="0" w:space="0" w:color="auto"/>
        <w:left w:val="none" w:sz="0" w:space="0" w:color="auto"/>
        <w:bottom w:val="none" w:sz="0" w:space="0" w:color="auto"/>
        <w:right w:val="none" w:sz="0" w:space="0" w:color="auto"/>
      </w:divBdr>
      <w:divsChild>
        <w:div w:id="641273456">
          <w:marLeft w:val="480"/>
          <w:marRight w:val="0"/>
          <w:marTop w:val="0"/>
          <w:marBottom w:val="0"/>
          <w:divBdr>
            <w:top w:val="none" w:sz="0" w:space="0" w:color="auto"/>
            <w:left w:val="none" w:sz="0" w:space="0" w:color="auto"/>
            <w:bottom w:val="none" w:sz="0" w:space="0" w:color="auto"/>
            <w:right w:val="none" w:sz="0" w:space="0" w:color="auto"/>
          </w:divBdr>
          <w:divsChild>
            <w:div w:id="162453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44205">
      <w:bodyDiv w:val="1"/>
      <w:marLeft w:val="0"/>
      <w:marRight w:val="0"/>
      <w:marTop w:val="0"/>
      <w:marBottom w:val="0"/>
      <w:divBdr>
        <w:top w:val="none" w:sz="0" w:space="0" w:color="auto"/>
        <w:left w:val="none" w:sz="0" w:space="0" w:color="auto"/>
        <w:bottom w:val="none" w:sz="0" w:space="0" w:color="auto"/>
        <w:right w:val="none" w:sz="0" w:space="0" w:color="auto"/>
      </w:divBdr>
      <w:divsChild>
        <w:div w:id="1253318621">
          <w:marLeft w:val="480"/>
          <w:marRight w:val="0"/>
          <w:marTop w:val="0"/>
          <w:marBottom w:val="0"/>
          <w:divBdr>
            <w:top w:val="none" w:sz="0" w:space="0" w:color="auto"/>
            <w:left w:val="none" w:sz="0" w:space="0" w:color="auto"/>
            <w:bottom w:val="none" w:sz="0" w:space="0" w:color="auto"/>
            <w:right w:val="none" w:sz="0" w:space="0" w:color="auto"/>
          </w:divBdr>
          <w:divsChild>
            <w:div w:id="1320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2278">
      <w:bodyDiv w:val="1"/>
      <w:marLeft w:val="0"/>
      <w:marRight w:val="0"/>
      <w:marTop w:val="0"/>
      <w:marBottom w:val="0"/>
      <w:divBdr>
        <w:top w:val="none" w:sz="0" w:space="0" w:color="auto"/>
        <w:left w:val="none" w:sz="0" w:space="0" w:color="auto"/>
        <w:bottom w:val="none" w:sz="0" w:space="0" w:color="auto"/>
        <w:right w:val="none" w:sz="0" w:space="0" w:color="auto"/>
      </w:divBdr>
      <w:divsChild>
        <w:div w:id="685211427">
          <w:marLeft w:val="480"/>
          <w:marRight w:val="0"/>
          <w:marTop w:val="0"/>
          <w:marBottom w:val="0"/>
          <w:divBdr>
            <w:top w:val="none" w:sz="0" w:space="0" w:color="auto"/>
            <w:left w:val="none" w:sz="0" w:space="0" w:color="auto"/>
            <w:bottom w:val="none" w:sz="0" w:space="0" w:color="auto"/>
            <w:right w:val="none" w:sz="0" w:space="0" w:color="auto"/>
          </w:divBdr>
          <w:divsChild>
            <w:div w:id="15592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64180">
      <w:bodyDiv w:val="1"/>
      <w:marLeft w:val="0"/>
      <w:marRight w:val="0"/>
      <w:marTop w:val="0"/>
      <w:marBottom w:val="0"/>
      <w:divBdr>
        <w:top w:val="none" w:sz="0" w:space="0" w:color="auto"/>
        <w:left w:val="none" w:sz="0" w:space="0" w:color="auto"/>
        <w:bottom w:val="none" w:sz="0" w:space="0" w:color="auto"/>
        <w:right w:val="none" w:sz="0" w:space="0" w:color="auto"/>
      </w:divBdr>
      <w:divsChild>
        <w:div w:id="1660304261">
          <w:marLeft w:val="480"/>
          <w:marRight w:val="0"/>
          <w:marTop w:val="0"/>
          <w:marBottom w:val="0"/>
          <w:divBdr>
            <w:top w:val="none" w:sz="0" w:space="0" w:color="auto"/>
            <w:left w:val="none" w:sz="0" w:space="0" w:color="auto"/>
            <w:bottom w:val="none" w:sz="0" w:space="0" w:color="auto"/>
            <w:right w:val="none" w:sz="0" w:space="0" w:color="auto"/>
          </w:divBdr>
          <w:divsChild>
            <w:div w:id="70602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19865">
      <w:bodyDiv w:val="1"/>
      <w:marLeft w:val="0"/>
      <w:marRight w:val="0"/>
      <w:marTop w:val="0"/>
      <w:marBottom w:val="0"/>
      <w:divBdr>
        <w:top w:val="none" w:sz="0" w:space="0" w:color="auto"/>
        <w:left w:val="none" w:sz="0" w:space="0" w:color="auto"/>
        <w:bottom w:val="none" w:sz="0" w:space="0" w:color="auto"/>
        <w:right w:val="none" w:sz="0" w:space="0" w:color="auto"/>
      </w:divBdr>
      <w:divsChild>
        <w:div w:id="320736730">
          <w:marLeft w:val="480"/>
          <w:marRight w:val="0"/>
          <w:marTop w:val="0"/>
          <w:marBottom w:val="0"/>
          <w:divBdr>
            <w:top w:val="none" w:sz="0" w:space="0" w:color="auto"/>
            <w:left w:val="none" w:sz="0" w:space="0" w:color="auto"/>
            <w:bottom w:val="none" w:sz="0" w:space="0" w:color="auto"/>
            <w:right w:val="none" w:sz="0" w:space="0" w:color="auto"/>
          </w:divBdr>
          <w:divsChild>
            <w:div w:id="3809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0946">
      <w:bodyDiv w:val="1"/>
      <w:marLeft w:val="0"/>
      <w:marRight w:val="0"/>
      <w:marTop w:val="0"/>
      <w:marBottom w:val="0"/>
      <w:divBdr>
        <w:top w:val="none" w:sz="0" w:space="0" w:color="auto"/>
        <w:left w:val="none" w:sz="0" w:space="0" w:color="auto"/>
        <w:bottom w:val="none" w:sz="0" w:space="0" w:color="auto"/>
        <w:right w:val="none" w:sz="0" w:space="0" w:color="auto"/>
      </w:divBdr>
      <w:divsChild>
        <w:div w:id="1673991132">
          <w:marLeft w:val="480"/>
          <w:marRight w:val="0"/>
          <w:marTop w:val="0"/>
          <w:marBottom w:val="0"/>
          <w:divBdr>
            <w:top w:val="none" w:sz="0" w:space="0" w:color="auto"/>
            <w:left w:val="none" w:sz="0" w:space="0" w:color="auto"/>
            <w:bottom w:val="none" w:sz="0" w:space="0" w:color="auto"/>
            <w:right w:val="none" w:sz="0" w:space="0" w:color="auto"/>
          </w:divBdr>
          <w:divsChild>
            <w:div w:id="96006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nces.ed.gov/surveys/hsls09/" TargetMode="External"/><Relationship Id="rId26"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yperlink" Target="https://nces.ed.gov/surveys/npsa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nces.ed.gov/surveys/els2002/" TargetMode="External"/><Relationship Id="rId25"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s://nces.ed.gov/surveys/bps/" TargetMode="External"/><Relationship Id="rId20" Type="http://schemas.openxmlformats.org/officeDocument/2006/relationships/hyperlink" Target="https://www.nlsinfo.org/content/cohorts/nlsy9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federalreserve.gov/econres/scfindex.htm" TargetMode="External"/><Relationship Id="rId5" Type="http://schemas.openxmlformats.org/officeDocument/2006/relationships/numbering" Target="numbering.xml"/><Relationship Id="rId15" Type="http://schemas.openxmlformats.org/officeDocument/2006/relationships/hyperlink" Target="https://nces.ed.gov/surveys/b&amp;b/" TargetMode="External"/><Relationship Id="rId23" Type="http://schemas.openxmlformats.org/officeDocument/2006/relationships/hyperlink" Target="https://psidonline.isr.umich.edu/" TargetMode="External"/><Relationship Id="rId28" Type="http://schemas.openxmlformats.org/officeDocument/2006/relationships/hyperlink" Target="https://www.ihep.org/publication/layers-of-identity-rethinking-american-indian-alaska-native-data-collection/" TargetMode="External"/><Relationship Id="rId10" Type="http://schemas.openxmlformats.org/officeDocument/2006/relationships/endnotes" Target="endnotes.xml"/><Relationship Id="rId19" Type="http://schemas.openxmlformats.org/officeDocument/2006/relationships/hyperlink" Target="https://finrafoundation.org/knowledge-we-gain-share/nfcs/data-and-downloads"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psidonline.isr.umich.edu/" TargetMode="External"/><Relationship Id="rId27" Type="http://schemas.openxmlformats.org/officeDocument/2006/relationships/hyperlink" Target="https://www.ihep.org/publication/everyone-deserves-to-be-seen-recommendations-for-improved-federal-data-on-asian-americans-and-pacific-islanders-aapi/" TargetMode="External"/><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13" Type="http://schemas.openxmlformats.org/officeDocument/2006/relationships/hyperlink" Target="https://doi.org/10.2307/2962479" TargetMode="External"/><Relationship Id="rId18" Type="http://schemas.openxmlformats.org/officeDocument/2006/relationships/hyperlink" Target="https://doi.org/10.1007/s11162-014-9332-0" TargetMode="External"/><Relationship Id="rId26" Type="http://schemas.openxmlformats.org/officeDocument/2006/relationships/hyperlink" Target="https://doi.org/10.1016/j.econedurev.2012.10.001" TargetMode="External"/><Relationship Id="rId39" Type="http://schemas.openxmlformats.org/officeDocument/2006/relationships/hyperlink" Target="https://www.equityinhighered.org/wp-content/uploads/2020/11/REHE-2020-final.pdf" TargetMode="External"/><Relationship Id="rId21" Type="http://schemas.openxmlformats.org/officeDocument/2006/relationships/hyperlink" Target="https://insightcced.org/wp-content/uploads/2015/07/Bootstraps-are-for-Black-Kids-Sept.pdf" TargetMode="External"/><Relationship Id="rId34" Type="http://schemas.openxmlformats.org/officeDocument/2006/relationships/hyperlink" Target="https://doi.org/10.1016/j.childyouth.2011.01.003" TargetMode="External"/><Relationship Id="rId42" Type="http://schemas.openxmlformats.org/officeDocument/2006/relationships/hyperlink" Target="https://doi.org/10.1016/j.jue.2020.103298" TargetMode="External"/><Relationship Id="rId47" Type="http://schemas.openxmlformats.org/officeDocument/2006/relationships/hyperlink" Target="https://doi.org/10.3102/0013189X19897622" TargetMode="External"/><Relationship Id="rId50" Type="http://schemas.openxmlformats.org/officeDocument/2006/relationships/hyperlink" Target="https://doi.org/10.1177/0038040713512213" TargetMode="External"/><Relationship Id="rId7" Type="http://schemas.openxmlformats.org/officeDocument/2006/relationships/hyperlink" Target="https://doi.org/10.1093/qje/qjac009" TargetMode="External"/><Relationship Id="rId2" Type="http://schemas.openxmlformats.org/officeDocument/2006/relationships/hyperlink" Target="https://doi.org/10.1016/j.red.2019.06.004" TargetMode="External"/><Relationship Id="rId16" Type="http://schemas.openxmlformats.org/officeDocument/2006/relationships/hyperlink" Target="https://www.jstor.org/stable/10.7758/9781610441568" TargetMode="External"/><Relationship Id="rId29" Type="http://schemas.openxmlformats.org/officeDocument/2006/relationships/hyperlink" Target="https://doi.org/10.1257/pol.20180279" TargetMode="External"/><Relationship Id="rId11" Type="http://schemas.openxmlformats.org/officeDocument/2006/relationships/hyperlink" Target="https://doi.org/10.1353/rhe.2004.0022" TargetMode="External"/><Relationship Id="rId24" Type="http://schemas.openxmlformats.org/officeDocument/2006/relationships/hyperlink" Target="https://doi.org/10.1086/659211" TargetMode="External"/><Relationship Id="rId32" Type="http://schemas.openxmlformats.org/officeDocument/2006/relationships/hyperlink" Target="https://doi.org/10.1093/sf/sos072" TargetMode="External"/><Relationship Id="rId37" Type="http://schemas.openxmlformats.org/officeDocument/2006/relationships/hyperlink" Target="https://files.eric.ed.gov/fulltext/ED503684.pdf" TargetMode="External"/><Relationship Id="rId40" Type="http://schemas.openxmlformats.org/officeDocument/2006/relationships/hyperlink" Target="https://www.americanprogress.org/article/new-federal-data-show-student-loan-crisis-african-american-borrowers/" TargetMode="External"/><Relationship Id="rId45" Type="http://schemas.openxmlformats.org/officeDocument/2006/relationships/hyperlink" Target="https://doi.org/10.1177/2332649218790989" TargetMode="External"/><Relationship Id="rId53" Type="http://schemas.openxmlformats.org/officeDocument/2006/relationships/hyperlink" Target="https://www.ihep.org/publication/layers-of-identity-rethinking-american-indian-alaska-native-data-collection/" TargetMode="External"/><Relationship Id="rId5" Type="http://schemas.openxmlformats.org/officeDocument/2006/relationships/hyperlink" Target="https://doi.org/10.17016/2380-7172.3405" TargetMode="External"/><Relationship Id="rId10" Type="http://schemas.openxmlformats.org/officeDocument/2006/relationships/hyperlink" Target="https://doi.org/10.15195/v5.a8" TargetMode="External"/><Relationship Id="rId19" Type="http://schemas.openxmlformats.org/officeDocument/2006/relationships/hyperlink" Target="https://doi.org/10.1016/j.childyouth.2011.06.024" TargetMode="External"/><Relationship Id="rId31" Type="http://schemas.openxmlformats.org/officeDocument/2006/relationships/hyperlink" Target="https://doi.org/10.17763/haer.77.1.n14t69l0q8292784" TargetMode="External"/><Relationship Id="rId44" Type="http://schemas.openxmlformats.org/officeDocument/2006/relationships/hyperlink" Target="https://doi.org/10.1080/09645292.2018.1541167" TargetMode="External"/><Relationship Id="rId52" Type="http://schemas.openxmlformats.org/officeDocument/2006/relationships/hyperlink" Target="https://www.ihep.org/publication/everyone-deserves-to-be-seen-recommendations-for-improved-federal-data-on-asian-americans-and-pacific-islanders-aapi/" TargetMode="External"/><Relationship Id="rId4" Type="http://schemas.openxmlformats.org/officeDocument/2006/relationships/hyperlink" Target="http://dx.doi.org/10.17016/FEDS.2015.076" TargetMode="External"/><Relationship Id="rId9" Type="http://schemas.openxmlformats.org/officeDocument/2006/relationships/hyperlink" Target="https://doi.org/10.1177/0001839216639577" TargetMode="External"/><Relationship Id="rId14" Type="http://schemas.openxmlformats.org/officeDocument/2006/relationships/hyperlink" Target="https://doi.org/10.2307/2673145" TargetMode="External"/><Relationship Id="rId22" Type="http://schemas.openxmlformats.org/officeDocument/2006/relationships/hyperlink" Target="https://doi.org/10.1111/ajes.12227" TargetMode="External"/><Relationship Id="rId27" Type="http://schemas.openxmlformats.org/officeDocument/2006/relationships/hyperlink" Target="https://doi.org/10.20955/r.96.331-357" TargetMode="External"/><Relationship Id="rId30" Type="http://schemas.openxmlformats.org/officeDocument/2006/relationships/hyperlink" Target="https://doi.org/10.1007/s11162-005-8151-8" TargetMode="External"/><Relationship Id="rId35" Type="http://schemas.openxmlformats.org/officeDocument/2006/relationships/hyperlink" Target="https://doi.org/10.1016/j.childyouth.2011.06.024" TargetMode="External"/><Relationship Id="rId43" Type="http://schemas.openxmlformats.org/officeDocument/2006/relationships/hyperlink" Target="https://doi.org/10.1086/704609" TargetMode="External"/><Relationship Id="rId48" Type="http://schemas.openxmlformats.org/officeDocument/2006/relationships/hyperlink" Target="https://doi.org/10.1002/ss.254" TargetMode="External"/><Relationship Id="rId8" Type="http://schemas.openxmlformats.org/officeDocument/2006/relationships/hyperlink" Target="http://www.nber.org/papers/w9873" TargetMode="External"/><Relationship Id="rId51" Type="http://schemas.openxmlformats.org/officeDocument/2006/relationships/hyperlink" Target="https://doi.org/10.1002/pam.22550" TargetMode="External"/><Relationship Id="rId3" Type="http://schemas.openxmlformats.org/officeDocument/2006/relationships/hyperlink" Target="https://www.federalreserve.gov/econres/notes/feds-notes/disparities-in-wealth-by-race-and-ethnicity-in-the-2019-survey-of-consumer-finances-20200928.html" TargetMode="External"/><Relationship Id="rId12" Type="http://schemas.openxmlformats.org/officeDocument/2006/relationships/hyperlink" Target="https://doi.org/10.5323/jafriamerhist.98.3.0392" TargetMode="External"/><Relationship Id="rId17" Type="http://schemas.openxmlformats.org/officeDocument/2006/relationships/hyperlink" Target="https://files.eric.ed.gov/fulltext/ED503340.pdf" TargetMode="External"/><Relationship Id="rId25" Type="http://schemas.openxmlformats.org/officeDocument/2006/relationships/hyperlink" Target="https://doi.org/10.1016/j.econedurev.2015.07.004" TargetMode="External"/><Relationship Id="rId33" Type="http://schemas.openxmlformats.org/officeDocument/2006/relationships/hyperlink" Target="https://doi.org/10.1016/j.childyouth.2008.12.002" TargetMode="External"/><Relationship Id="rId38" Type="http://schemas.openxmlformats.org/officeDocument/2006/relationships/hyperlink" Target="https://doi.org/10.1016/j.childyouth.2016.04.010" TargetMode="External"/><Relationship Id="rId46" Type="http://schemas.openxmlformats.org/officeDocument/2006/relationships/hyperlink" Target="http://www.nber.org/papers/w30054" TargetMode="External"/><Relationship Id="rId20" Type="http://schemas.openxmlformats.org/officeDocument/2006/relationships/hyperlink" Target="https://doi.org/10.1016/j.childyouth.2020.104828" TargetMode="External"/><Relationship Id="rId41" Type="http://schemas.openxmlformats.org/officeDocument/2006/relationships/hyperlink" Target="https://www.brookings.edu/articles/student-debt-cancellation-should-consider-wealth-not-income/" TargetMode="External"/><Relationship Id="rId54" Type="http://schemas.openxmlformats.org/officeDocument/2006/relationships/hyperlink" Target="https://doi.org/10.1111/fcsr.12227" TargetMode="External"/><Relationship Id="rId1" Type="http://schemas.openxmlformats.org/officeDocument/2006/relationships/hyperlink" Target="https://ips-dc.org/wp-content/uploads/2016/08/The-Ever-Growing-Gap-CFED_IPS-Final-2.pdf" TargetMode="External"/><Relationship Id="rId6" Type="http://schemas.openxmlformats.org/officeDocument/2006/relationships/hyperlink" Target="https://doi.org/10.1146/annurev-soc-060116-053420" TargetMode="External"/><Relationship Id="rId15" Type="http://schemas.openxmlformats.org/officeDocument/2006/relationships/hyperlink" Target="https://doi.org/10.1080/10796126.2011.538375" TargetMode="External"/><Relationship Id="rId23" Type="http://schemas.openxmlformats.org/officeDocument/2006/relationships/hyperlink" Target="https://doi.org/10.1016/j.ssresearch.2006.02.004" TargetMode="External"/><Relationship Id="rId28" Type="http://schemas.openxmlformats.org/officeDocument/2006/relationships/hyperlink" Target="https://doi.org/10.1007/s12552-016-9162-0" TargetMode="External"/><Relationship Id="rId36" Type="http://schemas.openxmlformats.org/officeDocument/2006/relationships/hyperlink" Target="https://www.postsecondaryvalue.org/wp-content/uploads/2021/07/PVC-Final-Report-FINAL-7.2.pdf" TargetMode="External"/><Relationship Id="rId49" Type="http://schemas.openxmlformats.org/officeDocument/2006/relationships/hyperlink" Target="https://doi.org/10.1007/s11162-009-913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F84E886051694397C298A49724FD80" ma:contentTypeVersion="13" ma:contentTypeDescription="Create a new document." ma:contentTypeScope="" ma:versionID="1152dde2258668a7973e50f0a9eb0d20">
  <xsd:schema xmlns:xsd="http://www.w3.org/2001/XMLSchema" xmlns:xs="http://www.w3.org/2001/XMLSchema" xmlns:p="http://schemas.microsoft.com/office/2006/metadata/properties" xmlns:ns2="1e594bf5-2c69-4a27-af6b-f8f4106ca515" xmlns:ns3="41de7b45-06d2-46ef-ab84-2aa381e77de6" targetNamespace="http://schemas.microsoft.com/office/2006/metadata/properties" ma:root="true" ma:fieldsID="ec984759e0aa5faa33ee78f7cf3dc6fa" ns2:_="" ns3:_="">
    <xsd:import namespace="1e594bf5-2c69-4a27-af6b-f8f4106ca515"/>
    <xsd:import namespace="41de7b45-06d2-46ef-ab84-2aa381e77de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94bf5-2c69-4a27-af6b-f8f4106ca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02bc041-484c-476a-8600-a4099763f2b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de7b45-06d2-46ef-ab84-2aa381e77de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a5a0ede-8553-43dc-88d9-53b785e79628}" ma:internalName="TaxCatchAll" ma:showField="CatchAllData" ma:web="41de7b45-06d2-46ef-ab84-2aa381e77d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41de7b45-06d2-46ef-ab84-2aa381e77de6">
      <UserInfo>
        <DisplayName>Vargas, Marián</DisplayName>
        <AccountId>48</AccountId>
        <AccountType/>
      </UserInfo>
      <UserInfo>
        <DisplayName>Peters, Eleanor Eckerson</DisplayName>
        <AccountId>14</AccountId>
        <AccountType/>
      </UserInfo>
      <UserInfo>
        <DisplayName>Tierney, Sean</DisplayName>
        <AccountId>75</AccountId>
        <AccountType/>
      </UserInfo>
      <UserInfo>
        <DisplayName>Sanchez, Charles</DisplayName>
        <AccountId>34</AccountId>
        <AccountType/>
      </UserInfo>
      <UserInfo>
        <DisplayName>Leon, Kelly</DisplayName>
        <AccountId>50</AccountId>
        <AccountType/>
      </UserInfo>
      <UserInfo>
        <DisplayName>Cheng, Diane</DisplayName>
        <AccountId>35</AccountId>
        <AccountType/>
      </UserInfo>
      <UserInfo>
        <DisplayName>Voight, Mamie</DisplayName>
        <AccountId>20</AccountId>
        <AccountType/>
      </UserInfo>
    </SharedWithUsers>
    <TaxCatchAll xmlns="41de7b45-06d2-46ef-ab84-2aa381e77de6" xsi:nil="true"/>
    <lcf76f155ced4ddcb4097134ff3c332f xmlns="1e594bf5-2c69-4a27-af6b-f8f4106ca5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3E3B66-7DC9-4115-8E86-B3D3D6EBDE3D}">
  <ds:schemaRefs>
    <ds:schemaRef ds:uri="http://schemas.microsoft.com/sharepoint/v3/contenttype/forms"/>
  </ds:schemaRefs>
</ds:datastoreItem>
</file>

<file path=customXml/itemProps2.xml><?xml version="1.0" encoding="utf-8"?>
<ds:datastoreItem xmlns:ds="http://schemas.openxmlformats.org/officeDocument/2006/customXml" ds:itemID="{4D9CBFE0-63BC-4BBF-BB7D-68DF5AAF3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94bf5-2c69-4a27-af6b-f8f4106ca515"/>
    <ds:schemaRef ds:uri="41de7b45-06d2-46ef-ab84-2aa381e77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9242C9-AA02-1342-895B-543CD1861709}">
  <ds:schemaRefs>
    <ds:schemaRef ds:uri="http://schemas.openxmlformats.org/officeDocument/2006/bibliography"/>
  </ds:schemaRefs>
</ds:datastoreItem>
</file>

<file path=customXml/itemProps4.xml><?xml version="1.0" encoding="utf-8"?>
<ds:datastoreItem xmlns:ds="http://schemas.openxmlformats.org/officeDocument/2006/customXml" ds:itemID="{A08396C1-037D-48DA-B7F8-17EE281DD624}">
  <ds:schemaRefs>
    <ds:schemaRef ds:uri="http://schemas.microsoft.com/office/2006/metadata/properties"/>
    <ds:schemaRef ds:uri="http://schemas.microsoft.com/office/infopath/2007/PartnerControls"/>
    <ds:schemaRef ds:uri="41de7b45-06d2-46ef-ab84-2aa381e77de6"/>
    <ds:schemaRef ds:uri="1e594bf5-2c69-4a27-af6b-f8f4106ca51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14642</Words>
  <Characters>83465</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Charles</dc:creator>
  <cp:keywords/>
  <dc:description/>
  <cp:lastModifiedBy>Bell, Lauren</cp:lastModifiedBy>
  <cp:revision>2</cp:revision>
  <cp:lastPrinted>2024-03-16T05:16:00Z</cp:lastPrinted>
  <dcterms:created xsi:type="dcterms:W3CDTF">2024-05-30T13:27:00Z</dcterms:created>
  <dcterms:modified xsi:type="dcterms:W3CDTF">2024-05-30T13:27:00Z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0x010100B8F84E886051694397C298A49724FD80</vt:lpwstr>
  </property>
  <property fmtid="{D5CDD505-2E9C-101B-9397-08002B2CF9AE}" pid="3" name="ZOTERO_PREF_2">
    <vt:lpwstr>alAbbreviations" value="true"/&gt;&lt;/prefs&gt;&lt;/data&gt;</vt:lpwstr>
  </property>
  <property fmtid="{D5CDD505-2E9C-101B-9397-08002B2CF9AE}" pid="4" name="ZOTERO_PREF_1">
    <vt:lpwstr>&lt;data data-version="3" zotero-version="6.0.30"&gt;&lt;session id="NUAjiaU4"/&gt;&lt;style id="http://www.zotero.org/styles/apa" locale="en-US" hasBibliography="1" bibliographyStyleHasBeenSet="1"/&gt;&lt;prefs&gt;&lt;pref name="fieldType" value="Field"/&gt;&lt;pref name="automaticJourn</vt:lpwstr>
  </property>
  <property fmtid="{D5CDD505-2E9C-101B-9397-08002B2CF9AE}" pid="5" name="MediaServiceImageTags">
    <vt:lpwstr/>
  </property>
</Properties>
</file>